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2743.xml.htm"/>
      <w:bookmarkStart w:id="1" w:name="ksmarketforms627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KAZIMI A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4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74"/>
        <w:gridCol w:w="375"/>
        <w:gridCol w:w="810"/>
        <w:gridCol w:w="459"/>
        <w:gridCol w:w="673"/>
        <w:gridCol w:w="1285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5,716,965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1.65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5,717,030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5,717,095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5,717,160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1.71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5,717,225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1.76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5,717,290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5,717,355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5,717,420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5,717,443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2.03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5,717,498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09/19/2023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2.12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5,717,553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5,717,608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5,717,663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5,717,718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2.24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5,717,773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2.07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5,717,828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1.98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5,717,883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1.96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5,717,938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</w:t>
            </w:r>
          </w:p>
        </w:tc>
        <w:tc>
          <w:tcPr>
            <w:tcW w:w="3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</w:t>
            </w:r>
            <w:r>
              <w:rPr/>
              <w:t xml:space="preserve"> </w:t>
            </w:r>
          </w:p>
        </w:tc>
        <w:tc>
          <w:tcPr>
            <w:tcW w:w="12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5,717,993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purchases occurred automatically pursuant to a Rule 10b5-1 trading plan adopted by the reporting person on May16,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A.J. Kazimi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75050" TargetMode="External"/><Relationship Id="rId4" Type="http://schemas.openxmlformats.org/officeDocument/2006/relationships/hyperlink" Target="http://www.sec.gov/cgi-bin/browse-edgar?action=getcompany&amp;CIK=000108729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767</Words>
  <Characters>3970</Characters>
  <CharactersWithSpaces>4544</CharactersWithSpaces>
  <Paragraphs>263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