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May 3, 2022 (April 28, 2022)</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40" w:firstLine="48"/>
        <w:spacing w:after="0" w:line="480"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28, 2022, the annual meeting of shareholders of Cumberland Pharmaceuticals Inc. (the "Company") was held in Nashville, Tennessee. The following matters were voted upon and approved by the Company's shareholders:</w:t>
      </w:r>
    </w:p>
    <w:p>
      <w:pPr>
        <w:spacing w:after="0" w:line="94" w:lineRule="exact"/>
        <w:rPr>
          <w:sz w:val="20"/>
          <w:szCs w:val="20"/>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(3) Class III Directors; and</w:t>
      </w:r>
    </w:p>
    <w:p>
      <w:pPr>
        <w:spacing w:after="0" w:line="15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BKD, LLP as our independent registered public accounting firm for the year ending December 31,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The voting results were as follows: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3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2"/>
          </w:tcPr>
          <w:p>
            <w:pPr>
              <w:jc w:val="center"/>
              <w:ind w:right="1020"/>
              <w:spacing w:after="0" w:line="202" w:lineRule="exact"/>
              <w:rPr>
                <w:sz w:val="20"/>
                <w:szCs w:val="20"/>
                <w:color w:val="auto"/>
              </w:rPr>
            </w:pPr>
            <w:r>
              <w:rPr>
                <w:rFonts w:ascii="Times New Roman" w:cs="Times New Roman" w:eastAsia="Times New Roman" w:hAnsi="Times New Roman"/>
                <w:sz w:val="18"/>
                <w:szCs w:val="18"/>
                <w:color w:val="auto"/>
                <w:w w:val="98"/>
              </w:rPr>
              <w:t>% of Votes in</w:t>
            </w:r>
          </w:p>
        </w:tc>
      </w:tr>
      <w:tr>
        <w:trPr>
          <w:trHeight w:val="243"/>
        </w:trPr>
        <w:tc>
          <w:tcPr>
            <w:tcW w:w="3820" w:type="dxa"/>
            <w:vAlign w:val="bottom"/>
          </w:tcPr>
          <w:p>
            <w:pPr>
              <w:spacing w:after="0"/>
              <w:rPr>
                <w:sz w:val="21"/>
                <w:szCs w:val="21"/>
                <w:color w:val="auto"/>
              </w:rPr>
            </w:pP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For</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Against</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Withheld</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Abstentions</w:t>
            </w:r>
          </w:p>
        </w:tc>
        <w:tc>
          <w:tcPr>
            <w:tcW w:w="220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Favor</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Gordon R. Bernard</w:t>
            </w: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8,389,484</w:t>
            </w:r>
          </w:p>
        </w:tc>
        <w:tc>
          <w:tcPr>
            <w:tcW w:w="1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509,448</w:t>
            </w:r>
          </w:p>
        </w:tc>
        <w:tc>
          <w:tcPr>
            <w:tcW w:w="1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94.3%</w:t>
            </w:r>
          </w:p>
        </w:tc>
        <w:tc>
          <w:tcPr>
            <w:tcW w:w="1020" w:type="dxa"/>
            <w:vAlign w:val="bottom"/>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C. Galante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8,827,660</w:t>
            </w:r>
          </w:p>
        </w:tc>
        <w:tc>
          <w:tcPr>
            <w:tcW w:w="18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71,272</w:t>
            </w:r>
          </w:p>
        </w:tc>
        <w:tc>
          <w:tcPr>
            <w:tcW w:w="180" w:type="dxa"/>
            <w:vAlign w:val="bottom"/>
          </w:tcPr>
          <w:p>
            <w:pPr>
              <w:spacing w:after="0"/>
              <w:rPr>
                <w:sz w:val="19"/>
                <w:szCs w:val="19"/>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99.2%</w:t>
            </w:r>
          </w:p>
        </w:tc>
        <w:tc>
          <w:tcPr>
            <w:tcW w:w="10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A.J. Kazimi</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8,828,290</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70,642</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99.2%</w:t>
            </w:r>
          </w:p>
        </w:tc>
        <w:tc>
          <w:tcPr>
            <w:tcW w:w="1020" w:type="dxa"/>
            <w:vAlign w:val="bottom"/>
          </w:tcPr>
          <w:p>
            <w:pPr>
              <w:spacing w:after="0"/>
              <w:rPr>
                <w:sz w:val="19"/>
                <w:szCs w:val="19"/>
                <w:color w:val="auto"/>
              </w:rPr>
            </w:pPr>
          </w:p>
        </w:tc>
      </w:tr>
      <w:tr>
        <w:trPr>
          <w:trHeight w:val="175"/>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Appointment of BKD, LLP as our independent</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3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registered public accounting firm for the year</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December 31, 2022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11,394,533</w:t>
            </w:r>
          </w:p>
        </w:tc>
        <w:tc>
          <w:tcPr>
            <w:tcW w:w="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27,327</w:t>
            </w:r>
          </w:p>
        </w:tc>
        <w:tc>
          <w:tcPr>
            <w:tcW w:w="16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13,168</w:t>
            </w:r>
          </w:p>
        </w:tc>
        <w:tc>
          <w:tcPr>
            <w:tcW w:w="2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99.8%</w:t>
            </w:r>
          </w:p>
        </w:tc>
        <w:tc>
          <w:tcPr>
            <w:tcW w:w="1020" w:type="dxa"/>
            <w:vAlign w:val="bottom"/>
          </w:tcPr>
          <w:p>
            <w:pPr>
              <w:spacing w:after="0"/>
              <w:rPr>
                <w:sz w:val="20"/>
                <w:szCs w:val="20"/>
                <w:color w:val="auto"/>
              </w:rPr>
            </w:pPr>
          </w:p>
        </w:tc>
      </w:tr>
      <w:tr>
        <w:trPr>
          <w:trHeight w:val="1357"/>
        </w:trPr>
        <w:tc>
          <w:tcPr>
            <w:tcW w:w="38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696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Dated: May 3, 2022</w:t>
            </w:r>
          </w:p>
        </w:tc>
        <w:tc>
          <w:tcPr>
            <w:tcW w:w="4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2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2022-05-03T16:42:13Z</dcterms:created>
  <dcterms:modified xsi:type="dcterms:W3CDTF">2022-05-03T16:42:13Z</dcterms:modified>
</cp:coreProperties>
</file>