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345"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345"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220" w:after="283"/>
        <w:jc w:val="center"/>
        <w:rPr>
          <w:rFonts w:ascii="Times New Roman;sans-serif" w:hAnsi="Times New Roman;sans-serif"/>
          <w:b/>
          <w:color w:val="231F20"/>
          <w:sz w:val="24"/>
        </w:rPr>
      </w:pPr>
      <w:r>
        <w:rPr>
          <w:rFonts w:ascii="Times New Roman;sans-serif" w:hAnsi="Times New Roman;sans-serif"/>
          <w:b/>
          <w:color w:val="231F20"/>
          <w:sz w:val="24"/>
        </w:rPr>
        <w:t>CURRENT REPORT</w:t>
      </w:r>
    </w:p>
    <w:p>
      <w:pPr>
        <w:pStyle w:val="TextBody"/>
        <w:bidi w:val="0"/>
        <w:spacing w:lineRule="auto" w:line="288" w:before="20" w:after="283"/>
        <w:jc w:val="center"/>
        <w:rPr>
          <w:rFonts w:ascii="Times New Roman;sans-serif" w:hAnsi="Times New Roman;sans-serif"/>
          <w:b/>
          <w:color w:val="231F20"/>
          <w:sz w:val="24"/>
        </w:rPr>
      </w:pPr>
      <w:r>
        <w:rPr>
          <w:rFonts w:ascii="Times New Roman;sans-serif" w:hAnsi="Times New Roman;sans-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May 16, 2023 (May 15, 2023)</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Date of Report (date of earliest event reported)</w:t>
      </w:r>
    </w:p>
    <w:p>
      <w:pPr>
        <w:pStyle w:val="TextBody"/>
        <w:bidi w:val="0"/>
        <w:spacing w:before="0" w:after="0"/>
        <w:jc w:val="left"/>
        <w:rPr/>
      </w:pPr>
      <w:r>
        <w:rPr/>
      </w:r>
    </w:p>
    <w:p>
      <w:pPr>
        <w:pStyle w:val="TextBody"/>
        <w:bidi w:val="0"/>
        <w:spacing w:lineRule="auto" w:line="345"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CUMBERLAND PHARMACEUTICALS INC. </w:t>
      </w:r>
    </w:p>
    <w:p>
      <w:pPr>
        <w:pStyle w:val="TextBody"/>
        <w:bidi w:val="0"/>
        <w:spacing w:lineRule="auto" w:line="345" w:before="0" w:after="0"/>
        <w:jc w:val="center"/>
        <w:rPr>
          <w:rFonts w:ascii="Times New Roman;sans-serif" w:hAnsi="Times New Roman;sans-serif"/>
          <w:b/>
          <w:color w:val="000000"/>
          <w:sz w:val="24"/>
        </w:rPr>
      </w:pPr>
      <w:r>
        <w:rPr>
          <w:rFonts w:ascii="Times New Roman;sans-serif" w:hAnsi="Times New Roman;sans-serif"/>
          <w:b/>
          <w:color w:val="000000"/>
          <w:sz w:val="24"/>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778"/>
        <w:gridCol w:w="1566"/>
        <w:gridCol w:w="1573"/>
        <w:gridCol w:w="378"/>
        <w:gridCol w:w="378"/>
        <w:gridCol w:w="378"/>
        <w:gridCol w:w="378"/>
        <w:gridCol w:w="378"/>
        <w:gridCol w:w="386"/>
        <w:gridCol w:w="877"/>
        <w:gridCol w:w="877"/>
        <w:gridCol w:w="1258"/>
      </w:tblGrid>
      <w:tr>
        <w:trPr/>
        <w:tc>
          <w:tcPr>
            <w:tcW w:w="1778"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Tennessee</w:t>
            </w:r>
          </w:p>
        </w:tc>
        <w:tc>
          <w:tcPr>
            <w:tcW w:w="2276" w:type="dxa"/>
            <w:gridSpan w:val="6"/>
            <w:tcBorders/>
            <w:tcMar>
              <w:top w:w="0" w:type="dxa"/>
              <w:left w:w="0" w:type="dxa"/>
              <w:bottom w:w="0" w:type="dxa"/>
              <w:right w:w="0" w:type="dxa"/>
            </w:tcMar>
            <w:vAlign w:val="center"/>
          </w:tcPr>
          <w:p>
            <w:pPr>
              <w:pStyle w:val="TableContents"/>
              <w:bidi w:val="0"/>
              <w:spacing w:lineRule="auto" w:line="345" w:before="0" w:after="283"/>
              <w:jc w:val="center"/>
              <w:rPr>
                <w:rFonts w:ascii="Times New Roman;sans-serif" w:hAnsi="Times New Roman;sans-serif"/>
                <w:b/>
                <w:color w:val="000000"/>
                <w:sz w:val="20"/>
              </w:rPr>
            </w:pPr>
            <w:r>
              <w:rPr>
                <w:rFonts w:ascii="Times New Roman;sans-serif" w:hAnsi="Times New Roman;sans-serif"/>
                <w:b/>
                <w:color w:val="000000"/>
                <w:sz w:val="20"/>
              </w:rPr>
              <w:t>001-33637</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62-1765329</w:t>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2276"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1600 West End Avenue, Suite 1300 Nashville, Tennessee 37203</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(615) 255-0068 </w:t>
      </w:r>
    </w:p>
    <w:p>
      <w:pPr>
        <w:pStyle w:val="TextBody"/>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xml:space="preserve">☐ </w:t>
      </w:r>
      <w:r>
        <w:rPr>
          <w:rFonts w:ascii="Times New Roman;sans-serif" w:hAnsi="Times New Roman;sans-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ans-serif" w:hAnsi="Times New Roman;sans-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w:t>
      </w:r>
      <w:r>
        <w:rPr>
          <w:color w:val="231F20"/>
        </w:rPr>
        <w:t xml:space="preserve"> </w:t>
      </w:r>
      <w:r>
        <w:rPr>
          <w:rFonts w:ascii="Times New Roman;sans-serif" w:hAnsi="Times New Roman;sans-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7798" w:type="dxa"/>
        <w:jc w:val="center"/>
        <w:tblInd w:w="0" w:type="dxa"/>
        <w:tblLayout w:type="fixed"/>
        <w:tblCellMar>
          <w:top w:w="28" w:type="dxa"/>
          <w:left w:w="28" w:type="dxa"/>
          <w:bottom w:w="28" w:type="dxa"/>
          <w:right w:w="28" w:type="dxa"/>
        </w:tblCellMar>
      </w:tblPr>
      <w:tblGrid>
        <w:gridCol w:w="896"/>
        <w:gridCol w:w="784"/>
        <w:gridCol w:w="794"/>
        <w:gridCol w:w="539"/>
        <w:gridCol w:w="539"/>
        <w:gridCol w:w="541"/>
        <w:gridCol w:w="1085"/>
        <w:gridCol w:w="1085"/>
        <w:gridCol w:w="1535"/>
      </w:tblGrid>
      <w:tr>
        <w:trPr/>
        <w:tc>
          <w:tcPr>
            <w:tcW w:w="89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4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no par value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CPIX</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8.01     Other Events</w:t>
      </w:r>
    </w:p>
    <w:p>
      <w:pPr>
        <w:pStyle w:val="TextBody"/>
        <w:bidi w:val="0"/>
        <w:spacing w:lineRule="auto" w:line="288" w:before="160" w:after="283"/>
        <w:jc w:val="both"/>
        <w:rPr/>
      </w:pPr>
      <w:r>
        <w:rPr>
          <w:rFonts w:ascii="Times New Roman;sans-serif" w:hAnsi="Times New Roman;sans-serif"/>
          <w:b w:val="false"/>
          <w:color w:val="000000"/>
          <w:sz w:val="20"/>
        </w:rPr>
        <w:t>On May 15, 2023, Cumberland Pharmaceuticals Inc. (“Cumberland” or the “Company”) announced that the U.S. Food and Drug Administration (FDA) has approved expanded labeling for Caldolor</w:t>
      </w:r>
      <w:r>
        <w:rPr>
          <w:rFonts w:ascii="Times New Roman;sans-serif" w:hAnsi="Times New Roman;sans-serif"/>
          <w:b w:val="false"/>
          <w:color w:val="000000"/>
          <w:sz w:val="13"/>
        </w:rPr>
        <w:t>®</w:t>
      </w:r>
      <w:r>
        <w:rPr>
          <w:rFonts w:ascii="Times New Roman;sans-serif" w:hAnsi="Times New Roman;sans-serif"/>
          <w:b w:val="false"/>
          <w:color w:val="000000"/>
          <w:sz w:val="20"/>
        </w:rPr>
        <w:t>, an intravenously delivered formulation of ibuprofen, to now include use in infants. The non-narcotic agent may now be administered for the treatment of pain and fever in patients three months to six months of age.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newly FDA-approved label includes information regarding the product’s indications and usage, appropriate patient populations, clinical study results, potential side effects, patient safety details, and instructions for use in these young children.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Caldolor is now approved by the U.S. Food and Drug Administration (FDA) for use in adults and pediatric patients three months and older, for the management of mild to moderate pain as a sole therapy, and for the management of moderate to severe pain as an adjunct to an opioid. A series of published clinical studies have demonstrated that Caldolor significantly reduces patient pain, while also significantly reducing patients’ need for opioids.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Full prescribing and safety information can be found at the brand’s website www.caldolor.com.</w:t>
      </w:r>
    </w:p>
    <w:p>
      <w:pPr>
        <w:pStyle w:val="TextBody"/>
        <w:bidi w:val="0"/>
        <w:spacing w:lineRule="auto" w:line="288" w:before="160" w:after="283"/>
        <w:jc w:val="both"/>
        <w:rPr/>
      </w:pPr>
      <w:r>
        <w:rPr>
          <w:rFonts w:ascii="Times New Roman;sans-serif" w:hAnsi="Times New Roman;sans-serif"/>
          <w:b w:val="false"/>
          <w:color w:val="000000"/>
          <w:sz w:val="20"/>
        </w:rPr>
        <w:t xml:space="preserve">A copy of the release is furnished as </w:t>
      </w:r>
      <w:hyperlink w:anchor="caldolorfdaapprovallabelex.htm">
        <w:r>
          <w:rPr>
            <w:rStyle w:val="InternetLink"/>
            <w:rFonts w:ascii="Times New Roman;sans-serif" w:hAnsi="Times New Roman;sans-serif"/>
            <w:b w:val="false"/>
            <w:color w:val="0000FF"/>
            <w:sz w:val="20"/>
            <w:u w:val="single"/>
          </w:rPr>
          <w:t>Exhibit 99.1</w:t>
        </w:r>
      </w:hyperlink>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before="100" w:after="283"/>
        <w:jc w:val="center"/>
        <w:rPr/>
      </w:pPr>
      <w:r>
        <w:rPr/>
      </w:r>
    </w:p>
    <w:tbl>
      <w:tblPr>
        <w:tblW w:w="3956" w:type="dxa"/>
        <w:jc w:val="center"/>
        <w:tblInd w:w="0" w:type="dxa"/>
        <w:tblLayout w:type="fixed"/>
        <w:tblCellMar>
          <w:top w:w="28" w:type="dxa"/>
          <w:left w:w="28" w:type="dxa"/>
          <w:bottom w:w="28" w:type="dxa"/>
          <w:right w:w="28" w:type="dxa"/>
        </w:tblCellMar>
      </w:tblPr>
      <w:tblGrid>
        <w:gridCol w:w="288"/>
        <w:gridCol w:w="252"/>
        <w:gridCol w:w="255"/>
        <w:gridCol w:w="109"/>
        <w:gridCol w:w="109"/>
        <w:gridCol w:w="109"/>
        <w:gridCol w:w="829"/>
        <w:gridCol w:w="829"/>
        <w:gridCol w:w="1176"/>
      </w:tblGrid>
      <w:tr>
        <w:trPr/>
        <w:tc>
          <w:tcPr>
            <w:tcW w:w="28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Description</w:t>
            </w:r>
          </w:p>
        </w:tc>
      </w:tr>
      <w:tr>
        <w:trPr/>
        <w:tc>
          <w:tcPr>
            <w:tcW w:w="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aldolorfdaapprovallabelex.htm">
              <w:r>
                <w:rPr>
                  <w:rStyle w:val="InternetLink"/>
                  <w:rFonts w:ascii="Times New Roman;sans-serif" w:hAnsi="Times New Roman;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aldolorfdaapprovallabelex.htm">
              <w:r>
                <w:rPr>
                  <w:rStyle w:val="InternetLink"/>
                  <w:rFonts w:ascii="Times New Roman;sans-serif" w:hAnsi="Times New Roman;sans-serif"/>
                  <w:b w:val="false"/>
                  <w:color w:val="0000FF"/>
                  <w:sz w:val="20"/>
                  <w:u w:val="single"/>
                </w:rPr>
                <w:t>Press release dated May 15, 2023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5"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25"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5742" w:type="dxa"/>
        <w:jc w:val="center"/>
        <w:tblInd w:w="0" w:type="dxa"/>
        <w:tblLayout w:type="fixed"/>
        <w:tblCellMar>
          <w:top w:w="28" w:type="dxa"/>
          <w:left w:w="28" w:type="dxa"/>
          <w:bottom w:w="28" w:type="dxa"/>
          <w:right w:w="28" w:type="dxa"/>
        </w:tblCellMar>
      </w:tblPr>
      <w:tblGrid>
        <w:gridCol w:w="667"/>
        <w:gridCol w:w="586"/>
        <w:gridCol w:w="592"/>
        <w:gridCol w:w="109"/>
        <w:gridCol w:w="109"/>
        <w:gridCol w:w="109"/>
        <w:gridCol w:w="109"/>
        <w:gridCol w:w="109"/>
        <w:gridCol w:w="109"/>
        <w:gridCol w:w="109"/>
        <w:gridCol w:w="109"/>
        <w:gridCol w:w="109"/>
        <w:gridCol w:w="303"/>
        <w:gridCol w:w="303"/>
        <w:gridCol w:w="303"/>
        <w:gridCol w:w="312"/>
        <w:gridCol w:w="312"/>
        <w:gridCol w:w="312"/>
        <w:gridCol w:w="312"/>
        <w:gridCol w:w="312"/>
        <w:gridCol w:w="447"/>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Cumberland Pharmaceuticals Inc.</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May 16,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John Hamm</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Hamm</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8" w:after="283"/>
        <w:jc w:val="left"/>
        <w:rPr/>
      </w:pPr>
      <w:r>
        <w:rPr/>
      </w:r>
    </w:p>
    <w:p>
      <w:pPr>
        <w:pStyle w:val="TextBody"/>
        <w:bidi w:val="0"/>
        <w:spacing w:before="0" w:after="0"/>
        <w:jc w:val="left"/>
        <w:rPr/>
      </w:pPr>
      <w:r>
        <w:rPr/>
        <w:drawing>
          <wp:inline distT="0" distB="0" distL="0" distR="0">
            <wp:extent cx="3476625" cy="7905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476625" cy="790575"/>
                    </a:xfrm>
                    <a:prstGeom prst="rect">
                      <a:avLst/>
                    </a:prstGeom>
                  </pic:spPr>
                </pic:pic>
              </a:graphicData>
            </a:graphic>
          </wp:inline>
        </w:drawing>
      </w:r>
    </w:p>
    <w:p>
      <w:pPr>
        <w:pStyle w:val="TextBody"/>
        <w:bidi w:val="0"/>
        <w:spacing w:before="11" w:after="283"/>
        <w:jc w:val="left"/>
        <w:rPr/>
      </w:pPr>
      <w:r>
        <w:rPr/>
      </w:r>
    </w:p>
    <w:p>
      <w:pPr>
        <w:pStyle w:val="TextBody"/>
        <w:bidi w:val="0"/>
        <w:spacing w:lineRule="auto" w:line="240" w:before="79" w:after="283"/>
        <w:jc w:val="center"/>
        <w:rPr/>
      </w:pPr>
      <w:r>
        <w:rPr>
          <w:rFonts w:ascii="Times New Roman;sans-serif" w:hAnsi="Times New Roman;sans-serif"/>
          <w:b/>
          <w:color w:val="000000"/>
          <w:sz w:val="24"/>
        </w:rPr>
        <w:t>CALDOLOR</w:t>
      </w:r>
      <w:r>
        <w:rPr>
          <w:rFonts w:ascii="Times New Roman;sans-serif" w:hAnsi="Times New Roman;sans-serif"/>
          <w:b/>
          <w:color w:val="000000"/>
          <w:sz w:val="16"/>
        </w:rPr>
        <w:t xml:space="preserve">® </w:t>
      </w:r>
      <w:r>
        <w:rPr>
          <w:rFonts w:ascii="Times New Roman;sans-serif" w:hAnsi="Times New Roman;sans-serif"/>
          <w:b/>
          <w:color w:val="000000"/>
          <w:sz w:val="24"/>
        </w:rPr>
        <w:t>NOW FDA APPROVED</w:t>
      </w:r>
    </w:p>
    <w:p>
      <w:pPr>
        <w:pStyle w:val="TextBody"/>
        <w:bidi w:val="0"/>
        <w:spacing w:lineRule="auto" w:line="240" w:before="119" w:after="283"/>
        <w:jc w:val="center"/>
        <w:rPr>
          <w:rFonts w:ascii="Times New Roman;sans-serif" w:hAnsi="Times New Roman;sans-serif"/>
          <w:b/>
          <w:color w:val="000000"/>
          <w:sz w:val="24"/>
        </w:rPr>
      </w:pPr>
      <w:r>
        <w:rPr>
          <w:rFonts w:ascii="Times New Roman;sans-serif" w:hAnsi="Times New Roman;sans-serif"/>
          <w:b/>
          <w:color w:val="000000"/>
          <w:sz w:val="24"/>
        </w:rPr>
        <w:t>FOR TREATMENT OF FEVER &amp; PAIN IN INFANTS</w:t>
      </w:r>
    </w:p>
    <w:p>
      <w:pPr>
        <w:pStyle w:val="TextBody"/>
        <w:bidi w:val="0"/>
        <w:spacing w:before="4" w:after="283"/>
        <w:jc w:val="left"/>
        <w:rPr/>
      </w:pPr>
      <w:r>
        <w:rPr/>
      </w:r>
    </w:p>
    <w:p>
      <w:pPr>
        <w:pStyle w:val="TextBody"/>
        <w:bidi w:val="0"/>
        <w:spacing w:lineRule="auto" w:line="240" w:before="0" w:after="0"/>
        <w:ind w:left="0" w:right="0" w:firstLine="1250"/>
        <w:jc w:val="left"/>
        <w:rPr/>
      </w:pPr>
      <w:r>
        <w:rPr>
          <w:rFonts w:ascii="Times New Roman;sans-serif" w:hAnsi="Times New Roman;sans-serif"/>
          <w:b w:val="false"/>
          <w:i/>
          <w:color w:val="000000"/>
          <w:sz w:val="24"/>
        </w:rPr>
        <w:t>Caldolor</w:t>
      </w:r>
      <w:r>
        <w:rPr>
          <w:rFonts w:ascii="Times New Roman;sans-serif" w:hAnsi="Times New Roman;sans-serif"/>
          <w:b w:val="false"/>
          <w:i/>
          <w:color w:val="000000"/>
          <w:sz w:val="16"/>
        </w:rPr>
        <w:t xml:space="preserve">® </w:t>
      </w:r>
      <w:r>
        <w:rPr>
          <w:rFonts w:ascii="Times New Roman;sans-serif" w:hAnsi="Times New Roman;sans-serif"/>
          <w:b w:val="false"/>
          <w:i/>
          <w:color w:val="000000"/>
          <w:sz w:val="24"/>
        </w:rPr>
        <w:t>is the only injectable non-opioid approved for treating pain in infants</w:t>
      </w:r>
    </w:p>
    <w:p>
      <w:pPr>
        <w:pStyle w:val="TextBody"/>
        <w:bidi w:val="0"/>
        <w:spacing w:before="8" w:after="283"/>
        <w:jc w:val="left"/>
        <w:rPr/>
      </w:pPr>
      <w:r>
        <w:rPr/>
      </w:r>
    </w:p>
    <w:p>
      <w:pPr>
        <w:pStyle w:val="TextBody"/>
        <w:bidi w:val="0"/>
        <w:spacing w:lineRule="auto" w:line="240" w:before="0" w:after="0"/>
        <w:jc w:val="both"/>
        <w:rPr/>
      </w:pPr>
      <w:r>
        <w:rPr>
          <w:rFonts w:ascii="Times New Roman;sans-serif" w:hAnsi="Times New Roman;sans-serif"/>
          <w:b/>
          <w:color w:val="000000"/>
          <w:sz w:val="24"/>
        </w:rPr>
        <w:t xml:space="preserve">NASHVILLE, TN (Monday, May 15, 2023) </w:t>
      </w:r>
      <w:r>
        <w:rPr>
          <w:color w:val="000000"/>
        </w:rPr>
        <w:t xml:space="preserve">– </w:t>
      </w:r>
      <w:r>
        <w:rPr>
          <w:rFonts w:ascii="Times New Roman;sans-serif" w:hAnsi="Times New Roman;sans-serif"/>
          <w:b w:val="false"/>
          <w:color w:val="000000"/>
          <w:sz w:val="24"/>
        </w:rPr>
        <w:t xml:space="preserve">Cumberland Pharmaceuticals Inc. </w:t>
      </w:r>
      <w:r>
        <w:rPr>
          <w:rFonts w:ascii="Times New Roman;sans-serif" w:hAnsi="Times New Roman;sans-serif"/>
          <w:b/>
          <w:color w:val="000000"/>
          <w:sz w:val="24"/>
        </w:rPr>
        <w:t>(NASDAQ: CPIX),</w:t>
      </w:r>
    </w:p>
    <w:p>
      <w:pPr>
        <w:pStyle w:val="TextBody"/>
        <w:bidi w:val="0"/>
        <w:spacing w:lineRule="auto" w:line="331" w:before="54" w:after="283"/>
        <w:jc w:val="both"/>
        <w:rPr/>
      </w:pPr>
      <w:r>
        <w:rPr>
          <w:rFonts w:ascii="Times New Roman;sans-serif" w:hAnsi="Times New Roman;sans-serif"/>
          <w:b w:val="false"/>
          <w:color w:val="000000"/>
          <w:sz w:val="24"/>
        </w:rPr>
        <w:t>a specialty pharmaceutical company, today announced that the U.S. Food and Drug Administration (FDA) has approved expanded labeling for Caldolor</w:t>
      </w:r>
      <w:r>
        <w:rPr>
          <w:rFonts w:ascii="Times New Roman;sans-serif" w:hAnsi="Times New Roman;sans-serif"/>
          <w:b w:val="false"/>
          <w:color w:val="000000"/>
          <w:sz w:val="16"/>
        </w:rPr>
        <w:t>®</w:t>
      </w:r>
      <w:r>
        <w:rPr>
          <w:rFonts w:ascii="Times New Roman;sans-serif" w:hAnsi="Times New Roman;sans-serif"/>
          <w:b w:val="false"/>
          <w:color w:val="000000"/>
          <w:sz w:val="24"/>
        </w:rPr>
        <w:t>, an intravenously delivered formulation of ibuprofen, to now include use in infants. The non-narcotic agent may now be administered for the treatment of pain and fever in patients three months to six months of age.</w:t>
      </w:r>
    </w:p>
    <w:p>
      <w:pPr>
        <w:pStyle w:val="TextBody"/>
        <w:bidi w:val="0"/>
        <w:spacing w:lineRule="auto" w:line="333" w:before="123"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newly FDA-approved label includes information regarding the product’s indications and usage, appropriate patient populations, clinical study results, potential side effects, patient safety details, and instructions for use in these young children.</w:t>
      </w:r>
    </w:p>
    <w:p>
      <w:pPr>
        <w:pStyle w:val="TextBody"/>
        <w:bidi w:val="0"/>
        <w:spacing w:lineRule="auto" w:line="338" w:before="122" w:after="283"/>
        <w:jc w:val="both"/>
        <w:rPr>
          <w:rFonts w:ascii="Times New Roman;sans-serif" w:hAnsi="Times New Roman;sans-serif"/>
          <w:b w:val="false"/>
          <w:color w:val="000000"/>
          <w:sz w:val="24"/>
        </w:rPr>
      </w:pPr>
      <w:r>
        <w:rPr>
          <w:rFonts w:ascii="Times New Roman;sans-serif" w:hAnsi="Times New Roman;sans-serif"/>
          <w:b w:val="false"/>
          <w:color w:val="000000"/>
          <w:sz w:val="24"/>
        </w:rPr>
        <w:t>To support this expanded use of Caldolor, Cumberland sponsored a multi-center study in 21 hospitalized infants. All but one patient was treated with a single dose of the product.</w:t>
      </w:r>
    </w:p>
    <w:p>
      <w:pPr>
        <w:pStyle w:val="TextBody"/>
        <w:bidi w:val="0"/>
        <w:spacing w:lineRule="auto" w:line="333" w:before="117"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safety and efficacy of Caldolor has now been established for the treatment of pain and fever in pediatric patients aged 3 months and older. Use of Caldolor for these indications is supported by evidence from one adequate and controlled open label study in infants, along with additional safety data from four studies in 164 pediatric patients, supportive pediatric data from other approved ibuprofen products, and evidence from adequate and well-controlled studies in adults.</w:t>
      </w:r>
    </w:p>
    <w:p>
      <w:pPr>
        <w:pStyle w:val="TextBody"/>
        <w:bidi w:val="0"/>
        <w:spacing w:lineRule="auto" w:line="333" w:before="120" w:after="283"/>
        <w:jc w:val="both"/>
        <w:rPr/>
      </w:pPr>
      <w:r>
        <w:rPr>
          <w:rFonts w:ascii="Times New Roman;sans-serif" w:hAnsi="Times New Roman;sans-serif"/>
          <w:b w:val="false"/>
          <w:color w:val="000000"/>
          <w:sz w:val="24"/>
        </w:rPr>
        <w:t xml:space="preserve">Importantly with this newly approved labeling, Caldolor is the </w:t>
      </w:r>
      <w:r>
        <w:rPr>
          <w:rFonts w:ascii="Times New Roman;sans-serif" w:hAnsi="Times New Roman;sans-serif"/>
          <w:b w:val="false"/>
          <w:color w:val="000000"/>
          <w:sz w:val="24"/>
          <w:u w:val="single"/>
        </w:rPr>
        <w:t xml:space="preserve">only </w:t>
      </w:r>
      <w:r>
        <w:rPr>
          <w:rFonts w:ascii="Times New Roman;sans-serif" w:hAnsi="Times New Roman;sans-serif"/>
          <w:b w:val="false"/>
          <w:color w:val="000000"/>
          <w:sz w:val="24"/>
        </w:rPr>
        <w:t>non-opioid product approved to treat pain in infants that is delivered through injection. Ketorolac and meloxicam are not approved for use in children, as the safety and efficacy of those drugs have not been established for pediatric patients. Acetaminophen injection is not approved for treating pain in children less than 2 years of age, as the safety and efficacy of that drug has not been established for treating pain in those pediatric patients.</w:t>
      </w:r>
    </w:p>
    <w:p>
      <w:pPr>
        <w:pStyle w:val="TextBody"/>
        <w:bidi w:val="0"/>
        <w:spacing w:lineRule="auto" w:line="336" w:before="120" w:after="283"/>
        <w:jc w:val="both"/>
        <w:rPr>
          <w:color w:val="000000"/>
        </w:rPr>
      </w:pPr>
      <w:r>
        <w:rPr>
          <w:color w:val="000000"/>
        </w:rPr>
        <w:t>“</w:t>
      </w:r>
      <w:r>
        <w:rPr>
          <w:rFonts w:ascii="Times New Roman;sans-serif" w:hAnsi="Times New Roman;sans-serif"/>
          <w:b w:val="false"/>
          <w:color w:val="000000"/>
          <w:sz w:val="24"/>
        </w:rPr>
        <w:t>We are delighted to provide Caldolor for these youngest of patients,” said A.J. Kazimi, chief executive officer of Cumberland Pharmaceuticals. “We believe that this approval for the product’s use in infants speaks to Caldolor’s favorable safety profile for use in a growing number of patient populations.”</w:t>
      </w:r>
    </w:p>
    <w:p>
      <w:pPr>
        <w:pStyle w:val="TextBody"/>
        <w:bidi w:val="0"/>
        <w:spacing w:lineRule="auto" w:line="333" w:before="119" w:after="283"/>
        <w:jc w:val="both"/>
        <w:rPr>
          <w:rFonts w:ascii="Times New Roman;sans-serif" w:hAnsi="Times New Roman;sans-serif"/>
          <w:b w:val="false"/>
          <w:color w:val="000000"/>
          <w:sz w:val="24"/>
        </w:rPr>
      </w:pPr>
      <w:r>
        <w:rPr>
          <w:rFonts w:ascii="Times New Roman;sans-serif" w:hAnsi="Times New Roman;sans-serif"/>
          <w:b w:val="false"/>
          <w:color w:val="000000"/>
          <w:sz w:val="24"/>
        </w:rPr>
        <w:t>Cumberland previously announced FDA approval for use in pre-operative administration. The non-narcotic pain reliever may be administered just prior to surgery, which enables patients to wake up from their procedures in significantly less pain. Caldolor presents a potentially safer alternative to opioids for controlling pain, as the FDA has recently required new safety warnings on the use of opioids.</w:t>
      </w:r>
    </w:p>
    <w:p>
      <w:pPr>
        <w:pStyle w:val="TextBody"/>
        <w:bidi w:val="0"/>
        <w:spacing w:lineRule="auto" w:line="333" w:before="160" w:after="283"/>
        <w:jc w:val="both"/>
        <w:rPr/>
      </w:pPr>
      <w:r>
        <w:rPr>
          <w:rFonts w:ascii="Times New Roman;sans-serif" w:hAnsi="Times New Roman;sans-serif"/>
          <w:b w:val="false"/>
          <w:color w:val="000000"/>
          <w:sz w:val="24"/>
        </w:rPr>
        <w:t xml:space="preserve">In addition, the Company recently reported that it expects Caldolor will be eligible for special Medicare reimbursement under the </w:t>
      </w:r>
      <w:r>
        <w:rPr>
          <w:rFonts w:ascii="Times New Roman;sans-serif" w:hAnsi="Times New Roman;sans-serif"/>
          <w:b w:val="false"/>
          <w:i/>
          <w:color w:val="000000"/>
          <w:sz w:val="24"/>
        </w:rPr>
        <w:t xml:space="preserve">Non-Opioids Prevent Addiction in the Nation Act </w:t>
      </w:r>
      <w:r>
        <w:rPr>
          <w:rFonts w:ascii="Times New Roman;sans-serif" w:hAnsi="Times New Roman;sans-serif"/>
          <w:b w:val="false"/>
          <w:color w:val="000000"/>
          <w:sz w:val="24"/>
        </w:rPr>
        <w:t>(the “NOPAIN Act”), which was enacted as part of the Consolidated Appropriations Act of 2023.</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1001</Words>
  <Characters>5606</Characters>
  <CharactersWithSpaces>6569</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