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42,656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42,666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42,676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42,686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42,696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42,806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42,814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925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6Exercisable.DateExercisableDate and   7Title.Title Sharesand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0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purchases occurred automatically pursuant to a Rule 10b5-1 trading plan adopted by the reporting person on November 14, 2024.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James Jones by /s/ John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Hamm as attorney-in-fact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04/04/2025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0" w:type="dxa"/>
            <w:vAlign w:val="bottom"/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5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7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80" w:type="dxa"/>
            <w:vAlign w:val="bottom"/>
            <w:gridSpan w:val="9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2"/>
              </w:rPr>
              <w:t>See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>18 U.S.C. 1001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Expiration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>and15 U.S.C. 78ff(a)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70"/>
              </w:rPr>
              <w:t>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808080"/>
            </w:tcBorders>
            <w:gridSpan w:val="10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9"/>
                <w:szCs w:val="9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Instruction 6 for procedure.</w:t>
            </w: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0829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2025-04-04T12:41:43Z</dcterms:created>
  <dcterms:modified xsi:type="dcterms:W3CDTF">2025-04-04T12:41:43Z</dcterms:modified>
</cp:coreProperties>
</file>