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340" w:right="3699" w:hanging="8"/>
        <w:spacing w:after="0" w:line="217" w:lineRule="exact"/>
        <w:tabs>
          <w:tab w:leader="none" w:pos="59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7"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97"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Payment of Filing Fee </w:t>
      </w:r>
      <w:r>
        <w:rPr>
          <w:rFonts w:ascii="Times New Roman" w:cs="Times New Roman" w:eastAsia="Times New Roman" w:hAnsi="Times New Roman"/>
          <w:sz w:val="16"/>
          <w:szCs w:val="16"/>
          <w:color w:val="auto"/>
        </w:rPr>
        <w:t>(Check the appropriate box):</w:t>
      </w:r>
    </w:p>
    <w:p>
      <w:pPr>
        <w:spacing w:after="0" w:line="144"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60" w:hanging="534"/>
        <w:spacing w:after="0"/>
        <w:tabs>
          <w:tab w:leader="none" w:pos="5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44" w:lineRule="exact"/>
        <w:rPr>
          <w:rFonts w:ascii="Wingdings" w:cs="Wingdings" w:eastAsia="Wingdings" w:hAnsi="Wingdings"/>
          <w:sz w:val="18"/>
          <w:szCs w:val="18"/>
          <w:b w:val="1"/>
          <w:bCs w:val="1"/>
          <w:color w:val="auto"/>
        </w:rPr>
      </w:pPr>
    </w:p>
    <w:p>
      <w:pPr>
        <w:ind w:left="760" w:hanging="41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2"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52" w:lineRule="exact"/>
        <w:rPr>
          <w:rFonts w:ascii="Times New Roman" w:cs="Times New Roman" w:eastAsia="Times New Roman" w:hAnsi="Times New Roman"/>
          <w:sz w:val="18"/>
          <w:szCs w:val="18"/>
          <w:color w:val="auto"/>
        </w:rPr>
      </w:pPr>
    </w:p>
    <w:p>
      <w:pPr>
        <w:ind w:left="760" w:right="1379" w:hanging="410"/>
        <w:spacing w:after="0" w:line="237"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98"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-1464945</wp:posOffset>
            </wp:positionV>
            <wp:extent cx="6360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-1182370</wp:posOffset>
            </wp:positionV>
            <wp:extent cx="5109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0921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-890905</wp:posOffset>
            </wp:positionV>
            <wp:extent cx="5109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-496570</wp:posOffset>
            </wp:positionV>
            <wp:extent cx="5109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-213360</wp:posOffset>
            </wp:positionV>
            <wp:extent cx="5109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0921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77470</wp:posOffset>
            </wp:positionV>
            <wp:extent cx="5109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232" w:lineRule="exact"/>
        <w:rPr>
          <w:sz w:val="24"/>
          <w:szCs w:val="24"/>
          <w:color w:val="auto"/>
        </w:rPr>
      </w:pPr>
    </w:p>
    <w:p>
      <w:pPr>
        <w:ind w:left="680" w:hanging="478"/>
        <w:spacing w:after="0"/>
        <w:tabs>
          <w:tab w:leader="none" w:pos="6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sz w:val="24"/>
          <w:szCs w:val="24"/>
          <w:color w:val="auto"/>
        </w:rPr>
      </w:pPr>
    </w:p>
    <w:p>
      <w:pPr>
        <w:ind w:left="680" w:right="179" w:hanging="421"/>
        <w:spacing w:after="0" w:line="226" w:lineRule="auto"/>
        <w:tabs>
          <w:tab w:leader="none" w:pos="680" w:val="left"/>
        </w:tabs>
        <w:numPr>
          <w:ilvl w:val="1"/>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0"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9"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65"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-1096645</wp:posOffset>
            </wp:positionV>
            <wp:extent cx="601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-796290</wp:posOffset>
            </wp:positionV>
            <wp:extent cx="4534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-487680</wp:posOffset>
            </wp:positionV>
            <wp:extent cx="4534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-213360</wp:posOffset>
            </wp:positionV>
            <wp:extent cx="4534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68580</wp:posOffset>
            </wp:positionV>
            <wp:extent cx="4534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139"/>
          </w:cols>
          <w:pgMar w:left="320" w:top="1019" w:right="1440" w:bottom="1440" w:gutter="0" w:footer="0" w:header="0"/>
        </w:sectPr>
      </w:pPr>
    </w:p>
    <w:bookmarkStart w:id="1" w:name="page2"/>
    <w:bookmarkEnd w:id="1"/>
    <w:p>
      <w:pPr>
        <w:jc w:val="center"/>
        <w:ind w:right="-3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Page Number</w:t>
            </w:r>
          </w:p>
        </w:tc>
      </w:tr>
      <w:tr>
        <w:trPr>
          <w:trHeight w:val="357"/>
        </w:trPr>
        <w:tc>
          <w:tcPr>
            <w:tcW w:w="4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NOTICE OF ANNUAL MEETING OF SHAREHOLDERS</w:t>
            </w:r>
          </w:p>
        </w:tc>
        <w:tc>
          <w:tcPr>
            <w:tcW w:w="4000" w:type="dxa"/>
            <w:vAlign w:val="bottom"/>
            <w:gridSpan w:val="4"/>
          </w:tcPr>
          <w:p>
            <w:pPr>
              <w:spacing w:after="0"/>
              <w:rPr>
                <w:sz w:val="24"/>
                <w:szCs w:val="24"/>
                <w:color w:val="auto"/>
              </w:rPr>
            </w:pPr>
          </w:p>
        </w:tc>
        <w:tc>
          <w:tcPr>
            <w:tcW w:w="15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0000FF"/>
                <w:w w:val="88"/>
              </w:rPr>
              <w:t>1</w:t>
            </w:r>
          </w:p>
        </w:tc>
      </w:tr>
      <w:tr>
        <w:trPr>
          <w:trHeight w:val="209"/>
        </w:trPr>
        <w:tc>
          <w:tcPr>
            <w:tcW w:w="8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PROXY STATEMENT FOR ANNUAL MEETING OF SHAREHOLDERS TO BE HELD APRIL 23, 2024</w:t>
            </w:r>
          </w:p>
        </w:tc>
        <w:tc>
          <w:tcPr>
            <w:tcW w:w="15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0000FF"/>
                <w:w w:val="88"/>
              </w:rPr>
              <w:t>4</w:t>
            </w:r>
          </w:p>
        </w:tc>
      </w:tr>
      <w:tr>
        <w:trPr>
          <w:trHeight w:val="210"/>
        </w:trPr>
        <w:tc>
          <w:tcPr>
            <w:tcW w:w="10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PROPOSAL I</w:t>
            </w:r>
          </w:p>
        </w:tc>
        <w:tc>
          <w:tcPr>
            <w:tcW w:w="6760" w:type="dxa"/>
            <w:vAlign w:val="bottom"/>
            <w:tcBorders>
              <w:top w:val="single" w:sz="8" w:color="0000FF"/>
            </w:tcBorders>
            <w:gridSpan w:val="11"/>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0000FF"/>
                <w:w w:val="88"/>
              </w:rPr>
              <w:t>7</w:t>
            </w:r>
          </w:p>
        </w:tc>
      </w:tr>
      <w:tr>
        <w:trPr>
          <w:trHeight w:val="209"/>
        </w:trPr>
        <w:tc>
          <w:tcPr>
            <w:tcW w:w="1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PROPOSAL II</w:t>
            </w:r>
          </w:p>
        </w:tc>
        <w:tc>
          <w:tcPr>
            <w:tcW w:w="7240" w:type="dxa"/>
            <w:vAlign w:val="bottom"/>
            <w:gridSpan w:val="11"/>
          </w:tcPr>
          <w:p>
            <w:pPr>
              <w:spacing w:after="0"/>
              <w:rPr>
                <w:sz w:val="18"/>
                <w:szCs w:val="18"/>
                <w:color w:val="auto"/>
              </w:rPr>
            </w:pPr>
          </w:p>
        </w:tc>
        <w:tc>
          <w:tcPr>
            <w:tcW w:w="15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09"/>
        </w:trPr>
        <w:tc>
          <w:tcPr>
            <w:tcW w:w="8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AUDIT COMMITTEE REPORT</w:t>
            </w: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12</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6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1600" w:type="dxa"/>
            <w:vAlign w:val="bottom"/>
            <w:gridSpan w:val="2"/>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16</w:t>
            </w:r>
          </w:p>
        </w:tc>
      </w:tr>
      <w:tr>
        <w:trPr>
          <w:trHeight w:val="209"/>
        </w:trPr>
        <w:tc>
          <w:tcPr>
            <w:tcW w:w="8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DELINQUENT SECTION 16(a) REPORTS</w:t>
            </w: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17</w:t>
            </w:r>
          </w:p>
        </w:tc>
      </w:tr>
      <w:tr>
        <w:trPr>
          <w:trHeight w:val="20"/>
        </w:trPr>
        <w:tc>
          <w:tcPr>
            <w:tcW w:w="1460" w:type="dxa"/>
            <w:vAlign w:val="bottom"/>
            <w:gridSpan w:val="3"/>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0"/>
        </w:trPr>
        <w:tc>
          <w:tcPr>
            <w:tcW w:w="3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COMPENSATION DISCUSSION AND ANALYSIS</w:t>
            </w:r>
          </w:p>
        </w:tc>
        <w:tc>
          <w:tcPr>
            <w:tcW w:w="4480" w:type="dxa"/>
            <w:vAlign w:val="bottom"/>
            <w:gridSpan w:val="5"/>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18</w:t>
            </w:r>
          </w:p>
        </w:tc>
      </w:tr>
      <w:tr>
        <w:trPr>
          <w:trHeight w:val="210"/>
        </w:trPr>
        <w:tc>
          <w:tcPr>
            <w:tcW w:w="5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 AND RELATED INFORMATION</w:t>
            </w:r>
          </w:p>
        </w:tc>
        <w:tc>
          <w:tcPr>
            <w:tcW w:w="3320" w:type="dxa"/>
            <w:vAlign w:val="bottom"/>
            <w:gridSpan w:val="3"/>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26</w:t>
            </w:r>
          </w:p>
        </w:tc>
      </w:tr>
      <w:tr>
        <w:trPr>
          <w:trHeight w:val="209"/>
        </w:trPr>
        <w:tc>
          <w:tcPr>
            <w:tcW w:w="2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GRANTS OF PLAN-BASED AWARDS</w:t>
            </w:r>
          </w:p>
        </w:tc>
        <w:tc>
          <w:tcPr>
            <w:tcW w:w="5380" w:type="dxa"/>
            <w:vAlign w:val="bottom"/>
            <w:gridSpan w:val="7"/>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10"/>
        </w:trPr>
        <w:tc>
          <w:tcPr>
            <w:tcW w:w="2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CORPORATE GOVERNANCE</w:t>
            </w:r>
          </w:p>
        </w:tc>
        <w:tc>
          <w:tcPr>
            <w:tcW w:w="6000" w:type="dxa"/>
            <w:vAlign w:val="bottom"/>
            <w:gridSpan w:val="9"/>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9"/>
        </w:trPr>
        <w:tc>
          <w:tcPr>
            <w:tcW w:w="8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SHAREHOLDER PROPOSALS</w:t>
            </w: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9"/>
        </w:trPr>
        <w:tc>
          <w:tcPr>
            <w:tcW w:w="24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5940" w:type="dxa"/>
            <w:vAlign w:val="bottom"/>
            <w:gridSpan w:val="8"/>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840"/>
          </w:cols>
          <w:pgMar w:left="840" w:top="1413" w:right="12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2351405</wp:posOffset>
            </wp:positionH>
            <wp:positionV relativeFrom="page">
              <wp:posOffset>911860</wp:posOffset>
            </wp:positionV>
            <wp:extent cx="285432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8543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14,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3E7E"/>
        </w:rPr>
        <w:t>DEAR FELLOW SHAREHOLDERS: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are invited to join us for the 2024 Annual Meeting of Shareholders of Cumberland Pharmaceuticals Inc. The meeting will be held on April 23, 2024 at 9:30 a.m. Central Time, at Cumberland’s Corporate Offices located at 1600 West End Avenue, Suite 1300, Nashville, Tennessee.</w:t>
      </w:r>
    </w:p>
    <w:p>
      <w:pPr>
        <w:spacing w:after="0" w:line="10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 xml:space="preserve">The enclosed </w:t>
      </w:r>
      <w:r>
        <w:rPr>
          <w:rFonts w:ascii="Times New Roman" w:cs="Times New Roman" w:eastAsia="Times New Roman" w:hAnsi="Times New Roman"/>
          <w:sz w:val="22"/>
          <w:szCs w:val="22"/>
          <w:i w:val="1"/>
          <w:iCs w:val="1"/>
          <w:color w:val="auto"/>
        </w:rPr>
        <w:t>Notice of Annual Meeting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Proxy Statement</w:t>
      </w:r>
      <w:r>
        <w:rPr>
          <w:rFonts w:ascii="Times New Roman" w:cs="Times New Roman" w:eastAsia="Times New Roman" w:hAnsi="Times New Roman"/>
          <w:sz w:val="22"/>
          <w:szCs w:val="22"/>
          <w:color w:val="auto"/>
        </w:rPr>
        <w:t xml:space="preserve"> describe the formal business to be transacted at this year's Annual Meeting. The Board's recommendations on these items are included with the proposals, and your support is important.</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Shareholders of record can vote their shares by marking the enclosed proxy, signing and dating the proxy card and mailing it in the enclosed envelope. Shareholders can also vote using the Internet or mobile device. Instructions for using these alternative voting methods are included in the enclosed proxy card.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62635"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J. Kazimi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APRIL 23, 2024</w:t>
      </w:r>
    </w:p>
    <w:p>
      <w:pPr>
        <w:spacing w:after="0" w:line="200" w:lineRule="exact"/>
        <w:rPr>
          <w:sz w:val="20"/>
          <w:szCs w:val="20"/>
          <w:color w:val="auto"/>
        </w:rPr>
      </w:pPr>
    </w:p>
    <w:p>
      <w:pPr>
        <w:spacing w:after="0" w:line="3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2024 Annual Meeting of Shareholders of Cumberland Pharmaceuticals Inc., will be held on April 23, 2024, at 9:30 a.m. Central Time, at the Cumberland Pharmaceuticals Inc., Music City Boardroom, 1600 West End Avenue, Suite 1300, Nashville, Tennessee 37203. The items of business are:</w:t>
      </w:r>
    </w:p>
    <w:p>
      <w:pPr>
        <w:spacing w:after="0" w:line="100" w:lineRule="exact"/>
        <w:rPr>
          <w:sz w:val="20"/>
          <w:szCs w:val="20"/>
          <w:color w:val="auto"/>
        </w:rPr>
      </w:pPr>
    </w:p>
    <w:p>
      <w:pPr>
        <w:ind w:left="760" w:hanging="428"/>
        <w:spacing w:after="0"/>
        <w:tabs>
          <w:tab w:leader="none" w:pos="7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consider and act upon a proposal to elect to the Company's Board of Directors, Mr. Martin S. Brown, Jr. and Mr. James R. Jones;</w:t>
      </w:r>
    </w:p>
    <w:p>
      <w:pPr>
        <w:spacing w:after="0" w:line="173" w:lineRule="exact"/>
        <w:rPr>
          <w:rFonts w:ascii="Times New Roman" w:cs="Times New Roman" w:eastAsia="Times New Roman" w:hAnsi="Times New Roman"/>
          <w:sz w:val="19"/>
          <w:szCs w:val="19"/>
          <w:color w:val="auto"/>
        </w:rPr>
      </w:pPr>
    </w:p>
    <w:p>
      <w:pPr>
        <w:ind w:left="660" w:hanging="328"/>
        <w:spacing w:after="0" w:line="269" w:lineRule="auto"/>
        <w:tabs>
          <w:tab w:leader="none" w:pos="8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a proposal to consider the appointment of Carr, Riggs &amp; Ingram, LLC, as the Company's independent registered public accounting firm for the 2024 fiscal year;</w:t>
      </w:r>
    </w:p>
    <w:p>
      <w:pPr>
        <w:spacing w:after="0" w:line="105"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business that may properly come before our annual meeting.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Shareholders of record at the close of business on March 1, 2024 are entitled to receive notification and vote at the Annual Meeting and any adjournments or postponements of the meeting. If you were a shareholder at the close of business on March 1, 2024, you are entitled to vote at the Annual Meeting.</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furnishing our proxy materials to you under Securities and Exchange Commission rules that allow companies to deliver proxy materials to their shareholders on the Internet. We believe this approach allows us to provide shareholders with a timely and convenient way to receive proxy materials and vote, while lowering the costs of delivery and reducing the environmental impact of our Annual Meeting. On or about March 14, 2024, we will begin mailing a Notice of Internet Availability of Proxy Materials (“Notice”) to our shareholders. We have provided access to our proxy materials on the Internet. The proxy materials include our 2023 Annual Report to Shareholders, our Annual Report on Form 10-K for 2023 and the Proxy Statement and proxy card.</w:t>
      </w:r>
    </w:p>
    <w:p>
      <w:pPr>
        <w:spacing w:after="0" w:line="200" w:lineRule="exact"/>
        <w:rPr>
          <w:sz w:val="20"/>
          <w:szCs w:val="20"/>
          <w:color w:val="auto"/>
        </w:rPr>
      </w:pPr>
    </w:p>
    <w:p>
      <w:pPr>
        <w:spacing w:after="0" w:line="2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Whether or not you plan to attend the Annual Meeting, we ask that you carefully read through the proxy statement and the voting instructions to ensure that your shares are represented. If you attend the meeting you may withdraw any previously given proxy and vote your shares in person.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62635"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Chairman and Chief Executive Officer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SHAREHOLDERS MEETING TO BE HELD ON APRIL 23, 2024</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This Proxy Statement, our 2023 Annual Report to Shareholders and our Annual Report on Form 10-K for 2023 are available at: </w:t>
      </w:r>
      <w:r>
        <w:rPr>
          <w:rFonts w:ascii="Times New Roman" w:cs="Times New Roman" w:eastAsia="Times New Roman" w:hAnsi="Times New Roman"/>
          <w:sz w:val="20"/>
          <w:szCs w:val="20"/>
          <w:b w:val="1"/>
          <w:bCs w:val="1"/>
          <w:i w:val="1"/>
          <w:iCs w:val="1"/>
          <w:u w:val="single" w:color="auto"/>
          <w:color w:val="auto"/>
        </w:rPr>
        <w:t>http://www.cstproxy.com/cumberlandpharma/2023</w:t>
      </w:r>
      <w:r>
        <w:rPr>
          <w:rFonts w:ascii="Times New Roman" w:cs="Times New Roman" w:eastAsia="Times New Roman" w:hAnsi="Times New Roman"/>
          <w:sz w:val="20"/>
          <w:szCs w:val="20"/>
          <w:b w:val="1"/>
          <w:bCs w:val="1"/>
          <w:color w:val="auto"/>
        </w:rPr>
        <w:t>. Directions to attend the Annual Meeting and vote in person are available on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 xml:space="preserve">website, </w:t>
      </w:r>
      <w:r>
        <w:rPr>
          <w:rFonts w:ascii="Times New Roman" w:cs="Times New Roman" w:eastAsia="Times New Roman" w:hAnsi="Times New Roman"/>
          <w:sz w:val="20"/>
          <w:szCs w:val="20"/>
          <w:b w:val="1"/>
          <w:bCs w:val="1"/>
          <w:i w:val="1"/>
          <w:iCs w:val="1"/>
          <w:color w:val="auto"/>
        </w:rPr>
        <w:t>www.cumberlandpharma.com</w:t>
      </w:r>
      <w:r>
        <w:rPr>
          <w:rFonts w:ascii="Times New Roman" w:cs="Times New Roman" w:eastAsia="Times New Roman" w:hAnsi="Times New Roman"/>
          <w:sz w:val="20"/>
          <w:szCs w:val="20"/>
          <w:b w:val="1"/>
          <w:bCs w:val="1"/>
          <w:color w:val="auto"/>
        </w:rPr>
        <w:t xml:space="preserve">. From the homepage, link through the </w:t>
      </w:r>
      <w:r>
        <w:rPr>
          <w:rFonts w:ascii="Times New Roman" w:cs="Times New Roman" w:eastAsia="Times New Roman" w:hAnsi="Times New Roman"/>
          <w:sz w:val="20"/>
          <w:szCs w:val="20"/>
          <w:b w:val="1"/>
          <w:bCs w:val="1"/>
          <w:i w:val="1"/>
          <w:iCs w:val="1"/>
          <w:color w:val="auto"/>
        </w:rPr>
        <w:t>“Investor Relations”</w:t>
      </w:r>
      <w:r>
        <w:rPr>
          <w:rFonts w:ascii="Times New Roman" w:cs="Times New Roman" w:eastAsia="Times New Roman" w:hAnsi="Times New Roman"/>
          <w:sz w:val="20"/>
          <w:szCs w:val="20"/>
          <w:b w:val="1"/>
          <w:bCs w:val="1"/>
          <w:color w:val="auto"/>
        </w:rPr>
        <w:t xml:space="preserve"> page to the </w:t>
      </w:r>
      <w:r>
        <w:rPr>
          <w:rFonts w:ascii="Times New Roman" w:cs="Times New Roman" w:eastAsia="Times New Roman" w:hAnsi="Times New Roman"/>
          <w:sz w:val="20"/>
          <w:szCs w:val="20"/>
          <w:b w:val="1"/>
          <w:bCs w:val="1"/>
          <w:i w:val="1"/>
          <w:iCs w:val="1"/>
          <w:color w:val="auto"/>
        </w:rPr>
        <w:t>“Events Calendar”</w:t>
      </w:r>
      <w:r>
        <w:rPr>
          <w:rFonts w:ascii="Times New Roman" w:cs="Times New Roman" w:eastAsia="Times New Roman" w:hAnsi="Times New Roman"/>
          <w:sz w:val="20"/>
          <w:szCs w:val="20"/>
          <w:b w:val="1"/>
          <w:bCs w:val="1"/>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-194945</wp:posOffset>
            </wp:positionV>
            <wp:extent cx="1600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0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Voting Your Shares</w:t>
      </w:r>
    </w:p>
    <w:p>
      <w:pPr>
        <w:spacing w:after="0" w:line="260"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20"/>
          <w:szCs w:val="20"/>
          <w:color w:val="auto"/>
        </w:rPr>
        <w:t>You may vote if you owned shares of our common stock at the close of business on March 1, 2024. You may vote in person, or submit a proxy by the Internet, mobile device or mail as follows:</w:t>
      </w:r>
    </w:p>
    <w:tbl>
      <w:tblPr>
        <w:tblLayout w:type="fixed"/>
        <w:tblInd w:w="460" w:type="dxa"/>
        <w:tblCellMar>
          <w:top w:w="0" w:type="dxa"/>
          <w:left w:w="0" w:type="dxa"/>
          <w:bottom w:w="0" w:type="dxa"/>
          <w:right w:w="0" w:type="dxa"/>
        </w:tblCellMar>
      </w:tblPr>
      <w:tr>
        <w:trPr>
          <w:trHeight w:val="200"/>
        </w:trPr>
        <w:tc>
          <w:tcPr>
            <w:tcW w:w="166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Internet:</w:t>
            </w:r>
          </w:p>
        </w:tc>
        <w:tc>
          <w:tcPr>
            <w:tcW w:w="1760" w:type="dxa"/>
            <w:vAlign w:val="bottom"/>
            <w:tcBorders>
              <w:bottom w:val="single" w:sz="8" w:color="auto"/>
            </w:tcBorders>
          </w:tcPr>
          <w:p>
            <w:pPr>
              <w:spacing w:after="0" w:line="200" w:lineRule="exact"/>
              <w:rPr>
                <w:sz w:val="20"/>
                <w:szCs w:val="20"/>
                <w:color w:val="auto"/>
              </w:rPr>
            </w:pPr>
            <w:r>
              <w:rPr>
                <w:rFonts w:ascii="Times New Roman" w:cs="Times New Roman" w:eastAsia="Times New Roman" w:hAnsi="Times New Roman"/>
                <w:sz w:val="18"/>
                <w:szCs w:val="18"/>
                <w:b w:val="1"/>
                <w:bCs w:val="1"/>
                <w:color w:val="auto"/>
                <w:w w:val="97"/>
              </w:rPr>
              <w:t>www.cstproxyvote.com</w:t>
            </w:r>
          </w:p>
        </w:tc>
        <w:tc>
          <w:tcPr>
            <w:tcW w:w="4520" w:type="dxa"/>
            <w:vAlign w:val="bottom"/>
          </w:tcPr>
          <w:p>
            <w:pPr>
              <w:spacing w:after="0"/>
              <w:rPr>
                <w:sz w:val="17"/>
                <w:szCs w:val="17"/>
                <w:color w:val="auto"/>
              </w:rPr>
            </w:pPr>
          </w:p>
        </w:tc>
      </w:tr>
      <w:tr>
        <w:trPr>
          <w:trHeight w:val="24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Mail:</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Complete, sign, date and return your proxy card in the postage-paid envelope provided.</w:t>
            </w: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In Person:</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Attend our annual meeting and vote by ballot</w:t>
            </w:r>
          </w:p>
        </w:tc>
      </w:tr>
    </w:tbl>
    <w:p>
      <w:pPr>
        <w:spacing w:after="0" w:line="2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If you submit your proxy via Internet, you do not need to return your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color w:val="auto"/>
        </w:rPr>
        <w:t>CUMBERLAND PHARMACEUTICALS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Nashville, Tennessee 37203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ANNUAL MEETING OF SHAREHOLDERS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APRIL 23, 2024</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Proxy Statement accompanies the Notice of Annual Meeting of Shareholders of Cumberland Pharmaceuticals Inc., a Tennessee corporation (“we,” “our,” "Cumberland," or “the Company”), in connection with the solicitation of proxies by and on behalf of our Board of Directors for use at our Annual Meeting to be held on April 23, 2024, at 9:30 a.m. Central Time, at the offices of Cumberland Pharmaceuticals Inc., 1600 West End Avenue, Suite 1300, Nashville, Tennessee 37203, and at any postponement or adjournment of the meeting.</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furnishing proxy materials to our shareholders primarily via the Internet under rules adopted by the Securities and Exchange Commission (the "SEC"), instead of mailing printed copies of those materials to each shareholder. These materials are available to shareholders via the Internet at the following website: </w:t>
      </w:r>
      <w:r>
        <w:rPr>
          <w:rFonts w:ascii="Times New Roman" w:cs="Times New Roman" w:eastAsia="Times New Roman" w:hAnsi="Times New Roman"/>
          <w:sz w:val="18"/>
          <w:szCs w:val="18"/>
          <w:b w:val="1"/>
          <w:bCs w:val="1"/>
          <w:i w:val="1"/>
          <w:iCs w:val="1"/>
          <w:u w:val="single" w:color="auto"/>
          <w:color w:val="auto"/>
        </w:rPr>
        <w:t>http://www.cstproxy.com/cumberlandpharma/2024</w:t>
      </w:r>
      <w:r>
        <w:rPr>
          <w:rFonts w:ascii="Times New Roman" w:cs="Times New Roman" w:eastAsia="Times New Roman" w:hAnsi="Times New Roman"/>
          <w:sz w:val="18"/>
          <w:szCs w:val="18"/>
          <w:color w:val="auto"/>
        </w:rPr>
        <w:t>. On March 14, 2024, we will begin mailing to our shareholders a Notice of Internet Availability of Proxy Materials containing instructions on how to access our 2023 Annual Report to Shareholders, our Annual Report on Form 10-K for 2023 and the Proxy Statement and proxy card. The Notice of Internet Availability of Proxy Materials also instructs you on how to access your proxy card or to vote via the Internet or mobile device. We pay the entire cost of soliciting your proxy, including the cost of preparing, assembling, printing, mailing or otherwise distributing the Notice of Internet Availability of Proxy Materials and these proxy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process is designed to expedite the shareholders receipt of proxy materials, lower the cost of the Annual Meeting and help conserve natural resources. If you receive a Notice of Internet Availability of Proxy Materials by mail, you will not receive a printed copy of the proxy materials in the mail unless you request a copy. Shareholders who would prefer to continue to receive printed proxy materials should follow the instructions included in the Notice of Internet Availability of Proxy Materials.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2024 Annual Meeting?</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2024 Annual Meeting, shareholders will act upon the matters outlined in the attached Notice of Annual Meeting and described in detail in this Proxy Statement, which are:</w:t>
      </w:r>
    </w:p>
    <w:p>
      <w:pPr>
        <w:spacing w:after="0" w:line="94" w:lineRule="exact"/>
        <w:rPr>
          <w:sz w:val="20"/>
          <w:szCs w:val="20"/>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act upon a proposal to elect to the Company's Board of Directors, Mr. Martin S. Brown, Jr. and Mr. James R. Jones;</w:t>
      </w:r>
    </w:p>
    <w:p>
      <w:pPr>
        <w:spacing w:after="0" w:line="15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Carr, Riggs &amp; Ingram, LLC as our independent registered public accounting firm for 2024;</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our annual meeting or any postponement or adjournment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management will report on our performance during the fiscal year ended December 31, 2023 and respond to questions from shareholders.</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the Board does not anticipate that any other matters will come before the 2024 Annual Meeting, your executed proxy gives the official proxies the right to vote your shares at their discretion on any other matter properly brought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07" w:right="339" w:bottom="1440" w:gutter="0" w:footer="0" w:header="0"/>
        </w:sectPr>
      </w:pPr>
    </w:p>
    <w:bookmarkStart w:id="6" w:name="page7"/>
    <w:bookmarkEnd w:id="6"/>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2024 Annual Meeting?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Only shareholders of record at the close of business on March 1, 2024, or the “record date,” will be entitled to notice of, and to vote at, the Annual Meeting or any adjournment or postponement of the meeting.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Voting Rights of the Holders of Our Common Stock?</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Holders of our common stock are entitled to one vote per share with respect to each of the matters to be presented at the Annual Meeting. With regard to the election of directors, holders of common stock are entitled to vote for as many individuals as there are director seats to be elected, which for the 2024 Annual Meeting includes two (2) Class II director seats. The election of directors is by plurality voting, meaning that the two nominees receiving the greatest number of votes cast will be elected; provided that a quorum is present. On each other matter to be presented, a matter will be approved if the votes cast in favor of the action exceed the votes cast opposing the action.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Abstentions will not be counted towards the tabulation of votes cast on matters properly presented to the shareholders (except the election of directors). In the election of directors, if more votes are withheld than votes for the election of a director, that director must tender his or her resignation to the Board of Directors; the Board of Directors will have 90 days to consider the matter and act. Any director who tenders his or her resignation due to this process cannot participate in any decision, unless the election resulted in less than two directors serving on the Board of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provide that the presence, in person or by proxy, of the holders of a majority of shares entitled to vote at our Annual Meeting shall constitute a quorum. On the record date there were 14,073,943 shares of our common stock (excluding restricted shares) issued and outstanding and such shares are the only shares entitled to vote at the Annual Meeting. Therefore, we anticipate that the quorum for our Annual Meeting will be 7,036,972 shares.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Your Proxy may be sent directly to the broker that holds your shares. A broker may vote your shares on your behalf without instructions for routine matters. However, a broker must have instructions from you to vote your shares with respect to non-routine matters, such as Proposals I and II. A vote that is not cast because the broker lacks instructions from you is called a “broker non-vote.” Broker non-votes will be treated as shares present for the purpose of determining whether a general quorum is present at the Annual Meeting, but they will not be counted as a vote FOR or AGAINST a non-routine matter or as an abstention on any non-routine matter.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Board’s Recommendations?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Unless you provide other instructions on your proxy card, the persons named as proxy holders on the proxy card will vote in accordance with the recommendations of the Board of Directors. The Board’s recommendations are set forth together with the description of the Proposal in this Proxy Statement. In summary, 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election to the Board of Directors of the nominees for the two (2) Class II directorships named in this Proxy Statement (see Proposal I), and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Carr, Riggs &amp; Ingram, LLC as our independent registered public accounting firm for the year ending December 31, 2024 (see Proposal II).</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holders will vote in their discretion with respect to any other matter that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40" w:right="339" w:bottom="1440" w:gutter="0" w:footer="0" w:header="0"/>
        </w:sectPr>
      </w:pPr>
    </w:p>
    <w:bookmarkStart w:id="7" w:name="page8"/>
    <w:bookmarkEnd w:id="7"/>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the enclosed proxy card is executed, returned in time and not revoked, the shares represented thereby will be voted at the Annual Meeting and at any postponement or adjournment of the meeting in accordance with the instructions indicated on such proxy. </w:t>
      </w:r>
      <w:r>
        <w:rPr>
          <w:rFonts w:ascii="Times New Roman" w:cs="Times New Roman" w:eastAsia="Times New Roman" w:hAnsi="Times New Roman"/>
          <w:sz w:val="18"/>
          <w:szCs w:val="18"/>
          <w:b w:val="1"/>
          <w:bCs w:val="1"/>
          <w:color w:val="auto"/>
        </w:rPr>
        <w:t>IF NO INSTRUCTIONS ARE INDICATED</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ON THE PROXY CARD, THE OFFICIAL PROXIES WILL VOTE (1) “FOR” PROPOSAL I DESCRIBED IN THIS PROXY STATEMENT: (2) "FOR" THE RATIFICATION OF THE APPOINTMENT OF CARR, RIGGS &amp; INGRAM, LLC AS OUR INDEPENDENT REGISTERED PUBLIC ACCOUNTING FIRM FOR THE YEAR ENDING DECEMBER 31, 2024; AND (3) AS TO ANY OTHER MATTERS PROPERLY BROUGHT BEFORE THE ANNUAL MEETING OR ANY POSTPONEMENT OR ADJOURNMENT THEREOF, IN THE SOLE DISCRETION OF THE PROXY HOLDERS.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shareholder who has returned a proxy card may revoke it at any time prior to its exercise at the Annual Meeting by (i) giving written notice of revocation to our Corporate Secretary, (ii) properly submitting to Cumberland Pharmaceuticals Inc. a duly executed proxy bearing a later date or (iii) appearing at the Annual Meeting and voting in person. All written notices of revocation of proxies should be addressed as follows: Cumberland Pharmaceuticals Inc., 1600 West End Avenue, Suite 1300, Nashville, Tennessee 37203, 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April 23, 2024, our Board of Directors will consist of seven directors, divided into three classes, serving staggered three-year terms. One of three classes is elected each year to succeed the directors whose terms are expiring. At this 2024 Annual Meeting, the term of the two (2) Class II directors expire. The individuals nominated for election as director in Class II at this 2024 Annual Meeting would, if elected, hold office for a three-year term expiring in 2027.</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Brown and Mr. Jones are currently serving as directors of the Company. There are currently five independent directors serving on our Board.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to serve as Class II directors, for term expiring in 2027</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Martin S. Brown, Jr</w:t>
      </w:r>
      <w:r>
        <w:rPr>
          <w:rFonts w:ascii="Times New Roman" w:cs="Times New Roman" w:eastAsia="Times New Roman" w:hAnsi="Times New Roman"/>
          <w:sz w:val="18"/>
          <w:szCs w:val="18"/>
          <w:color w:val="auto"/>
        </w:rPr>
        <w:t>. Mr. Brown, 59, previously served for ten years on the Board of Directors of Brown-Forman which is a New York Stock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listed company. For more than thirty years, Mr. Brown has also been a practicing attorney in Nashville with Adams and Reese, LLP, and its predecessor firm. Adams and Reese is a multi state law firm with nearly 250 attorneys located in 20 offices. His clients primarily are privately held businesses and their owners. He has been listed in Best Lawyers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national peer review guide in the corporate law category since 2009. Mr. Brown earned his law degree from Vanderbilt University after receiving his undergraduate degree from Yale University. Since 2018 he has served on the Board of Directors of the parent company of Aegis Sciences Corporation, a rapidly growing forensic toxicology laboratory. Mr. Brown also has served as a board member or officer for many community organizations, including the Land Trust for Tennessee, Nashville Public Radio, Montgomery Bell Academy, Nashville Public Television, Centerstone Mental Health Center, Cheekwood Estate and Gardens, and the Tennessee chapter of the Nature Conservancy. He is a member of the Economic Club of Nashville and the Nashville Capital Network. The Board believes Mr. Brown’s significant legal knowledge and experience with a public listed company are critical as the Company continues to navigate the responsibilities associated with being a public company.</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James R. Jones</w:t>
      </w:r>
      <w:r>
        <w:rPr>
          <w:rFonts w:ascii="Times New Roman" w:cs="Times New Roman" w:eastAsia="Times New Roman" w:hAnsi="Times New Roman"/>
          <w:sz w:val="18"/>
          <w:szCs w:val="18"/>
          <w:color w:val="auto"/>
        </w:rPr>
        <w:t>. Mr. Jones, 76, has served as a member of our Board of Directors since 2010 and is Chair of our Audit Committee. Mr. Jones’ 36-year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career in professional accounting at KPMG LLP included the role of Managing Partner at their Nashville, Tennessee office from 1999 to 2006. He served in various capacities during his career at KPMG which also included positions at their offices in Jackson, Mississippi, Washington, D.C. and Greenville, South Carolina. During his tenure with KPMG, Mr. Jones led a team of more than 100 individuals providing accounting services for an extensive client base. Following retirement in 2006, he has served as an advisor as well as provided various consulting services to several companies, including acting as liaison between management and the board of directors of a long-term care facility and serving as interim CEO of a charitable organization. He is currently a board director and member of the audit committees of Argent Trust Company of Tennessee and Belmont University. Mr. Jones also serves as a member of our Audit Committee and is our Audit Committee financial expert. Mr. Jones holds a B.S. from Mississippi College and an M.B.A from Mississippi State University. The board believes Mr. Jones’ significant accounting background will strengthen Cumberland’s existing financial capabilities and play a key role as the company is subject to increasingly stringent accounting and auditing regulations as a public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413" w:right="339" w:bottom="1440" w:gutter="0" w:footer="0" w:header="0"/>
        </w:sectPr>
      </w:pPr>
    </w:p>
    <w:bookmarkStart w:id="9" w:name="page10"/>
    <w:bookmarkEnd w:id="9"/>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 Expected to Stand For Re-Election in 2025</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Gordon R. Bernard. </w:t>
      </w:r>
      <w:r>
        <w:rPr>
          <w:rFonts w:ascii="Times New Roman" w:cs="Times New Roman" w:eastAsia="Times New Roman" w:hAnsi="Times New Roman"/>
          <w:sz w:val="18"/>
          <w:szCs w:val="18"/>
          <w:color w:val="auto"/>
        </w:rPr>
        <w:t>Dr. Bernard, 72, served as our Medical Director from 1999 until 2010 and currently serves as Chair of our Medical Advisory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has served on our board of directors since 2010. Dr. Bernard is currently the Melinda Owen Bass Professor of Medicine and former Chief of the Division for Allergy, Pulmonary &amp; Critical Care Medicine for Vanderbilt University Medical Center . In addition, he was formerly the Executive Vice President for Research at Vanderbilt and former Chairman of Vanderbilt’s Pharmacy and Therapeutics Committee, which is responsible for approving the Vanderbilt Medical Center Formulary of approved drugs and therapeutics. Dr. Bernard has been conducting national and international trials of pharmaceuticals since 1980 and he has been steering committee chair of the National Institutes of Health, Acute Respiratory Distress Syndrome Clinical Trials Network since its inception in 1994 through its conclusion in 2014. This network is one of the few federally supported ongoing systems for the conduct of research in the hospital Intensive Care Unit, or ICU. He holds a B.S. from the University of Southwestern Louisiana and an M.D. from Louisiana State University. Dr. Bernard maintains an active practice as an Intensivist in the Medical ICU at Vanderbilt and is therefore in a position to observe, first hand, the pharmaceutical management issues surrounding the care of a wide variety of the most severely ill patients and identify their unmet medical needs. The board believes Dr. Bernard’s medical background is extremely valuable as the Company seeks to continue expanding its pipeline with promising products that offer advancement to patient care and are well-positioned competitively.</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Joseph C. Galante. </w:t>
      </w:r>
      <w:r>
        <w:rPr>
          <w:rFonts w:ascii="Times New Roman" w:cs="Times New Roman" w:eastAsia="Times New Roman" w:hAnsi="Times New Roman"/>
          <w:sz w:val="18"/>
          <w:szCs w:val="18"/>
          <w:color w:val="auto"/>
        </w:rPr>
        <w:t>Mr. Galante, 74, is a music industry executive with extensive experience that scans a celebrated career. He is accredited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the careers of Alabama, Dave Mathews Band, Dolly Parton, Kenny Chesney, Brad Paisley, Martina McBride, Carrie Underwood, Clint Black, Miranda Lambert, and the Judds, among others. Mr. Galante began at RCA Records in New York, followed by a transfer to RCA Nashville where he served as a director at the label, followed by the role of Vice President of Promotion and Marketing. At the age of 32 he became the youngest person ever named to run a major country record label. In 1990 he was appointed President of RCA Records US based in New York. He returned to Nashville as Chairman to run the RCA and BNA labels in Nashville. Under his leadership, RCA Records was the number one country label for eleven consecutive years. He then served as Chairman of Sony Music Nashville for six years. He was presented with the Bob Kingsley Living Legend Award by the Opry Trust to honor his work for country music. In 2022, Mr. Galante was given the esteemed honor of being inducted into the Country Music Hall of Fame. Mr. Galante is currently a member of the Board of Directors of Pinnacle Financial Partners whose shares are listed on the NASDAQ stock exchange, Fishbowl Spirits, LLC and serves as the Chair of the Country Music Association Foundation. He holds a B.S. in finance and marketing from Fordam University. The Board believes his successful business track record, entrepreneurial and public company experience make him a valuable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A.J. Kazimi. </w:t>
      </w:r>
      <w:r>
        <w:rPr>
          <w:rFonts w:ascii="Times New Roman" w:cs="Times New Roman" w:eastAsia="Times New Roman" w:hAnsi="Times New Roman"/>
          <w:sz w:val="18"/>
          <w:szCs w:val="18"/>
          <w:color w:val="auto"/>
        </w:rPr>
        <w:t>Mr. Kazimi, 65, is the Chairman of our Board of Directors and Chief Executive Officer who founded Cumberland. His career includes over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in the biopharmaceutical industry. At Cumberland, he has overseen the development and FDA approval of key Company brands, while also leading the acquisition of the Company’s six other commercial products. He was responsible for Cumberland’s initial public offering and listing on the NASDAQ stock exchange. Mr, Kazimi also serves as Chairman and Chief Executive of Cumberland Emerging Technologies - a joint initiative with Vanderbilt University and the state of Tennessee - designed to support the development of early-stage life sciences programs and companies. Prior to joining Cumberland,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He is Chairman of the Board for the Gettysburg Foundation which partners with the National Park Service to preserve that historic military park. He is also a member of the Board of the Tennessee Historical Society, the Board of Visitors at the Vanderbilt University Business School and the Visiting Committee at the Loyola University New Orleans College of Business. He previously served on the Board of Directors for the Nashville Health Care Council, an association of the largest concentration of healthcare companies in the U.S. and the Board of Aegis Sciences Corporation, a federally certified forensic toxicology laboratory, which has sold twice to large private equity investors. Mr. Kazimi holds a B.S. from the University of Notre Dame and an M.B.A. from the Vanderbilt University Owen Graduate School of Management. The Board believes that Mr. Kazimi brings strategic insight, leadership and a history of successful execution to the Board along with a wealth of experience in both the biopharmaceutical industry and the development of emerging companies.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Directors Expected to Stand For Re-Election in 2026</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Kenneth J. Krogulski</w:t>
      </w:r>
      <w:r>
        <w:rPr>
          <w:rFonts w:ascii="Times New Roman" w:cs="Times New Roman" w:eastAsia="Times New Roman" w:hAnsi="Times New Roman"/>
          <w:sz w:val="18"/>
          <w:szCs w:val="18"/>
          <w:color w:val="auto"/>
        </w:rPr>
        <w:t>. Mr. Krogulski, 66, joined Cumberland’s Board of Directors in 2017. He has over 40 years of experience in security analysis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management and is currently the Managing Partner and Chief Investment Officer of Berkshire Asset Management, LLC. Berkshire is an independent SEC registered investment advisory firm located in Wilkes Barre, Pennsylvania. In addition, Mr. Krogulski is currently on the Board of Allied Services Integrated Health System. He previously served as a Director of Landmark Community Bank (LDKB: NASDAQ) and numerous nonprofit organizations. Mr. Krogulski holds a B.S. in finance from Indiana University of Pennsylvania and earned his M.B.A. from Wilkes University. In addition, he holds the Chartered Financial Analyst designation. The Board believes Mr. Krogulski’s extensive financial experience plays a significant role in guiding the Company’s strategy and offers valuable services in directing Cumberland’s growth.</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Caroline R. Young. </w:t>
      </w:r>
      <w:r>
        <w:rPr>
          <w:rFonts w:ascii="Times New Roman" w:cs="Times New Roman" w:eastAsia="Times New Roman" w:hAnsi="Times New Roman"/>
          <w:sz w:val="18"/>
          <w:szCs w:val="18"/>
          <w:color w:val="auto"/>
        </w:rPr>
        <w:t>Ms. Young, 49, joined the Board of Directors of Cumberland Pharmaceuticals in 2016. She serves as Cumberland’s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Social, and Governance (ESG) Board Director. Ms. Young brings two decades of health care and life sciences to the roll. Currently, she serves as Vice President of Partnership Development at Frist Cressey Ventures (FCV), where she focuses on accelerating value for FCV’s partnerships and enhancing relationships with industry-wide stakeholders. Before joining FCV, Ms. Young partnered with Former U.S. Senate Majority Leader Bill Frist to launch NashvilleHealth, a first-of-a-kind initiative to reduce disparities and drive community-level health improvement. Prior to that role, Caroline led one of the nation’s premier health care industry associations, the Nashville Health Care Council, where she cultivated a national network of executives in support of industry leadership and innovation. She also held prior positions as the founding Executive Director of Life Sciences and Director of Communications and Advertising at the State of Tennessee's Department of Economic and Community Development. Ms. Young holds an MS from the University of Tennessee and a BA from the University of Mississippi. The Board believes Ms. Young’s national healthcare industry experience and strategic innovation initiatives are valuable as the Company continues to build a strong portfolio of products that serve the healthcare community.</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refer to the section labeled “CORPORATE GOVERNANCE” for a discussion of the various committees of our Board of Directors and the composition and duties of these committees, as well as the nomination process for directors, and a discussion of other corporate governance and ethical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their qualifications and experience, we believe the aforementioned nominees for directorship are suitable nominees to serve on the Board and we believe the nominees will be available and able to serve as directors. In the event that a nominee is unable to serve, our Board may designate a substitute nominee, and the proxy holders will vote the proxies for the substitute nominee as they may determine.</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STRONGLY RECOMMENDS THAT THE SHAREHOLDERS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PROPOSAL II</w:t>
      </w:r>
    </w:p>
    <w:p>
      <w:pPr>
        <w:spacing w:after="0" w:line="1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PROPOSAL TO RATIFY APPOINTMENT OF</w:t>
      </w:r>
    </w:p>
    <w:p>
      <w:pPr>
        <w:spacing w:after="0" w:line="15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CARR, RIGGS &amp; INGRAM, LLC AS OUR INDEPENDENT REGISTERED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0" w:lineRule="exact"/>
        <w:rPr>
          <w:sz w:val="20"/>
          <w:szCs w:val="20"/>
          <w:color w:val="auto"/>
        </w:rPr>
      </w:pPr>
    </w:p>
    <w:p>
      <w:pPr>
        <w:spacing w:after="0" w:line="3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has appointed the firm of Carr, Riggs &amp; Ingram, LLC (“CRI”) as our independent registered public accounting firm to audit our consolidated financial statements for the fiscal year ending December 31, 2024.</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required to seek shareholder approval for the appointment of our independent registered public accounting firm; however, the Audit Committee and the full Board of Directors believe it to be a sound corporate governance practice to seek such approval. If the appointment is not ratified, the Audit Committee will investigate the reasons for shareholder rejection and will re-consider the appointment. Even if the selection is ratified, the Audit Committee in its discretion, may direct the appointment of a different independent registered public accounting firm at any time during the year if it determines that such a change would be in the best interests of our Company and our shareholders.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CRI will be present at the Annual Meeting and will have an opportunity to make a statement, if they so desire, and will be available to respond to appropriate questions.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STRONGLY RECOMMENDS A VOTE “FOR” THE RATIFICATION OF THE APPOINTMENT OF CARR, RIGGS &amp; INGRAM, LLC AS OUR INDEPENDENT REGISTERED PUBLIC ACCOUNTING FIRM FOR FISCAL YEAR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appointed the undersigned directors as members of the Audit Committee and adopted a written charter setting forth the procedures and responsibilities of the Audit Committee. Each year, the Audit Committee Chairman reviews the charter and its adequacy in light of applicable Nasdaq Global Select Market rules.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is comprised of three directors, all of whom are independent in accordance with the listing standards of the Nasdaq Global Select Market and within the meaning of Rule 10A-3 of the Securities Exchange Act of 1934, as amended.</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is responsible for providing oversight of the Company’s accounting and financial reporting process as well as the audit of the Company’s financial statements.</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last year, and earlier this year in preparation for the filing with the SEC of our Annual Report on Form 10-K for the year ended December 31, 2023 (the "2023 Form 10-K") the Audit Committee:</w:t>
      </w:r>
    </w:p>
    <w:p>
      <w:pPr>
        <w:spacing w:after="0" w:line="94" w:lineRule="exact"/>
        <w:rPr>
          <w:sz w:val="20"/>
          <w:szCs w:val="20"/>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 the Company’s independent registered public accounting firm;</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overall scope and plans for the audit and the results of the independent registered public accounting firm’s examinations;</w:t>
      </w:r>
    </w:p>
    <w:p>
      <w:pPr>
        <w:spacing w:after="0" w:line="144"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with management periodically during the year to consider the adequacy of the Company’s internal controls and the quality of its financial reporting and discussed these matters with the Company’s independent registered public accounting firm and with appropriate Company financial personnel;</w:t>
      </w:r>
    </w:p>
    <w:p>
      <w:pPr>
        <w:spacing w:after="0" w:line="108"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Company’s senior management, independent registered public accounting firm and appropriate Company financial personnel the process used for the Company’s chief executive officer and chief financial officer to make the certifications required by the SEC and the Sarbanes-Oxley Act of 2002 in connection with the 2023 Form 10-K and other periodic filings with the SEC;</w:t>
      </w:r>
    </w:p>
    <w:p>
      <w:pPr>
        <w:spacing w:after="0" w:line="108"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independence from management and exhibited through directives, actions and behavior, the importance of integrity and ethical values in supporting the functioning of the system of internal control and financial reporting; and</w:t>
      </w:r>
    </w:p>
    <w:p>
      <w:pPr>
        <w:spacing w:after="0" w:line="80" w:lineRule="exact"/>
        <w:rPr>
          <w:rFonts w:ascii="Times New Roman" w:cs="Times New Roman" w:eastAsia="Times New Roman" w:hAnsi="Times New Roman"/>
          <w:sz w:val="18"/>
          <w:szCs w:val="18"/>
          <w:color w:val="auto"/>
        </w:rPr>
      </w:pPr>
    </w:p>
    <w:p>
      <w:pPr>
        <w:jc w:val="both"/>
        <w:ind w:left="820" w:hanging="326"/>
        <w:spacing w:after="0" w:line="256"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the independent registered public accounting firm (1) their judgments as to the quality (and not just the acceptability) of the Company’s accounting policies, (2) the written communication required by the Public Company Accounting Oversight Board (PCAOB) Ethics and Independence Rule 3526, "Communication with Audit Committees Concerning Independence" and the independence of the independent registered public accounting firm and (3) the matters required to be discussed with the Audit Committee under auditing standards generally accepted in the United States, including PCAOB Auditing Standard No. 16, “Communication with Audit Committees.”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reliance on these reviews and discussions referred to above, as well as private discussions with the independent registered public accounting firm and appropriate Company financial personnel, the Audit Committee recommended to the Board of Directors the inclusion of the audited financial statements of the Company and its subsidiaries in the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actions and the responsibilities set forth in the Audit Committee charter, it clarifies that it is not the duty of the Audit Committee to plan or conduct audits or to determine that the Company’s financial statements are complete and accurate and in accordance with generally accepted accounting principles. Management is responsible for the Company’s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necessarily accountants or auditors by profession or experts in the fields of accounting or auditing. Therefore, the Audit Committee has relied, without independent verification, on (i) management’s representation that the consolidated financial statements have been prepared with integrity and objectivity and in conformity with accounting principles generally accepted in the United States and (ii) the representations of the independent registered public accounting firm included in their report on the Company’s consolidated financial statements.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met regularly with management and the independent registered public accounting firm, including private discussions with the independent registered public accounting firm, and received the communications described above. The Audit Committee has also established procedures for (i) the receipt, retention and treatment of complaints received by the Company regarding accounting, internal accounting controls or auditing matters and (ii) the confidential, anonymous submission by the Company’s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the independent registered public accounting firm do not assure that the Company’s consolidated financial statements are presented in accordance with generally accepted accounting principles or that the audit of the Company’s financial statements has been carried out in accordance with generally accepted auditing standards.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recommending the independent registered public accounting firm to serve as the Company’s auditors each year and for monitoring the auditor’s qualifications, performance and independence. The Audit Committee maintains written procedures that require it to pre-approve the scope of all auditing services to be performed by the Company’s independent registered public accounting firm. The Audit Committee’s procedures prohibit the independent registered public accounting firm from providing any non-audit services unless the service is permitted under applicable law and is pre-approved by the Audit Committee or its Chair. Although applicable regulations waive these pre-approval requirements in certain limited circumstances, the Audit Committee reviews and pre-approves all non-audit services provided by the Company's independent registered public accounting firm. The Audit Committee has determined that the provision of non-audit services by the Company's independent registered accounting firm is compatible with maintaining such firm's independence.</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would like additional information on the responsibilities of the Audit Committee, please refer to its charter, a copy of which is posted on the Company’s website at </w:t>
      </w:r>
      <w:r>
        <w:rPr>
          <w:rFonts w:ascii="Times New Roman" w:cs="Times New Roman" w:eastAsia="Times New Roman" w:hAnsi="Times New Roman"/>
          <w:sz w:val="18"/>
          <w:szCs w:val="18"/>
          <w:u w:val="single" w:color="auto"/>
          <w:color w:val="auto"/>
        </w:rPr>
        <w:t>www.cumberlandpharma.com</w:t>
      </w:r>
      <w:r>
        <w:rPr>
          <w:rFonts w:ascii="Times New Roman" w:cs="Times New Roman" w:eastAsia="Times New Roman" w:hAnsi="Times New Roman"/>
          <w:sz w:val="18"/>
          <w:szCs w:val="18"/>
          <w:color w:val="auto"/>
        </w:rPr>
        <w:t xml:space="preserve"> and is also available in print to any shareholder who requests it.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Submitted by the Audit Committee</w:t>
      </w:r>
    </w:p>
    <w:p>
      <w:pPr>
        <w:spacing w:after="0" w:line="196" w:lineRule="exact"/>
        <w:rPr>
          <w:sz w:val="20"/>
          <w:szCs w:val="20"/>
          <w:color w:val="auto"/>
        </w:rPr>
      </w:pPr>
    </w:p>
    <w:p>
      <w:pPr>
        <w:ind w:left="20"/>
        <w:spacing w:after="0"/>
        <w:tabs>
          <w:tab w:leader="none" w:pos="2820" w:val="left"/>
          <w:tab w:leader="none" w:pos="5800" w:val="left"/>
        </w:tabs>
        <w:rPr>
          <w:sz w:val="20"/>
          <w:szCs w:val="20"/>
          <w:color w:val="auto"/>
        </w:rPr>
      </w:pPr>
      <w:r>
        <w:rPr>
          <w:rFonts w:ascii="Times New Roman" w:cs="Times New Roman" w:eastAsia="Times New Roman" w:hAnsi="Times New Roman"/>
          <w:sz w:val="18"/>
          <w:szCs w:val="18"/>
          <w:b w:val="1"/>
          <w:bCs w:val="1"/>
          <w:color w:val="auto"/>
        </w:rPr>
        <w:t>Mr. James R. Jones</w:t>
      </w:r>
      <w:r>
        <w:rPr>
          <w:sz w:val="20"/>
          <w:szCs w:val="20"/>
          <w:color w:val="auto"/>
        </w:rPr>
        <w:tab/>
      </w:r>
      <w:r>
        <w:rPr>
          <w:rFonts w:ascii="Times New Roman" w:cs="Times New Roman" w:eastAsia="Times New Roman" w:hAnsi="Times New Roman"/>
          <w:sz w:val="18"/>
          <w:szCs w:val="18"/>
          <w:b w:val="1"/>
          <w:bCs w:val="1"/>
          <w:color w:val="auto"/>
        </w:rPr>
        <w:t>Mr. Kenneth J. Krogulski</w:t>
      </w:r>
      <w:r>
        <w:rPr>
          <w:sz w:val="20"/>
          <w:szCs w:val="20"/>
          <w:color w:val="auto"/>
        </w:rPr>
        <w:tab/>
      </w:r>
      <w:r>
        <w:rPr>
          <w:rFonts w:ascii="Times New Roman" w:cs="Times New Roman" w:eastAsia="Times New Roman" w:hAnsi="Times New Roman"/>
          <w:sz w:val="17"/>
          <w:szCs w:val="17"/>
          <w:b w:val="1"/>
          <w:bCs w:val="1"/>
          <w:color w:val="auto"/>
        </w:rPr>
        <w:t>Mr. Joseph C. Galante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48"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On May 30, 2023, the Audit Committee of the Board of the Company engaged Carr, Riggs &amp; Ingram, LLC (“CRI”) to serve as the Company's independent registered public accounting firm for the Company for the year ended December 31, 2023, beginning with the interim period ending June 30, 2023. The Audit Committee engaged FORVIS LLP (“FORVIS”), formally BKD, to serve as the Company’s previous independent registered public accounting firm for the years ended December 31, 2022, 2021 and 2020, and the interim period ended March 31, 2023.</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fees billed to us for professional services by CRI and FORVIS for the fiscal year ended December 31, 2023, and by FORVIS for the fiscal year ended December 31, 2022, and the interim period ended March 31, 2023, were as follows:</w:t>
      </w:r>
    </w:p>
    <w:p>
      <w:pPr>
        <w:spacing w:after="0" w:line="389" w:lineRule="exact"/>
        <w:rPr>
          <w:sz w:val="20"/>
          <w:szCs w:val="20"/>
          <w:color w:val="auto"/>
        </w:rPr>
      </w:pPr>
    </w:p>
    <w:tbl>
      <w:tblPr>
        <w:tblLayout w:type="fixed"/>
        <w:tblInd w:w="2780" w:type="dxa"/>
        <w:tblCellMar>
          <w:top w:w="0" w:type="dxa"/>
          <w:left w:w="0" w:type="dxa"/>
          <w:bottom w:w="0" w:type="dxa"/>
          <w:right w:w="0" w:type="dxa"/>
        </w:tblCellMar>
      </w:tblPr>
      <w:tr>
        <w:trPr>
          <w:trHeight w:val="243"/>
        </w:trPr>
        <w:tc>
          <w:tcPr>
            <w:tcW w:w="292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42"/>
        </w:trPr>
        <w:tc>
          <w:tcPr>
            <w:tcW w:w="29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310"/>
        </w:trPr>
        <w:tc>
          <w:tcPr>
            <w:tcW w:w="2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Audit Fees</w:t>
            </w:r>
          </w:p>
        </w:tc>
        <w:tc>
          <w:tcPr>
            <w:tcW w:w="15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$353,090</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$335,938</w:t>
            </w:r>
          </w:p>
        </w:tc>
      </w:tr>
      <w:tr>
        <w:trPr>
          <w:trHeight w:val="311"/>
        </w:trPr>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Audit-Related Fees</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2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Tax Fees</w:t>
            </w:r>
          </w:p>
        </w:tc>
        <w:tc>
          <w:tcPr>
            <w:tcW w:w="15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29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All Other Fees</w:t>
            </w: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29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$353,090</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$335,938</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above table, in accordance with the definitions and rules of the SEC, “Audit Fees” includes fees related to professional services for the audit of our consolidated financial statements included in our Form 10-K, the review of financial statements included in our Form 10-Q’s and for services that are normally provided by auditors in connection with statutory and regulatory filings or engagements. Audit fees also includes those in connection with the Company’s equity offerings and other services. Those fees were $18,800 and $90,395 for the years ended December 31, 2023, and December 31, 2022, respectively.</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also has adopted a formal policy concerning approval of audit and non-audit services to be provided by the independent auditor to the Company. The policy requires that the Audit Committee pre-approve all services performed by the Company's independent registered public accounting firm for the Company, including audit services and permitted audit-related and non-audit services. The Audit Committee approved all audit and non-audit services provided during fiscal years 2023 and 2022, respectively, prior to performing such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changes in the Company's independent registered public accounting firm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Item 9(d) of Schedule 14A, the Company must provide the disclosure required by Item 304(a) of Regulation S-K, similar to the disclosures previously provided by the Company in its Form 8-K dated May 24, 2023.</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decision to change the independent registered public accounting firm of the Company was recommended and approved by the Audit Committee of the Board of Directors. The Audit Committee completed a review of the appointment of the Company's independent registered public accounting firm for the fiscal year ending December 31, 2023. As a result of this review, on May 18, 2023, the Audit Committee informed FORVIS of its decision to dismiss FORVIS as the Company's independent registered public accounting firm, effective as of that date. In addition, on May 18, 2023, the Audit Committee informed CRI that they were selected as the Company's independent registered public accounting firm for the fiscal year ending December 31, 2023. CRI had obtained provisional approval, with their appointment to become effective upon the execution of an engagement letter and related completion of CRI's final client acceptance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Company's fiscal years ended December 31, 2022, 2021 and 2020, and the subsequent interim period through May 18, 2023, there were (i) no “disagreements” (as that term is defined in Item 304(a)(1)(iv) of Regulation S-K and the related instructions) between the Company and FORVIS on any matter of accounting principles or practices, financial statement disclosure, or auditing scope or procedures, which disagreements, if not resolved to FORVIS’s satisfaction, would have caused FORVIS to make reference to the subject matter of the disagreement in its report on the Company's consolidated financial statements for the relevant year, and (ii) no "reportable events" as that term is defined in Item 304(a)(1)(v) of Regulation S-K. The audit reports of FORVIS on the consolidated financial statements of the Company as of December 31, 2022, and 2021, contained no adverse opinion or disclaimer of opinion and were not qualified or modified as to uncertainty, audit scope or accounting principles.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18, 2023, the Company provided FORVIS with a copy of the disclosures of the Auditors Current Report and requested FORVIS to, as promptly as possible, furnish the Company with a letter (the "FORVIS Letter") addressed to the Securities and Exchange Commission (“SEC”) stating whether FORVIS agrees with the statements made by the Company in response to Item 304(a) of Regulation S-K and, if not, stating the respects in which it does not agree. FORVIS furnished to the Company the FORVIS Letter addressed to the SEC dated May 24, 2023, which stated that FORVIS agrees with the statements made in response to Item 304(a) insofar as they relate to their Firm.</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30, 2023, CRI completed its final client acceptance approval process and the Audit Committee formally engaged CRI as the Company's independent registered public accounting firm for the fiscal year ending December 31, 2023. During the Company's fiscal years ended December 31, 2022, 2021 and 2020, and the subsequent interim period through May 30, 2023, neither the Company, nor anyone on its behalf, consulted with CRI regarding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CRI concluded was an important factor considered by the Company in reaching a decision as to the accounting, auditing or financial reporting issue; or (ii) any matter that was either the subject of a “disagreement” (as that term is defined in Item 304(a)(1)(iv) of Regulation S-K and the related instructions) or a “reportable event” (as that term is defined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solely upon information made available to us, the following table sets forth information with respect to the beneficial ownership of our common stock as of March 1, 2024 (except as otherwise indicated) by (1) each person who is known by us to beneficially own more than five percent of our common stock (based solely on our review of SEC filings); (2) each of our directors and nominees; (3) our Chief Executive Officer, Chief Financial Officer and our most highly compensated executive officer, or collectively, our Named Executive Officers; and (4) all executive officers and directors as a group. Unless otherwise indicated, each of the persons below has sole voting and investment power with respect to the shares beneficially owned by such person and the address of each beneficial owner listed on the table is c/o Cumberland Pharmaceuticals Inc., 1600 West End Avenue, Suite 1300, Nashville, Tennessee 37203. To the knowledge of the Company, no other person or entity holds more than 5% of the outstanding shares of common stock, except as set forth in the following table. No common stock beneficially owned by any director or named executive officer has been pledged as security for a loan.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 of Beneficial Owner</w:t>
            </w:r>
            <w:r>
              <w:rPr>
                <w:rFonts w:ascii="Times New Roman" w:cs="Times New Roman" w:eastAsia="Times New Roman" w:hAnsi="Times New Roman"/>
                <w:sz w:val="23"/>
                <w:szCs w:val="23"/>
                <w:color w:val="auto"/>
                <w:vertAlign w:val="superscript"/>
              </w:rPr>
              <w:t>(1)</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2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 of Outstanding Common</w:t>
            </w:r>
          </w:p>
        </w:tc>
        <w:tc>
          <w:tcPr>
            <w:tcW w:w="0" w:type="dxa"/>
            <w:vAlign w:val="bottom"/>
          </w:tcPr>
          <w:p>
            <w:pPr>
              <w:spacing w:after="0"/>
              <w:rPr>
                <w:sz w:val="1"/>
                <w:szCs w:val="1"/>
                <w:color w:val="auto"/>
              </w:rPr>
            </w:pPr>
          </w:p>
        </w:tc>
      </w:tr>
      <w:tr>
        <w:trPr>
          <w:trHeight w:val="312"/>
        </w:trPr>
        <w:tc>
          <w:tcPr>
            <w:tcW w:w="5540" w:type="dxa"/>
            <w:vAlign w:val="bottom"/>
            <w:vMerge w:val="continue"/>
          </w:tcPr>
          <w:p>
            <w:pPr>
              <w:spacing w:after="0"/>
              <w:rPr>
                <w:sz w:val="24"/>
                <w:szCs w:val="24"/>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8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93"/>
        </w:trPr>
        <w:tc>
          <w:tcPr>
            <w:tcW w:w="55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 J. Kazimi</w:t>
            </w:r>
            <w:r>
              <w:rPr>
                <w:rFonts w:ascii="Times New Roman" w:cs="Times New Roman" w:eastAsia="Times New Roman" w:hAnsi="Times New Roman"/>
                <w:sz w:val="23"/>
                <w:szCs w:val="23"/>
                <w:color w:val="auto"/>
                <w:vertAlign w:val="superscript"/>
              </w:rPr>
              <w:t>(3)</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5,721,267</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40.14 %</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Kenneth J. Krogulski</w:t>
            </w:r>
            <w:r>
              <w:rPr>
                <w:rFonts w:ascii="Times New Roman" w:cs="Times New Roman" w:eastAsia="Times New Roman" w:hAnsi="Times New Roman"/>
                <w:sz w:val="23"/>
                <w:szCs w:val="23"/>
                <w:color w:val="auto"/>
                <w:vertAlign w:val="superscript"/>
              </w:rPr>
              <w:t>(4)</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236,277</w:t>
            </w:r>
          </w:p>
        </w:tc>
        <w:tc>
          <w:tcPr>
            <w:tcW w:w="1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Joseph C. Galante </w:t>
            </w:r>
            <w:r>
              <w:rPr>
                <w:rFonts w:ascii="Times New Roman" w:cs="Times New Roman" w:eastAsia="Times New Roman" w:hAnsi="Times New Roman"/>
                <w:sz w:val="23"/>
                <w:szCs w:val="23"/>
                <w:color w:val="auto"/>
                <w:vertAlign w:val="superscript"/>
              </w:rPr>
              <w:t>(5)</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58,356</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L. Herman</w:t>
            </w:r>
            <w:r>
              <w:rPr>
                <w:rFonts w:ascii="Times New Roman" w:cs="Times New Roman" w:eastAsia="Times New Roman" w:hAnsi="Times New Roman"/>
                <w:sz w:val="23"/>
                <w:szCs w:val="23"/>
                <w:color w:val="auto"/>
                <w:vertAlign w:val="superscript"/>
              </w:rPr>
              <w:t>(6)</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39,441</w:t>
            </w:r>
          </w:p>
        </w:tc>
        <w:tc>
          <w:tcPr>
            <w:tcW w:w="1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R. Jones</w:t>
            </w:r>
            <w:r>
              <w:rPr>
                <w:rFonts w:ascii="Times New Roman" w:cs="Times New Roman" w:eastAsia="Times New Roman" w:hAnsi="Times New Roman"/>
                <w:sz w:val="23"/>
                <w:szCs w:val="23"/>
                <w:color w:val="auto"/>
                <w:vertAlign w:val="superscript"/>
              </w:rPr>
              <w:t>(7)</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32,407</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0.23 %</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M. Hamm</w:t>
            </w:r>
            <w:r>
              <w:rPr>
                <w:rFonts w:ascii="Times New Roman" w:cs="Times New Roman" w:eastAsia="Times New Roman" w:hAnsi="Times New Roman"/>
                <w:sz w:val="23"/>
                <w:szCs w:val="23"/>
                <w:color w:val="auto"/>
                <w:vertAlign w:val="superscript"/>
              </w:rPr>
              <w:t>(8)</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26,448</w:t>
            </w:r>
          </w:p>
        </w:tc>
        <w:tc>
          <w:tcPr>
            <w:tcW w:w="1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Caroline R. Young</w:t>
            </w:r>
            <w:r>
              <w:rPr>
                <w:rFonts w:ascii="Times New Roman" w:cs="Times New Roman" w:eastAsia="Times New Roman" w:hAnsi="Times New Roman"/>
                <w:sz w:val="23"/>
                <w:szCs w:val="23"/>
                <w:color w:val="auto"/>
                <w:vertAlign w:val="superscript"/>
              </w:rPr>
              <w:t>(9)</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25,701</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0" w:type="dxa"/>
            <w:vAlign w:val="bottom"/>
          </w:tcPr>
          <w:p>
            <w:pPr>
              <w:spacing w:after="0"/>
              <w:rPr>
                <w:sz w:val="1"/>
                <w:szCs w:val="1"/>
                <w:color w:val="auto"/>
              </w:rPr>
            </w:pPr>
          </w:p>
        </w:tc>
      </w:tr>
      <w:tr>
        <w:trPr>
          <w:trHeight w:val="311"/>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M. Anthony</w:t>
            </w:r>
            <w:r>
              <w:rPr>
                <w:rFonts w:ascii="Times New Roman" w:cs="Times New Roman" w:eastAsia="Times New Roman" w:hAnsi="Times New Roman"/>
                <w:sz w:val="23"/>
                <w:szCs w:val="23"/>
                <w:color w:val="auto"/>
                <w:vertAlign w:val="superscript"/>
              </w:rPr>
              <w:t>(10)</w:t>
            </w:r>
          </w:p>
        </w:tc>
        <w:tc>
          <w:tcPr>
            <w:tcW w:w="2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160" w:type="dxa"/>
            <w:vAlign w:val="bottom"/>
          </w:tcPr>
          <w:p>
            <w:pPr>
              <w:spacing w:after="0"/>
              <w:rPr>
                <w:sz w:val="24"/>
                <w:szCs w:val="24"/>
                <w:color w:val="auto"/>
              </w:rPr>
            </w:pPr>
          </w:p>
        </w:tc>
        <w:tc>
          <w:tcPr>
            <w:tcW w:w="2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0" w:type="dxa"/>
            <w:vAlign w:val="bottom"/>
          </w:tcPr>
          <w:p>
            <w:pPr>
              <w:spacing w:after="0"/>
              <w:rPr>
                <w:sz w:val="1"/>
                <w:szCs w:val="1"/>
                <w:color w:val="auto"/>
              </w:rPr>
            </w:pPr>
          </w:p>
        </w:tc>
      </w:tr>
      <w:tr>
        <w:trPr>
          <w:trHeight w:val="54"/>
        </w:trPr>
        <w:tc>
          <w:tcPr>
            <w:tcW w:w="554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T. Bitterman</w:t>
            </w:r>
            <w:r>
              <w:rPr>
                <w:rFonts w:ascii="Times New Roman" w:cs="Times New Roman" w:eastAsia="Times New Roman" w:hAnsi="Times New Roman"/>
                <w:sz w:val="23"/>
                <w:szCs w:val="23"/>
                <w:color w:val="auto"/>
                <w:vertAlign w:val="superscript"/>
              </w:rPr>
              <w:t>(11)</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60" w:type="dxa"/>
            <w:vAlign w:val="bottom"/>
            <w:tcBorders>
              <w:bottom w:val="single" w:sz="8" w:color="CCEEFF"/>
            </w:tcBorders>
            <w:shd w:val="clear" w:color="auto" w:fill="CCEEFF"/>
          </w:tcPr>
          <w:p>
            <w:pPr>
              <w:spacing w:after="0"/>
              <w:rPr>
                <w:sz w:val="24"/>
                <w:szCs w:val="24"/>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Martin S. Brown, Jr.</w:t>
            </w:r>
            <w:r>
              <w:rPr>
                <w:rFonts w:ascii="Times New Roman" w:cs="Times New Roman" w:eastAsia="Times New Roman" w:hAnsi="Times New Roman"/>
                <w:sz w:val="23"/>
                <w:szCs w:val="23"/>
                <w:color w:val="auto"/>
                <w:vertAlign w:val="superscript"/>
              </w:rPr>
              <w:t>(12)</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Gordon R. Bernard</w:t>
            </w:r>
            <w:r>
              <w:rPr>
                <w:rFonts w:ascii="Times New Roman" w:cs="Times New Roman" w:eastAsia="Times New Roman" w:hAnsi="Times New Roman"/>
                <w:sz w:val="23"/>
                <w:szCs w:val="23"/>
                <w:color w:val="auto"/>
                <w:vertAlign w:val="superscript"/>
              </w:rPr>
              <w:t>(13)</w:t>
            </w:r>
          </w:p>
        </w:tc>
        <w:tc>
          <w:tcPr>
            <w:tcW w:w="2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and executive officers as a group (11 persons)</w:t>
            </w:r>
          </w:p>
        </w:tc>
        <w:tc>
          <w:tcPr>
            <w:tcW w:w="2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6,167,317</w:t>
            </w:r>
          </w:p>
        </w:tc>
        <w:tc>
          <w:tcPr>
            <w:tcW w:w="160" w:type="dxa"/>
            <w:vAlign w:val="bottom"/>
          </w:tcPr>
          <w:p>
            <w:pPr>
              <w:spacing w:after="0"/>
              <w:rPr>
                <w:sz w:val="19"/>
                <w:szCs w:val="19"/>
                <w:color w:val="auto"/>
              </w:rPr>
            </w:pPr>
          </w:p>
        </w:tc>
        <w:tc>
          <w:tcPr>
            <w:tcW w:w="2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43.30 %</w:t>
            </w:r>
          </w:p>
        </w:tc>
        <w:tc>
          <w:tcPr>
            <w:tcW w:w="0" w:type="dxa"/>
            <w:vAlign w:val="bottom"/>
          </w:tcPr>
          <w:p>
            <w:pPr>
              <w:spacing w:after="0"/>
              <w:rPr>
                <w:sz w:val="1"/>
                <w:szCs w:val="1"/>
                <w:color w:val="auto"/>
              </w:rPr>
            </w:pPr>
          </w:p>
        </w:tc>
      </w:tr>
    </w:tbl>
    <w:p>
      <w:pPr>
        <w:spacing w:after="0" w:line="341" w:lineRule="exact"/>
        <w:rPr>
          <w:sz w:val="20"/>
          <w:szCs w:val="20"/>
          <w:color w:val="auto"/>
        </w:rPr>
      </w:pPr>
    </w:p>
    <w:p>
      <w:pPr>
        <w:jc w:val="both"/>
        <w:ind w:left="900" w:right="20" w:hanging="639"/>
        <w:spacing w:after="0" w:line="217"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our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95" w:lineRule="exact"/>
        <w:rPr>
          <w:rFonts w:ascii="Times New Roman" w:cs="Times New Roman" w:eastAsia="Times New Roman" w:hAnsi="Times New Roman"/>
          <w:sz w:val="18"/>
          <w:szCs w:val="18"/>
          <w:color w:val="auto"/>
        </w:rPr>
      </w:pPr>
    </w:p>
    <w:p>
      <w:pPr>
        <w:ind w:left="900" w:hanging="63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14,073,943 shares of common stock outstanding on 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67" w:lineRule="exact"/>
        <w:rPr>
          <w:sz w:val="20"/>
          <w:szCs w:val="20"/>
          <w:color w:val="auto"/>
        </w:rPr>
      </w:pPr>
    </w:p>
    <w:p>
      <w:pPr>
        <w:ind w:left="1020" w:hanging="69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132,000 shares that Mr. Kazimi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Mr. Krogulski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Mr. Galante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 shares Mr. Herman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Mr. Jones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21,500 shares Mr. Hamm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Ms. Young has the right to acquire upon the vesting of restricted stock.</w:t>
      </w:r>
    </w:p>
    <w:p>
      <w:pPr>
        <w:spacing w:after="0" w:line="77" w:lineRule="exact"/>
        <w:rPr>
          <w:sz w:val="20"/>
          <w:szCs w:val="20"/>
          <w:color w:val="auto"/>
        </w:rPr>
      </w:pPr>
    </w:p>
    <w:p>
      <w:pPr>
        <w:ind w:left="1020" w:hanging="737"/>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2,750 shares Mr. Anthony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020" w:hanging="73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shares Mr. Bitterman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020" w:hanging="737"/>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Mr. Brown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jc w:val="both"/>
        <w:ind w:left="1020" w:right="20" w:hanging="737"/>
        <w:spacing w:after="0" w:line="22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Bernard, as required by a policy change by his employer, is prohibited from owning shares in a pharmaceutical company. The policy change resulted in Dr. Bernard selling 118,729 shares during 2019, but it did not impact his ability to serve on the Company's Board of Directors.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does not hold any hedging contracts.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Section 16(a) of the Securities Exchange Act of 1934, our directors and executive officers and persons holding more than 10% of any class of our equity securities, are required to file with the SEC initial reports of their ownership of our common stock and reports of changes in such ownership. The Company is required to identify in its proxy statement whether it has knowledge that any person required to file such a report may have failed to do so in a timely manner. Based solely upon a review by the Company of copies of these reports filed with the SEC and written representations furnished to the Company by its officers and directors, all of the persons subject to the Section 16(a) reporting requirements filed the required reports on a timely basis with respect to fiscal 2023, except with respect to the following:</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6, 2023, a late Form 4 was filed for John M. Hamm relating to the 352 shares of common stock withheld to cover withholding taxes associated with the vesting of stock awards on November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40"/>
          </w:cols>
          <w:pgMar w:left="320" w:top="1440"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provides you with a detailed description of our executive compensation philosophy and programs, the compensation decisions the Compensation Committee has made under those programs and the factors considered in making those decisions. The information in this Compensation Discussion and Analysis should be read in conjunction with the Summary Compensation Table and the related tables and narratives that follow this Compensation Discussion and Analysis. For purposes of this Compensation Discussion and Analysis, the following individuals were our Named Executive Officers for fiscal year 2023:</w:t>
      </w:r>
    </w:p>
    <w:p>
      <w:pPr>
        <w:spacing w:after="0" w:line="11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A.J. Kazimi, our Chief Executive Officer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 Herman, our Executive Vice President National Accounts and Corporate Compliance Officer</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M. Anthony, our Vice President Organizational Development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T. Bitterman, our Vice President Sales &amp; Marketing</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M. Hamm, our Vice President and Chief Financial Officer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2023 Cumberland continued to advance its long term strategy, building its brands and progressing its clinical programs. Management delivered a financial performance that resulted in improved earnings before interest, taxes, depreciation and amortization(" EBITDA") as well as positive cash-flow from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for the year include the following:</w:t>
      </w:r>
    </w:p>
    <w:p>
      <w:pPr>
        <w:spacing w:after="0" w:line="171"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Obtained FDA approval for the administration of Caldolor to treat pain and fever in newborns.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Obtained FDA clearance of IND for new ifetroban Phase II program in pulmonary fibrosis.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Completed the Sancuso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transition from Kyowa Kirin, Inc. including NDA transfer and new manufacturing.</w:t>
      </w:r>
    </w:p>
    <w:p>
      <w:pPr>
        <w:spacing w:after="0" w:line="127"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Established a new bank line of credit with $20 million facility expandable to $25 million.</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Secured significant refund payments from the FDA in support or the Company’s development programs.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Secured $1 million milestone payment associated with Vibativ through successful litigation.</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Reorganization of the sales organization resulting in an expansion of Oncology, a new sales division.</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Completion of new arrangements with Nordic Pharma associated with our former RediTrex brand.</w:t>
      </w:r>
    </w:p>
    <w:p>
      <w:pPr>
        <w:spacing w:after="0" w:line="144"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Helped advance the submissions for the approval of Vibativ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China, South Korea and Saudi Arabia.</w:t>
      </w:r>
    </w:p>
    <w:p>
      <w:pPr>
        <w:spacing w:after="0" w:line="113"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Successful implementation of our co-promotion initiatives to support our Kristalose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p>
      <w:pPr>
        <w:spacing w:after="0" w:line="116"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Manufacture of new validation lots to support new production facility for our Vaprisol brand.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executives' compensation is tied to and rewards both Company and individual performance:</w:t>
      </w:r>
    </w:p>
    <w:p>
      <w:pPr>
        <w:spacing w:after="0" w:line="158"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We review our programs periodically to ensure that they are appropriate and competitive.</w:t>
      </w:r>
    </w:p>
    <w:p>
      <w:pPr>
        <w:spacing w:after="0" w:line="161"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We have annual agreements for each of our employees that do not have change-of-control features.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We generally do not provide perquisites.</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40"/>
          </w:cols>
          <w:pgMar w:left="320" w:top="914" w:right="339" w:bottom="1440" w:gutter="0" w:footer="0" w:header="0"/>
          <w:type w:val="continuous"/>
        </w:sectPr>
      </w:pPr>
    </w:p>
    <w:bookmarkStart w:id="20" w:name="page21"/>
    <w:bookmarkEnd w:id="20"/>
    <w:p>
      <w:pPr>
        <w:spacing w:after="0" w:line="261" w:lineRule="auto"/>
        <w:rPr>
          <w:sz w:val="20"/>
          <w:szCs w:val="20"/>
          <w:color w:val="auto"/>
        </w:rPr>
      </w:pPr>
      <w:r>
        <w:rPr>
          <w:rFonts w:ascii="Times New Roman" w:cs="Times New Roman" w:eastAsia="Times New Roman" w:hAnsi="Times New Roman"/>
          <w:sz w:val="18"/>
          <w:szCs w:val="18"/>
          <w:color w:val="auto"/>
        </w:rPr>
        <w:t>We provide what we believe is a competitive total compensation package to our executive management team through a combination of base salary, annual bonuses, grants under our long-term equity incentive compensation plan, retirement plan and broad-based benefits programs. We place significant emphasis on performance-based incentive compensation programs. This Compensation Discussion and Analysis explains our compensation philosophy, policies and practices.</w:t>
      </w:r>
    </w:p>
    <w:p>
      <w:pPr>
        <w:spacing w:after="0" w:line="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Role of Advisory Vote on Compensation of our Named Executive Officers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recognizes the fundamental interest our shareholders have in the compensation of our executive officers. At the 2020 Annual Meeting and 2023 Annual Meeting, our shareholders approved, on an advisory basis, the compensation of our Named Executive Officers. Based upon the results of such advisory vote and our review of our compensation policies and decisions, the Board and Compensation Committee believe that these policies and decisions are consistent with our compensation philosophy and objectives discussed below and align the interests of our Named Executive Officers with the long-term goals of the Company.</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advisory vote of our shareholders at the 2020 Annual Meeting, the Board determined that the Company would hold shareholder advisory votes on executive compensation once every three years. The next shareholder advisory vote on executive compensation is scheduled to occur at the Annual Meeting of Shareholders of the Company to be held in 2026. While the say on pay vote is not binding on the Board or the Company, we will continue to review our executive compensation program in the future and will consider the views of our shareholders as well as other developments during such review.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programs are designed to achieve the following objectives:</w:t>
      </w:r>
    </w:p>
    <w:p>
      <w:pPr>
        <w:spacing w:after="0" w:line="15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executives whose knowledge, skills and performance are critical to our success;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shareholders by motivating executive officers to increase shareholder value and rewarding them when shareholder value increases;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in which total compensation is primarily determined by company and individual results along with the creation of long term shareholder value;</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so they will manage our business to meet our long-range objectives.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making decisions on setting compensation for our Named Executive Officers, the Compensation Committee considers, among other factors, the importance of their importance to us and the business, the individual's past salary history, market compensation for similar positions and the contributions to be made by the executive officer to the Company.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following principles to guide our decisions regarding executive compensation:</w:t>
      </w:r>
    </w:p>
    <w:p>
      <w:pPr>
        <w:spacing w:after="0" w:line="15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packages considering market levels;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performance goals to be achieved that will increase long term value to our shareholders;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 comprehensive benefits package to all full-time employees;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fair and equitable compensation consistent with experience and performance.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40"/>
          </w:cols>
          <w:pgMar w:left="320" w:top="9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Our Compensation Process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and management each play a role in designing our executive compensation program and determining performance levels and associated payouts. The roles of the Compensation Committee and management are carefully determined to reflect best practices.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which is composed entirely of independent directors, oversees our executive compensation program. Each year, the Compensation Committee reviews and approves the elements of compensation for all executive officers, including but not limited to the Named Executive Officers. Our Compensation Committee independently considers appropriate compensation for our Chief Executive Officer ("CEO") during an executive session without the CEO present. Our Compensation Committee meets with the CEO outside the presence of all other executive officers to consider their compensation.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CEO annually reviews each other executive officer’s performance with the Compensation Committee and makes recommendations to the Compensation Committee with respect to the appropriate base salary, annual bonuses and grants of long-term equity incentive awards. In developing these recommendations, information from the Radford Global Life Sciences Survey, or the Radford Survey, is considered. Based in part on these recommendations from our CEO, the Compensation Committee approves the annual compensation package of our Named Executive Officers other than our CEO and compensation guidelines for the rest of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Marketplace Assessment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compensation determinations, our Compensation Committee periodically considers published survey data to guide compensation decisions.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data in the Radford Survey of 800 biopharmaceutical companies to determine whether base salary, annual bonuses and long-term equity incentive awards for each of our Named Executive Officers are generally in the range of reported compensation for positions similar to those held by each Named Executive Officer.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Determining the Individual Compensation of our Named Executive Officers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programs do not encourage excessive risk taking but reward achievement of short-term and long-term financial and strategic objectives through a balanced mix of compensation components not overly weighted towards the short term and through the use of multiple performance factors related to both Company-wide metrics and individual performance goals. The Compensation Committee then determines adjustments in each element of compensation paid to our Chief Executive Officer and other Named Executive Officers based on a review of annually established corporate and individual objectives. These annual objectives help identify achievements made by our executive officers. Increases or decreases in compensation in relation to the midpoint of the range identified in the Radford Survey are based on our Compensation Committee’s review of each executive officer’s performance, as well as other factors including the Compensation Committee’s assessment of the executive officer’s past experience, knowledge, future potential and the scope of their responsibilities.</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Corporate objectives against which our executive officers are evaluated include growth in shipments of our marketed products, progress in our product development activities, progress in expanding our product portfolio through development or acquisition activities, enhancement of our corporate infrastructure and improvement in overall progress in building the Company. Individual objectives for our executive officers involve more specific progress in areas of personal responsibility and vary by individual. The achievement of particular corporate and individual objectives does not determine compensation levels in a formulaic manner.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40"/>
          </w:cols>
          <w:pgMar w:left="320" w:top="9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Overall, our compensation programs are designed to be consistent with the objectives and principles set forth above. We believe the objectives of our compensation programs are collectively best achieved through a compensation package comprised of the following basic elements:</w:t>
      </w:r>
    </w:p>
    <w:p>
      <w:pPr>
        <w:spacing w:after="0" w:line="9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compensation;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and benefits including retirement, health and welfare benefits.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the primary role of each compensation element is provided below, followed by a discussion of the individual elements of compensation for the Named Executive Officers, including the CEO, during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review salary ranges and individual salaries for our executive officers on an annual basis. We establish the base salary for each Named Executive Officer based on consideration of median pay levels in the market and internal factors, such as the individual's performance and experience, the level of responsibility held, as well as pay of others on our executive team.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our Compensation Committee reviews recommendations and determines base salaries for each Named Executive Officer after a review of published survey data, which provides us with a general understanding of the reasonableness and competitiveness of our compensation. We believe the base salaries paid to our executives during 2023 achieved our compensation objectives, compared favorably to market pay levels and were consistent with our goal of providing base salaries that are within the market ranges for similar sized companies in our industry.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awards of discretionary annual bonuses are determined after consideration of our corporate and individual objectives and are intended to recognize and reward our Named Executive Officers with cash payments above base salary as determined by our success in a given year. Our Compensation Committee uses the Radford Survey as a benchmarking guide for bonuses as a percentage of base salary, and then considers each executive officer's individual performance to determine bonuses paid in a given year.</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adjustments to our executive officers’ total compensation were made based on an analysis of current market pay levels in the aforementioned Radford Survey. In addition to our analysis of market pay levels, factors taken into account in determining 2023 bonuses included each executive officer's contributions, performance, role and responsibilities and the relationship of the executive officer's base pay to that of other executive officers.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 Compensation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award long-term equity incentive grants to executive officers as part of our total compensation package. These awards are consistent with our pay for performance principles and align the interests of the executive officers with the interests of our shareholders. The Compensation Committee reviews and approves the amount of each award to be granted to executive officers. The Compensation Committee's goal is to provide awards that are competitive with the external market. Long-term equity incentive awards granted to executives are determined after consideration of data included in the Radford Survey. The awards generally vest over a period of four years and are intended to focus our executives on achievement of our long-term strategic goals. Long-term equity incentive awards were made pursuant to our 1999 Stock Option Plan, or the 1999 Plan, until April 2007, and thereafter pursuant to our 2007 Long-Term Incentive Compensation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2007 Long-Term Incentive Compensation Plan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purposes of the 2007 Long-Term Incentive Compensation Plan, as amended, or the 2007 Plan, are to encourage our employees and consultants to acquire stock and other equity-based interests and to replace the 1999 Plan without impairing the vesting or exercise of any option granted thereunder. In 2020, the 2007 Plan was amended to extend the 2007 Plan, and our ability to make grants thereunder, until April 21, 2026. In 2023, the 2007 Plan was amended to increase the number of shares available for issuance under the 2007 Plan by 750,000 shares to a total of 3,150,000 shares.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40"/>
          </w:cols>
          <w:pgMar w:left="320" w:top="9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The 2007 Plan authorizes the issuance of each of the following incentives:</w:t>
      </w:r>
    </w:p>
    <w:p>
      <w:pPr>
        <w:spacing w:after="0" w:line="14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(options that meet Internal Revenue Service requirements for special tax treatment);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(all stock options other than incentive stock options);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(right to receive any excess in fair market value of shares over a specified exercise price);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(shares subject to vesting, transfer and forfeiture limitations);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(contingent awards comprised of stock and/or cash and paid only if specified performance goals are met).</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administers the 2007 Plan. The Compensation Committee is authorized to select participants, determine the type and number of awards to be granted, determine, and amend (subject to certain limitations) the terms of any award, interpret and specify the rules and regulations relating to the 2007 Plan and make all other necessary determinations. Employees and consultants other than non-employee directors are eligible to participate. We may cancel unvested or unpaid incentives for terminated employees and consultants to the extent permitted by law. Upon the occurrence of a change-of-control event, as defined in the 2007 Plan, all outstanding options will automatically become exercisable in full, and restrictions and conditions for other issued incentives will generally be deemed terminated or satisfied. In addition, our Board of Directors may amend or terminate the 2007 Plan, subject to shareholder approval, to comply with tax or regulatory requirements.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2007 Plan, all executive officers were granted shares of restricted stock in 2023. These restricted shares will all vest on the fourth anniversary of their grant date. As of December 31, 2023, there were 251,566 shares of unvested restricted stock issued pursuant to the 2007 Plan, which have defined vesting schedules. There were also 1,420,767 shares of common stock outstanding as of December 31, 2023, that were issued pursuant to the 2007 Plan.</w:t>
      </w:r>
    </w:p>
    <w:p>
      <w:pPr>
        <w:spacing w:after="0" w:line="108" w:lineRule="exact"/>
        <w:rPr>
          <w:sz w:val="20"/>
          <w:szCs w:val="20"/>
          <w:color w:val="auto"/>
        </w:rPr>
      </w:pPr>
    </w:p>
    <w:p>
      <w:pPr>
        <w:ind w:right="1860"/>
        <w:spacing w:after="0" w:line="414" w:lineRule="auto"/>
        <w:rPr>
          <w:sz w:val="20"/>
          <w:szCs w:val="20"/>
          <w:color w:val="auto"/>
        </w:rPr>
      </w:pPr>
      <w:r>
        <w:rPr>
          <w:rFonts w:ascii="Times New Roman" w:cs="Times New Roman" w:eastAsia="Times New Roman" w:hAnsi="Times New Roman"/>
          <w:sz w:val="18"/>
          <w:szCs w:val="18"/>
          <w:color w:val="auto"/>
        </w:rPr>
        <w:t xml:space="preserve">As of December 31, 2023, there were 487,250 outstanding options to purchase shares of common stock pursuant to the 2007 Plan. </w:t>
      </w:r>
      <w:r>
        <w:rPr>
          <w:rFonts w:ascii="Times New Roman" w:cs="Times New Roman" w:eastAsia="Times New Roman" w:hAnsi="Times New Roman"/>
          <w:sz w:val="18"/>
          <w:szCs w:val="18"/>
          <w:b w:val="1"/>
          <w:bCs w:val="1"/>
          <w:color w:val="auto"/>
        </w:rPr>
        <w:t>Retirement Savings Opportunity</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2006, we established a 401(k) plan covering all employees meeting certain minimum service and age requirements. The plan allows all qualifying employees to contribute the maximum tax-deferred contribution allowed by the Internal Revenue Code.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non-Highly Compensated Employees, or non-HCEs, do not have a minimum or maximum percentage limit that they can defer. The Highly Compensated Employees, however, are limited to what they can defer based on prior year's testing. Hardship distributions are permitted under well-defined circumstances. Beginning January 2008, our Board approved matching employee contributions. We intend to match a portion of the employee contributions on an annual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full-time employees, including our Named Executive Officers, may participate in our health and welfare benefits programs, which consist of medical, dental and vision care coverage, disability insurance and life insurance.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do not provide perquisites to our employees.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we entered into new, annual employment agreements with all of our employees. The employment agreements provide that individuals may be eligible for any bonus program which has been approved by our Board of Directors. Any such bonus is discretionary and will be subject to the terms of the bonus program, the terms of which may be modified from year-to-year in the sole discretion of our Board of Directors. During the period of employment under these agreements, each of our employees will be entitled to additional benefits, including eligibility to participate in any company-wide employee benefits programs approved by our Board of Directors as well as reimbursement for reasonable expenses.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40"/>
          </w:cols>
          <w:pgMar w:left="320" w:top="918"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Employment is at-will and may be terminated by us at any time, with or without notice and with or without cause. Similarly, each employee may terminate his or her employment with us at any time, with or without notice. Our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These agreements also require that, during the term of employment with us and for one year after an individual ceases to be employed by us, each employee may not compete with our business in any manner, unless he or she discloses all facts to our Board of Directors and receives a release allowing him or her to engage in a specific activity. Pursuant to the employment agreements, our employees also agree that for a period of one year after the individual ceases to be employed by us, he or she will not solicit business related to the development or sales of pharmaceutical products from any entity, organization or person which is contracted with us, which has been doing business with us, or which the employee knew we were going to solicit business from at the time he or she ceased to be employed. The agreements also prohibit a terminated employee from soliciting our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retirement, resignation or other termination or change in control provisions.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2012, we put in place a new retirement benefit plan, the Summit Program, for a select group of senior management and key employees. These individuals were selected based on tenure, performance and achievement. We expect to add more individuals to this plan each year. The decision to add individuals to this plan is discretionary and will be subject to the terms of the Summit Program.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benefit program is provided through a defined contribution Supplemental Executive Retirement Plan. As a defined contribution plan, the amount to be contributed is quantifiable and predictable in its impact on our cash and earnings. The Board approved our initial contribution to the plan and approves annual contributions thereafter, at its discretion and based on both employee and Company performance. The employees may also be given the option to defer some of their other compensation into this program.</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use Corporate Owned Life Insurance to offset future liabilities under the plan. Utilizing such insurance allows the assets to grow on the gross contributions and thus offset the gross growth against the defined contribution liability.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in the Retirement Plan section, we do not have any plan that provides for payments or other benefits at, following, or in connection with retirement.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Executive Compensation</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believes that our executive officers made favorable progress in meeting corporate and individual objectives in 2023 and that the progress justified the resulting increases in base salary as well as annual bonuses and equity awards.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Cumberland continued to advance its long-term strategy, building its brands and progressing its clinical programs. Management delivered a financial performance that resulted in improved EBITDA as well as positive cash-flow from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considered by our Compensation Committee in assessing officers’ performance in 2023 are set forth below:</w:t>
      </w:r>
    </w:p>
    <w:p>
      <w:pPr>
        <w:spacing w:after="0" w:line="181" w:lineRule="exact"/>
        <w:rPr>
          <w:sz w:val="20"/>
          <w:szCs w:val="20"/>
          <w:color w:val="auto"/>
        </w:rPr>
      </w:pPr>
    </w:p>
    <w:p>
      <w:pPr>
        <w:jc w:val="both"/>
        <w:ind w:left="660" w:hanging="328"/>
        <w:spacing w:after="0" w:line="239"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A.J. Kazimi. </w:t>
      </w:r>
      <w:r>
        <w:rPr>
          <w:rFonts w:ascii="Times New Roman" w:cs="Times New Roman" w:eastAsia="Times New Roman" w:hAnsi="Times New Roman"/>
          <w:sz w:val="18"/>
          <w:szCs w:val="18"/>
          <w:color w:val="auto"/>
        </w:rPr>
        <w:t>Since its inception Mr. Kazimi has led the Company's significant corporate initiatives, including our initial public offering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on the Nasdaq Global Select Market. He has raised over $100 million to support the formation, development and growth of the Company. He has developed and guided our strategy to build our commercial portfolio of FDA-approved brands. Mr. Kazimi has also led the acquisitions associated with our portfolio of marketed products, as well as the establishment of our co-promotion arrangements. He has overseen the management and growth of our organization including key executive appointments, guided our favorable Acetadote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patent defense, and managed the expansion of our patent portfolio. During 2023, Mr. Kazimi led the completion of the transition of the Sancuso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40"/>
          </w:cols>
          <w:pgMar w:left="320" w:top="769" w:right="339" w:bottom="1440" w:gutter="0" w:footer="0" w:header="0"/>
        </w:sectPr>
      </w:pPr>
    </w:p>
    <w:bookmarkStart w:id="25" w:name="page26"/>
    <w:bookmarkEnd w:id="25"/>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He also led efforts with the Company’s co-promotion and international partners to develop new markets for our brands. During 2023, he oversaw the Company’s operations which included several key appointments, development of the organization and move into new headquarter offices.</w:t>
      </w:r>
    </w:p>
    <w:p>
      <w:pPr>
        <w:spacing w:after="0" w:line="131" w:lineRule="exact"/>
        <w:rPr>
          <w:sz w:val="20"/>
          <w:szCs w:val="20"/>
          <w:color w:val="auto"/>
        </w:rPr>
      </w:pPr>
    </w:p>
    <w:p>
      <w:pPr>
        <w:jc w:val="both"/>
        <w:ind w:left="660" w:hanging="328"/>
        <w:spacing w:after="0" w:line="249"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James L. Herman</w:t>
      </w:r>
      <w:r>
        <w:rPr>
          <w:rFonts w:ascii="Times New Roman" w:cs="Times New Roman" w:eastAsia="Times New Roman" w:hAnsi="Times New Roman"/>
          <w:sz w:val="18"/>
          <w:szCs w:val="18"/>
          <w:color w:val="auto"/>
        </w:rPr>
        <w:t>. Mr. Herman managed the Company's key national and regional customer relationships in 2023, resulting in the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timely distribution of our marketed brands during the year. He oversaw our arrangements with managed care and group purchasing organizations, establishing important new contracts in support of our new Sancuso brand. Mr. Herman led the further expansion of our national accounts capabilities including arrangements with a group of key new customers in support of our Vibativ brand. In addition to these commercial responsibilities and achievements, he continued to lead our corporate compliance efforts which included implementing product serialization requirements as well as the training, communication and management of the Company's compliance policies.</w:t>
      </w:r>
    </w:p>
    <w:p>
      <w:pPr>
        <w:spacing w:after="0" w:line="148" w:lineRule="exact"/>
        <w:rPr>
          <w:rFonts w:ascii="Arial" w:cs="Arial" w:eastAsia="Arial" w:hAnsi="Arial"/>
          <w:sz w:val="22"/>
          <w:szCs w:val="22"/>
          <w:color w:val="auto"/>
        </w:rPr>
      </w:pPr>
    </w:p>
    <w:p>
      <w:pPr>
        <w:jc w:val="both"/>
        <w:ind w:left="660" w:hanging="328"/>
        <w:spacing w:after="0" w:line="247"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Todd M. Anthony. </w:t>
      </w:r>
      <w:r>
        <w:rPr>
          <w:rFonts w:ascii="Times New Roman" w:cs="Times New Roman" w:eastAsia="Times New Roman" w:hAnsi="Times New Roman"/>
          <w:sz w:val="18"/>
          <w:szCs w:val="18"/>
          <w:color w:val="auto"/>
        </w:rPr>
        <w:t>Mr. Anthony is responsible for managing our human resources, office administration, and employee training. He also oversees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national group of medical sales liaisons that support our brands. Mr. Anthony continues to lead the development of our organization including the identification, hiring and onboarding of all new employees. In his office administration role he is also responsible for the Company’s information technology including hardware, systems and cybersecurity efforts. During 2023, Mr. Anthony helped complete the move and transition of the organization and equipment to the Company’s new headquarter facility. He also led the transition from a company health benefit plan to individual health coverage resulting in significant savings and an opportunity for employees to customize their health insurance benefit to support their individual needs.</w:t>
      </w:r>
    </w:p>
    <w:p>
      <w:pPr>
        <w:spacing w:after="0" w:line="122" w:lineRule="exact"/>
        <w:rPr>
          <w:rFonts w:ascii="Arial" w:cs="Arial" w:eastAsia="Arial" w:hAnsi="Arial"/>
          <w:sz w:val="22"/>
          <w:szCs w:val="22"/>
          <w:color w:val="auto"/>
        </w:rPr>
      </w:pPr>
    </w:p>
    <w:p>
      <w:pPr>
        <w:jc w:val="both"/>
        <w:ind w:left="660" w:hanging="328"/>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Christopher T. Bitterman. </w:t>
      </w:r>
      <w:r>
        <w:rPr>
          <w:rFonts w:ascii="Times New Roman" w:cs="Times New Roman" w:eastAsia="Times New Roman" w:hAnsi="Times New Roman"/>
          <w:sz w:val="18"/>
          <w:szCs w:val="18"/>
          <w:color w:val="auto"/>
        </w:rPr>
        <w:t>Mr. Bitterman coordinated all the marketing and sales activities for the Company in 2023. He helped complete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transition of the Sancuso brand to Cumberland’s commercial operations in support of the brand. Mr. Bitterman directly managed the hospital sales division, field sales divisions and oncology sales division. He also led the reorganization of the Company’s sales forces that led to the expansion of the oncology sales division. He led the national and district meetings held during the year designed to motivate all sales personnel and coordinate their activities. Mr. Bitterman also worked with the Company’s marketing executives to develop and implement the advertising and promotional campaigns, initiatives and support for the Company’s brands.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49" w:lineRule="auto"/>
        <w:tabs>
          <w:tab w:leader="none" w:pos="648" w:val="left"/>
        </w:tabs>
        <w:numPr>
          <w:ilvl w:val="0"/>
          <w:numId w:val="20"/>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 xml:space="preserve">John Hamm. </w:t>
      </w:r>
      <w:r>
        <w:rPr>
          <w:rFonts w:ascii="Times New Roman" w:cs="Times New Roman" w:eastAsia="Times New Roman" w:hAnsi="Times New Roman"/>
          <w:sz w:val="18"/>
          <w:szCs w:val="18"/>
          <w:color w:val="auto"/>
        </w:rPr>
        <w:t>Mr. Hamm served as the Company’s principal financial officer and was responsible for the Company’s financial systems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He managed our SEC reporting including the filing of our annual and quarterly reports during the year. Mr. Hamm managed our commercial banking relationships that included securing a new $20 million credit facility and optimizing the investment of the Company’s cash reserves. During 2023, he continued to oversee the Company’s business development and legal activities. Mr. Hamm also oversaw the reorganization of our accounting and finance department with the addition of key staff. He also designed and implemented a plan to upgrade the Company’s accounting systems and procedures. He managed all tax filings and insurance arrangements for the Company during the year</w:t>
      </w:r>
      <w:r>
        <w:rPr>
          <w:rFonts w:ascii="Calibri" w:cs="Calibri" w:eastAsia="Calibri" w:hAnsi="Calibri"/>
          <w:sz w:val="18"/>
          <w:szCs w:val="18"/>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each of our non-tenured, non-executive director annual compensation includes $50,000 plus 1,000 shares of restricted stock issued pursuant to our 2007 Directors' Incentive Compensation Plan, as amended, or the 2007 Directors’ Plan. Annual compensation for each of our tenured (having completed their first three-year term) non-executive directors for service on the Board of Directors for 2023 was $60,000 plus 1,000 shares of restricted stock.</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their responsibilities and activities, for 2023, the Chairman of our Medical Advisory Board received additional compensation of $35,000, and our Lead Independent Director received an additional 4,000 shares of restricted stock.</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compensation for our tenured, non-executive directors for 2024 will be $60,000 plus 1,000 shares of restricted stock issued pursuant to the 2007 Directors' Plan. The Chairman of our Medical Advisory Board will receive additional compensation of $35,000 in 2024 and our Lead Independent Director will receive an additional 4,000 shares of restricted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40"/>
          </w:cols>
          <w:pgMar w:left="320" w:top="918"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All such director fees are paid in a combination of cash and/or equity, as we and each director shall agree. Cash fees will be accrued and paid on either a monthly or quarterly basis. Directors will not receive separate compensation for attendance at board meetings, board committee meetings or other Company board-related activities. Outside directors will be reimbursed for all reasonable and necessary business expenses incurred in the performance of their board responsibilities. The Compensation Committee reviews and approves director compensation.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2007 Directors' Incentive Compensation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purposes of the 2007 Directors’ Plan are to strengthen our ability to attract, motivate, and retain qualified independent directors and to replace the 1999 Plan without impairing the vesting or exercise of any option granted to a director thereunder. In 2020, the 2007 Directors’ Plan was amended to extend our ability to make grants thereunder, until April 21,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2007 Directors' Plan authorizes the issuance to non-employee directors of each of the following types of awards:</w:t>
      </w:r>
    </w:p>
    <w:p>
      <w:pPr>
        <w:spacing w:after="0" w:line="14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options;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grants (shares subject to various restrictions and conditions as determined by our Compensation Committee);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grants (awards of shares of our common stock with full and unrestricted ownership rights).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administers the 2007 Directors' Plan. In the event of a change in control of the Company (as defined in the 2007 Directors' Plan), all outstanding options would automatically become exercisable in full, and restrictions and conditions for other issued awards shall generally be deemed terminated or satisfied. Our Board of Directors may amend or terminate the 2007 Directors' Plan, subject to shareholder approval, if necessary, to comply with tax or regulatory requirements.</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no options to purchase shares of common stock issued and 9,000 shares of unvested restricted stock issued which have defined vesting schedules, pursuant to the 2007 Directors'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this Compensation Discussion and Analysis with management. Based on its review of this Compensation Discussion and Analysis and discussions with management, the Committee has recommended to the Board that this Compensation Discussion and Analysis be included in this Proxy Statement.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would like additional information on the responsibilities of the Compensation Committee, please refer to its charter, a copy of which is posted on the Company’s website at </w:t>
      </w:r>
      <w:r>
        <w:rPr>
          <w:rFonts w:ascii="Times New Roman" w:cs="Times New Roman" w:eastAsia="Times New Roman" w:hAnsi="Times New Roman"/>
          <w:sz w:val="18"/>
          <w:szCs w:val="18"/>
          <w:u w:val="single" w:color="auto"/>
          <w:color w:val="auto"/>
        </w:rPr>
        <w:t>www.cumberlandpharma.com</w:t>
      </w:r>
      <w:r>
        <w:rPr>
          <w:rFonts w:ascii="Times New Roman" w:cs="Times New Roman" w:eastAsia="Times New Roman" w:hAnsi="Times New Roman"/>
          <w:sz w:val="18"/>
          <w:szCs w:val="18"/>
          <w:color w:val="auto"/>
        </w:rPr>
        <w:t xml:space="preserve"> and is also available in print to any shareholder who requests it.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Submitted by the Compensation Committee</w:t>
      </w:r>
    </w:p>
    <w:p>
      <w:pPr>
        <w:spacing w:after="0" w:line="183" w:lineRule="exact"/>
        <w:rPr>
          <w:sz w:val="20"/>
          <w:szCs w:val="20"/>
          <w:color w:val="auto"/>
        </w:rPr>
      </w:pPr>
    </w:p>
    <w:p>
      <w:pPr>
        <w:ind w:left="20"/>
        <w:spacing w:after="0"/>
        <w:tabs>
          <w:tab w:leader="none" w:pos="2880" w:val="left"/>
          <w:tab w:leader="none" w:pos="5760" w:val="left"/>
        </w:tabs>
        <w:rPr>
          <w:sz w:val="20"/>
          <w:szCs w:val="20"/>
          <w:color w:val="auto"/>
        </w:rPr>
      </w:pPr>
      <w:r>
        <w:rPr>
          <w:rFonts w:ascii="Times New Roman" w:cs="Times New Roman" w:eastAsia="Times New Roman" w:hAnsi="Times New Roman"/>
          <w:sz w:val="18"/>
          <w:szCs w:val="18"/>
          <w:b w:val="1"/>
          <w:bCs w:val="1"/>
          <w:color w:val="auto"/>
        </w:rPr>
        <w:t>Mr. Joseph C. Galante</w:t>
      </w:r>
      <w:r>
        <w:rPr>
          <w:sz w:val="20"/>
          <w:szCs w:val="20"/>
          <w:color w:val="auto"/>
        </w:rPr>
        <w:tab/>
      </w:r>
      <w:r>
        <w:rPr>
          <w:rFonts w:ascii="Times New Roman" w:cs="Times New Roman" w:eastAsia="Times New Roman" w:hAnsi="Times New Roman"/>
          <w:sz w:val="18"/>
          <w:szCs w:val="18"/>
          <w:b w:val="1"/>
          <w:bCs w:val="1"/>
          <w:color w:val="auto"/>
        </w:rPr>
        <w:t>Ms. Caroline R. Young</w:t>
      </w:r>
      <w:r>
        <w:rPr>
          <w:sz w:val="20"/>
          <w:szCs w:val="20"/>
          <w:color w:val="auto"/>
        </w:rPr>
        <w:tab/>
      </w:r>
      <w:r>
        <w:rPr>
          <w:rFonts w:ascii="Times New Roman" w:cs="Times New Roman" w:eastAsia="Times New Roman" w:hAnsi="Times New Roman"/>
          <w:sz w:val="17"/>
          <w:szCs w:val="17"/>
          <w:b w:val="1"/>
          <w:bCs w:val="1"/>
          <w:color w:val="auto"/>
        </w:rPr>
        <w:t>Dr. Gordon R. Bernard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40"/>
          </w:cols>
          <w:pgMar w:left="320" w:top="91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AND RELATED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for services in all capacities to our company for our fiscal years ended December 31, 2023, 2022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2021 for the Named Executive Officers:</w:t>
      </w:r>
    </w:p>
    <w:p>
      <w:pPr>
        <w:spacing w:after="0" w:line="16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Pr>
          <w:p>
            <w:pPr>
              <w:spacing w:after="0"/>
              <w:rPr>
                <w:sz w:val="13"/>
                <w:szCs w:val="13"/>
                <w:color w:val="auto"/>
              </w:rPr>
            </w:pPr>
          </w:p>
        </w:tc>
        <w:tc>
          <w:tcPr>
            <w:tcW w:w="74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Nonqualified Deferred</w:t>
            </w:r>
          </w:p>
        </w:tc>
        <w:tc>
          <w:tcPr>
            <w:tcW w:w="280" w:type="dxa"/>
            <w:vAlign w:val="bottom"/>
          </w:tcPr>
          <w:p>
            <w:pPr>
              <w:spacing w:after="0"/>
              <w:rPr>
                <w:sz w:val="13"/>
                <w:szCs w:val="13"/>
                <w:color w:val="auto"/>
              </w:rPr>
            </w:pPr>
          </w:p>
        </w:tc>
        <w:tc>
          <w:tcPr>
            <w:tcW w:w="106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2"/>
                <w:szCs w:val="12"/>
                <w:color w:val="auto"/>
              </w:rPr>
            </w:pPr>
          </w:p>
        </w:tc>
        <w:tc>
          <w:tcPr>
            <w:tcW w:w="7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Pr>
          <w:p>
            <w:pPr>
              <w:spacing w:after="0"/>
              <w:rPr>
                <w:sz w:val="12"/>
                <w:szCs w:val="12"/>
                <w:color w:val="auto"/>
              </w:rPr>
            </w:pPr>
          </w:p>
        </w:tc>
        <w:tc>
          <w:tcPr>
            <w:tcW w:w="7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right"/>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Earnings (2)</w:t>
            </w: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Compensation (3)</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A.J. Kazimi</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675,000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197,000</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2,530</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1,169,530</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Chief Executive Officer</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635,000</w:t>
            </w: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57,000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228,000</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2,497</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1,202,497</w:t>
            </w:r>
          </w:p>
        </w:tc>
        <w:tc>
          <w:tcPr>
            <w:tcW w:w="0" w:type="dxa"/>
            <w:vAlign w:val="bottom"/>
          </w:tcPr>
          <w:p>
            <w:pPr>
              <w:spacing w:after="0"/>
              <w:rPr>
                <w:sz w:val="1"/>
                <w:szCs w:val="1"/>
                <w:color w:val="auto"/>
              </w:rPr>
            </w:pPr>
          </w:p>
        </w:tc>
      </w:tr>
      <w:tr>
        <w:trPr>
          <w:trHeight w:val="260"/>
        </w:trPr>
        <w:tc>
          <w:tcPr>
            <w:tcW w:w="2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610,132</w:t>
            </w: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42,480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311,520</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12,500</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2,497</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1,239,129</w:t>
            </w:r>
          </w:p>
        </w:tc>
        <w:tc>
          <w:tcPr>
            <w:tcW w:w="0" w:type="dxa"/>
            <w:vAlign w:val="bottom"/>
          </w:tcPr>
          <w:p>
            <w:pPr>
              <w:spacing w:after="0"/>
              <w:rPr>
                <w:sz w:val="1"/>
                <w:szCs w:val="1"/>
                <w:color w:val="auto"/>
              </w:rPr>
            </w:pPr>
          </w:p>
        </w:tc>
      </w:tr>
      <w:tr>
        <w:trPr>
          <w:trHeight w:val="97"/>
        </w:trPr>
        <w:tc>
          <w:tcPr>
            <w:tcW w:w="2160" w:type="dxa"/>
            <w:vAlign w:val="bottom"/>
            <w:shd w:val="clear" w:color="auto" w:fill="BFBFBF"/>
          </w:tcPr>
          <w:p>
            <w:pPr>
              <w:spacing w:after="0"/>
              <w:rPr>
                <w:sz w:val="8"/>
                <w:szCs w:val="8"/>
                <w:color w:val="auto"/>
              </w:rPr>
            </w:pPr>
          </w:p>
        </w:tc>
        <w:tc>
          <w:tcPr>
            <w:tcW w:w="700" w:type="dxa"/>
            <w:vAlign w:val="bottom"/>
            <w:gridSpan w:val="2"/>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78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780" w:type="dxa"/>
            <w:vAlign w:val="bottom"/>
            <w:shd w:val="clear" w:color="auto" w:fill="BFBFBF"/>
          </w:tcPr>
          <w:p>
            <w:pPr>
              <w:spacing w:after="0"/>
              <w:rPr>
                <w:sz w:val="8"/>
                <w:szCs w:val="8"/>
                <w:color w:val="auto"/>
              </w:rPr>
            </w:pPr>
          </w:p>
        </w:tc>
        <w:tc>
          <w:tcPr>
            <w:tcW w:w="320" w:type="dxa"/>
            <w:vAlign w:val="bottom"/>
            <w:shd w:val="clear" w:color="auto" w:fill="BFBFBF"/>
          </w:tcPr>
          <w:p>
            <w:pPr>
              <w:spacing w:after="0"/>
              <w:rPr>
                <w:sz w:val="8"/>
                <w:szCs w:val="8"/>
                <w:color w:val="auto"/>
              </w:rPr>
            </w:pPr>
          </w:p>
        </w:tc>
        <w:tc>
          <w:tcPr>
            <w:tcW w:w="740" w:type="dxa"/>
            <w:vAlign w:val="bottom"/>
            <w:shd w:val="clear" w:color="auto" w:fill="BFBFBF"/>
          </w:tcPr>
          <w:p>
            <w:pPr>
              <w:spacing w:after="0"/>
              <w:rPr>
                <w:sz w:val="8"/>
                <w:szCs w:val="8"/>
                <w:color w:val="auto"/>
              </w:rPr>
            </w:pPr>
          </w:p>
        </w:tc>
        <w:tc>
          <w:tcPr>
            <w:tcW w:w="220" w:type="dxa"/>
            <w:vAlign w:val="bottom"/>
            <w:shd w:val="clear" w:color="auto" w:fill="BFBFBF"/>
          </w:tcPr>
          <w:p>
            <w:pPr>
              <w:spacing w:after="0"/>
              <w:rPr>
                <w:sz w:val="8"/>
                <w:szCs w:val="8"/>
                <w:color w:val="auto"/>
              </w:rPr>
            </w:pPr>
          </w:p>
        </w:tc>
        <w:tc>
          <w:tcPr>
            <w:tcW w:w="74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128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106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86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James L. Herman</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310,000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7,880</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2,269</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400,149</w:t>
            </w:r>
          </w:p>
        </w:tc>
        <w:tc>
          <w:tcPr>
            <w:tcW w:w="0" w:type="dxa"/>
            <w:vAlign w:val="bottom"/>
          </w:tcPr>
          <w:p>
            <w:pPr>
              <w:spacing w:after="0"/>
              <w:rPr>
                <w:sz w:val="1"/>
                <w:szCs w:val="1"/>
                <w:color w:val="auto"/>
              </w:rPr>
            </w:pPr>
          </w:p>
        </w:tc>
      </w:tr>
      <w:tr>
        <w:trPr>
          <w:trHeight w:val="208"/>
        </w:trPr>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Executive Vice President and</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292,000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32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15,540</w:t>
            </w:r>
          </w:p>
        </w:tc>
        <w:tc>
          <w:tcPr>
            <w:tcW w:w="260" w:type="dxa"/>
            <w:vAlign w:val="bottom"/>
          </w:tcPr>
          <w:p>
            <w:pPr>
              <w:spacing w:after="0"/>
              <w:rPr>
                <w:sz w:val="18"/>
                <w:szCs w:val="18"/>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648</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388,188</w:t>
            </w:r>
          </w:p>
        </w:tc>
        <w:tc>
          <w:tcPr>
            <w:tcW w:w="0" w:type="dxa"/>
            <w:vAlign w:val="bottom"/>
          </w:tcPr>
          <w:p>
            <w:pPr>
              <w:spacing w:after="0"/>
              <w:rPr>
                <w:sz w:val="1"/>
                <w:szCs w:val="1"/>
                <w:color w:val="auto"/>
              </w:rPr>
            </w:pPr>
          </w:p>
        </w:tc>
      </w:tr>
      <w:tr>
        <w:trPr>
          <w:trHeight w:val="210"/>
        </w:trPr>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Chief Compliance Officer</w:t>
            </w: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18"/>
                <w:szCs w:val="18"/>
                <w:color w:val="auto"/>
              </w:rPr>
            </w:pPr>
          </w:p>
        </w:tc>
        <w:tc>
          <w:tcPr>
            <w:tcW w:w="7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270,000</w:t>
            </w:r>
          </w:p>
        </w:tc>
        <w:tc>
          <w:tcPr>
            <w:tcW w:w="2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320" w:type="dxa"/>
            <w:vAlign w:val="bottom"/>
          </w:tcPr>
          <w:p>
            <w:pPr>
              <w:spacing w:after="0"/>
              <w:rPr>
                <w:sz w:val="18"/>
                <w:szCs w:val="18"/>
                <w:color w:val="auto"/>
              </w:rPr>
            </w:pP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9,660</w:t>
            </w:r>
          </w:p>
        </w:tc>
        <w:tc>
          <w:tcPr>
            <w:tcW w:w="260" w:type="dxa"/>
            <w:vAlign w:val="bottom"/>
          </w:tcPr>
          <w:p>
            <w:pPr>
              <w:spacing w:after="0"/>
              <w:rPr>
                <w:sz w:val="18"/>
                <w:szCs w:val="18"/>
                <w:color w:val="auto"/>
              </w:rPr>
            </w:pPr>
          </w:p>
        </w:tc>
        <w:tc>
          <w:tcPr>
            <w:tcW w:w="12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15,000</w:t>
            </w:r>
          </w:p>
        </w:tc>
        <w:tc>
          <w:tcPr>
            <w:tcW w:w="280" w:type="dxa"/>
            <w:vAlign w:val="bottom"/>
          </w:tcPr>
          <w:p>
            <w:pPr>
              <w:spacing w:after="0"/>
              <w:rPr>
                <w:sz w:val="18"/>
                <w:szCs w:val="18"/>
                <w:color w:val="auto"/>
              </w:rPr>
            </w:pPr>
          </w:p>
        </w:tc>
        <w:tc>
          <w:tcPr>
            <w:tcW w:w="10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648</w:t>
            </w:r>
          </w:p>
        </w:tc>
        <w:tc>
          <w:tcPr>
            <w:tcW w:w="30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345,308</w:t>
            </w:r>
          </w:p>
        </w:tc>
        <w:tc>
          <w:tcPr>
            <w:tcW w:w="0" w:type="dxa"/>
            <w:vAlign w:val="bottom"/>
          </w:tcPr>
          <w:p>
            <w:pPr>
              <w:spacing w:after="0"/>
              <w:rPr>
                <w:sz w:val="1"/>
                <w:szCs w:val="1"/>
                <w:color w:val="auto"/>
              </w:rPr>
            </w:pPr>
          </w:p>
        </w:tc>
      </w:tr>
      <w:tr>
        <w:trPr>
          <w:trHeight w:val="97"/>
        </w:trPr>
        <w:tc>
          <w:tcPr>
            <w:tcW w:w="21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160" w:type="dxa"/>
            <w:vAlign w:val="bottom"/>
            <w:shd w:val="clear" w:color="auto" w:fill="BFBFBF"/>
          </w:tcPr>
          <w:p>
            <w:pPr>
              <w:spacing w:after="0"/>
              <w:rPr>
                <w:sz w:val="8"/>
                <w:szCs w:val="8"/>
                <w:color w:val="auto"/>
              </w:rPr>
            </w:pPr>
          </w:p>
        </w:tc>
        <w:tc>
          <w:tcPr>
            <w:tcW w:w="700" w:type="dxa"/>
            <w:vAlign w:val="bottom"/>
            <w:gridSpan w:val="2"/>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78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780" w:type="dxa"/>
            <w:vAlign w:val="bottom"/>
            <w:shd w:val="clear" w:color="auto" w:fill="BFBFBF"/>
          </w:tcPr>
          <w:p>
            <w:pPr>
              <w:spacing w:after="0"/>
              <w:rPr>
                <w:sz w:val="8"/>
                <w:szCs w:val="8"/>
                <w:color w:val="auto"/>
              </w:rPr>
            </w:pPr>
          </w:p>
        </w:tc>
        <w:tc>
          <w:tcPr>
            <w:tcW w:w="320" w:type="dxa"/>
            <w:vAlign w:val="bottom"/>
            <w:shd w:val="clear" w:color="auto" w:fill="BFBFBF"/>
          </w:tcPr>
          <w:p>
            <w:pPr>
              <w:spacing w:after="0"/>
              <w:rPr>
                <w:sz w:val="8"/>
                <w:szCs w:val="8"/>
                <w:color w:val="auto"/>
              </w:rPr>
            </w:pPr>
          </w:p>
        </w:tc>
        <w:tc>
          <w:tcPr>
            <w:tcW w:w="740" w:type="dxa"/>
            <w:vAlign w:val="bottom"/>
            <w:shd w:val="clear" w:color="auto" w:fill="BFBFBF"/>
          </w:tcPr>
          <w:p>
            <w:pPr>
              <w:spacing w:after="0"/>
              <w:rPr>
                <w:sz w:val="8"/>
                <w:szCs w:val="8"/>
                <w:color w:val="auto"/>
              </w:rPr>
            </w:pPr>
          </w:p>
        </w:tc>
        <w:tc>
          <w:tcPr>
            <w:tcW w:w="220" w:type="dxa"/>
            <w:vAlign w:val="bottom"/>
            <w:shd w:val="clear" w:color="auto" w:fill="BFBFBF"/>
          </w:tcPr>
          <w:p>
            <w:pPr>
              <w:spacing w:after="0"/>
              <w:rPr>
                <w:sz w:val="8"/>
                <w:szCs w:val="8"/>
                <w:color w:val="auto"/>
              </w:rPr>
            </w:pPr>
          </w:p>
        </w:tc>
        <w:tc>
          <w:tcPr>
            <w:tcW w:w="74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128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106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86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Todd M. Anthony</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272,500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5,910</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2,442</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330,852</w:t>
            </w:r>
          </w:p>
        </w:tc>
        <w:tc>
          <w:tcPr>
            <w:tcW w:w="0" w:type="dxa"/>
            <w:vAlign w:val="bottom"/>
          </w:tcPr>
          <w:p>
            <w:pPr>
              <w:spacing w:after="0"/>
              <w:rPr>
                <w:sz w:val="1"/>
                <w:szCs w:val="1"/>
                <w:color w:val="auto"/>
              </w:rPr>
            </w:pPr>
          </w:p>
        </w:tc>
      </w:tr>
      <w:tr>
        <w:trPr>
          <w:trHeight w:val="168"/>
        </w:trPr>
        <w:tc>
          <w:tcPr>
            <w:tcW w:w="2160" w:type="dxa"/>
            <w:vAlign w:val="bottom"/>
            <w:shd w:val="clear" w:color="auto" w:fill="CCEEFF"/>
          </w:tcPr>
          <w:p>
            <w:pPr>
              <w:ind w:left="240"/>
              <w:spacing w:after="0" w:line="168" w:lineRule="exact"/>
              <w:rPr>
                <w:sz w:val="20"/>
                <w:szCs w:val="20"/>
                <w:color w:val="auto"/>
              </w:rPr>
            </w:pPr>
            <w:r>
              <w:rPr>
                <w:rFonts w:ascii="Times New Roman" w:cs="Times New Roman" w:eastAsia="Times New Roman" w:hAnsi="Times New Roman"/>
                <w:sz w:val="16"/>
                <w:szCs w:val="16"/>
                <w:color w:val="auto"/>
              </w:rPr>
              <w:t>Vice President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Organizational Development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160" w:type="dxa"/>
            <w:vAlign w:val="bottom"/>
            <w:shd w:val="clear" w:color="auto" w:fill="BFBFBF"/>
          </w:tcPr>
          <w:p>
            <w:pPr>
              <w:spacing w:after="0"/>
              <w:rPr>
                <w:sz w:val="8"/>
                <w:szCs w:val="8"/>
                <w:color w:val="auto"/>
              </w:rPr>
            </w:pPr>
          </w:p>
        </w:tc>
        <w:tc>
          <w:tcPr>
            <w:tcW w:w="700" w:type="dxa"/>
            <w:vAlign w:val="bottom"/>
            <w:gridSpan w:val="2"/>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78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780" w:type="dxa"/>
            <w:vAlign w:val="bottom"/>
            <w:shd w:val="clear" w:color="auto" w:fill="BFBFBF"/>
          </w:tcPr>
          <w:p>
            <w:pPr>
              <w:spacing w:after="0"/>
              <w:rPr>
                <w:sz w:val="8"/>
                <w:szCs w:val="8"/>
                <w:color w:val="auto"/>
              </w:rPr>
            </w:pPr>
          </w:p>
        </w:tc>
        <w:tc>
          <w:tcPr>
            <w:tcW w:w="320" w:type="dxa"/>
            <w:vAlign w:val="bottom"/>
            <w:shd w:val="clear" w:color="auto" w:fill="BFBFBF"/>
          </w:tcPr>
          <w:p>
            <w:pPr>
              <w:spacing w:after="0"/>
              <w:rPr>
                <w:sz w:val="8"/>
                <w:szCs w:val="8"/>
                <w:color w:val="auto"/>
              </w:rPr>
            </w:pPr>
          </w:p>
        </w:tc>
        <w:tc>
          <w:tcPr>
            <w:tcW w:w="740" w:type="dxa"/>
            <w:vAlign w:val="bottom"/>
            <w:shd w:val="clear" w:color="auto" w:fill="BFBFBF"/>
          </w:tcPr>
          <w:p>
            <w:pPr>
              <w:spacing w:after="0"/>
              <w:rPr>
                <w:sz w:val="8"/>
                <w:szCs w:val="8"/>
                <w:color w:val="auto"/>
              </w:rPr>
            </w:pPr>
          </w:p>
        </w:tc>
        <w:tc>
          <w:tcPr>
            <w:tcW w:w="220" w:type="dxa"/>
            <w:vAlign w:val="bottom"/>
            <w:shd w:val="clear" w:color="auto" w:fill="BFBFBF"/>
          </w:tcPr>
          <w:p>
            <w:pPr>
              <w:spacing w:after="0"/>
              <w:rPr>
                <w:sz w:val="8"/>
                <w:szCs w:val="8"/>
                <w:color w:val="auto"/>
              </w:rPr>
            </w:pPr>
          </w:p>
        </w:tc>
        <w:tc>
          <w:tcPr>
            <w:tcW w:w="74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128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1060" w:type="dxa"/>
            <w:vAlign w:val="bottom"/>
            <w:shd w:val="clear" w:color="auto" w:fill="BFBFBF"/>
          </w:tcPr>
          <w:p>
            <w:pPr>
              <w:spacing w:after="0"/>
              <w:rPr>
                <w:sz w:val="8"/>
                <w:szCs w:val="8"/>
                <w:color w:val="auto"/>
              </w:rPr>
            </w:pPr>
          </w:p>
        </w:tc>
        <w:tc>
          <w:tcPr>
            <w:tcW w:w="300" w:type="dxa"/>
            <w:vAlign w:val="bottom"/>
            <w:shd w:val="clear" w:color="auto" w:fill="BFBFBF"/>
          </w:tcPr>
          <w:p>
            <w:pPr>
              <w:spacing w:after="0"/>
              <w:rPr>
                <w:sz w:val="8"/>
                <w:szCs w:val="8"/>
                <w:color w:val="auto"/>
              </w:rPr>
            </w:pPr>
          </w:p>
        </w:tc>
        <w:tc>
          <w:tcPr>
            <w:tcW w:w="86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Chris T. Bitterman</w:t>
            </w: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258,500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5,418</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2,369</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316,287</w:t>
            </w:r>
          </w:p>
        </w:tc>
        <w:tc>
          <w:tcPr>
            <w:tcW w:w="0" w:type="dxa"/>
            <w:vAlign w:val="bottom"/>
          </w:tcPr>
          <w:p>
            <w:pPr>
              <w:spacing w:after="0"/>
              <w:rPr>
                <w:sz w:val="1"/>
                <w:szCs w:val="1"/>
                <w:color w:val="auto"/>
              </w:rPr>
            </w:pPr>
          </w:p>
        </w:tc>
      </w:tr>
      <w:tr>
        <w:trPr>
          <w:trHeight w:val="168"/>
        </w:trPr>
        <w:tc>
          <w:tcPr>
            <w:tcW w:w="2160" w:type="dxa"/>
            <w:vAlign w:val="bottom"/>
          </w:tcPr>
          <w:p>
            <w:pPr>
              <w:ind w:left="240"/>
              <w:spacing w:after="0" w:line="168" w:lineRule="exact"/>
              <w:rPr>
                <w:sz w:val="20"/>
                <w:szCs w:val="20"/>
                <w:color w:val="auto"/>
              </w:rPr>
            </w:pPr>
            <w:r>
              <w:rPr>
                <w:rFonts w:ascii="Times New Roman" w:cs="Times New Roman" w:eastAsia="Times New Roman" w:hAnsi="Times New Roman"/>
                <w:sz w:val="16"/>
                <w:szCs w:val="16"/>
                <w:color w:val="auto"/>
              </w:rPr>
              <w:t>Vice President Sales &amp;</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Marketing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16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60" w:type="dxa"/>
            <w:vAlign w:val="bottom"/>
            <w:shd w:val="clear" w:color="auto" w:fill="ACACAC"/>
          </w:tcPr>
          <w:p>
            <w:pPr>
              <w:spacing w:after="0"/>
              <w:rPr>
                <w:sz w:val="8"/>
                <w:szCs w:val="8"/>
                <w:color w:val="auto"/>
              </w:rPr>
            </w:pPr>
          </w:p>
        </w:tc>
        <w:tc>
          <w:tcPr>
            <w:tcW w:w="700" w:type="dxa"/>
            <w:vAlign w:val="bottom"/>
            <w:gridSpan w:val="2"/>
            <w:shd w:val="clear" w:color="auto" w:fill="ACACAC"/>
          </w:tcPr>
          <w:p>
            <w:pPr>
              <w:spacing w:after="0"/>
              <w:rPr>
                <w:sz w:val="8"/>
                <w:szCs w:val="8"/>
                <w:color w:val="auto"/>
              </w:rPr>
            </w:pPr>
          </w:p>
        </w:tc>
        <w:tc>
          <w:tcPr>
            <w:tcW w:w="300" w:type="dxa"/>
            <w:vAlign w:val="bottom"/>
            <w:shd w:val="clear" w:color="auto" w:fill="ACACAC"/>
          </w:tcPr>
          <w:p>
            <w:pPr>
              <w:spacing w:after="0"/>
              <w:rPr>
                <w:sz w:val="8"/>
                <w:szCs w:val="8"/>
                <w:color w:val="auto"/>
              </w:rPr>
            </w:pPr>
          </w:p>
        </w:tc>
        <w:tc>
          <w:tcPr>
            <w:tcW w:w="78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780" w:type="dxa"/>
            <w:vAlign w:val="bottom"/>
            <w:shd w:val="clear" w:color="auto" w:fill="ACACAC"/>
          </w:tcPr>
          <w:p>
            <w:pPr>
              <w:spacing w:after="0"/>
              <w:rPr>
                <w:sz w:val="8"/>
                <w:szCs w:val="8"/>
                <w:color w:val="auto"/>
              </w:rPr>
            </w:pPr>
          </w:p>
        </w:tc>
        <w:tc>
          <w:tcPr>
            <w:tcW w:w="320" w:type="dxa"/>
            <w:vAlign w:val="bottom"/>
            <w:shd w:val="clear" w:color="auto" w:fill="ACACAC"/>
          </w:tcPr>
          <w:p>
            <w:pPr>
              <w:spacing w:after="0"/>
              <w:rPr>
                <w:sz w:val="8"/>
                <w:szCs w:val="8"/>
                <w:color w:val="auto"/>
              </w:rPr>
            </w:pPr>
          </w:p>
        </w:tc>
        <w:tc>
          <w:tcPr>
            <w:tcW w:w="740" w:type="dxa"/>
            <w:vAlign w:val="bottom"/>
            <w:shd w:val="clear" w:color="auto" w:fill="ACACAC"/>
          </w:tcPr>
          <w:p>
            <w:pPr>
              <w:spacing w:after="0"/>
              <w:rPr>
                <w:sz w:val="8"/>
                <w:szCs w:val="8"/>
                <w:color w:val="auto"/>
              </w:rPr>
            </w:pPr>
          </w:p>
        </w:tc>
        <w:tc>
          <w:tcPr>
            <w:tcW w:w="220" w:type="dxa"/>
            <w:vAlign w:val="bottom"/>
            <w:shd w:val="clear" w:color="auto" w:fill="ACACAC"/>
          </w:tcPr>
          <w:p>
            <w:pPr>
              <w:spacing w:after="0"/>
              <w:rPr>
                <w:sz w:val="8"/>
                <w:szCs w:val="8"/>
                <w:color w:val="auto"/>
              </w:rPr>
            </w:pPr>
          </w:p>
        </w:tc>
        <w:tc>
          <w:tcPr>
            <w:tcW w:w="74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1280" w:type="dxa"/>
            <w:vAlign w:val="bottom"/>
            <w:shd w:val="clear" w:color="auto" w:fill="ACACAC"/>
          </w:tcPr>
          <w:p>
            <w:pPr>
              <w:spacing w:after="0"/>
              <w:rPr>
                <w:sz w:val="8"/>
                <w:szCs w:val="8"/>
                <w:color w:val="auto"/>
              </w:rPr>
            </w:pPr>
          </w:p>
        </w:tc>
        <w:tc>
          <w:tcPr>
            <w:tcW w:w="280" w:type="dxa"/>
            <w:vAlign w:val="bottom"/>
            <w:shd w:val="clear" w:color="auto" w:fill="ACACAC"/>
          </w:tcPr>
          <w:p>
            <w:pPr>
              <w:spacing w:after="0"/>
              <w:rPr>
                <w:sz w:val="8"/>
                <w:szCs w:val="8"/>
                <w:color w:val="auto"/>
              </w:rPr>
            </w:pPr>
          </w:p>
        </w:tc>
        <w:tc>
          <w:tcPr>
            <w:tcW w:w="1060" w:type="dxa"/>
            <w:vAlign w:val="bottom"/>
            <w:shd w:val="clear" w:color="auto" w:fill="ACACAC"/>
          </w:tcPr>
          <w:p>
            <w:pPr>
              <w:spacing w:after="0"/>
              <w:rPr>
                <w:sz w:val="8"/>
                <w:szCs w:val="8"/>
                <w:color w:val="auto"/>
              </w:rPr>
            </w:pPr>
          </w:p>
        </w:tc>
        <w:tc>
          <w:tcPr>
            <w:tcW w:w="300" w:type="dxa"/>
            <w:vAlign w:val="bottom"/>
            <w:shd w:val="clear" w:color="auto" w:fill="ACACAC"/>
          </w:tcPr>
          <w:p>
            <w:pPr>
              <w:spacing w:after="0"/>
              <w:rPr>
                <w:sz w:val="8"/>
                <w:szCs w:val="8"/>
                <w:color w:val="auto"/>
              </w:rPr>
            </w:pPr>
          </w:p>
        </w:tc>
        <w:tc>
          <w:tcPr>
            <w:tcW w:w="86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John M. Hamm</w:t>
            </w:r>
          </w:p>
        </w:tc>
        <w:tc>
          <w:tcPr>
            <w:tcW w:w="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3,940</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378</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282,318</w:t>
            </w:r>
          </w:p>
        </w:tc>
        <w:tc>
          <w:tcPr>
            <w:tcW w:w="0" w:type="dxa"/>
            <w:vAlign w:val="bottom"/>
          </w:tcPr>
          <w:p>
            <w:pPr>
              <w:spacing w:after="0"/>
              <w:rPr>
                <w:sz w:val="1"/>
                <w:szCs w:val="1"/>
                <w:color w:val="auto"/>
              </w:rPr>
            </w:pPr>
          </w:p>
        </w:tc>
      </w:tr>
      <w:tr>
        <w:trPr>
          <w:trHeight w:val="208"/>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Vice President and Chief</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207,000</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51,800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5,180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378</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308,358</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Financial Officer</w:t>
            </w:r>
          </w:p>
        </w:tc>
        <w:tc>
          <w:tcPr>
            <w:tcW w:w="10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177,500</w:t>
            </w:r>
          </w:p>
        </w:tc>
        <w:tc>
          <w:tcPr>
            <w:tcW w:w="26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32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9,660</w:t>
            </w:r>
          </w:p>
        </w:tc>
        <w:tc>
          <w:tcPr>
            <w:tcW w:w="26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2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378</w:t>
            </w:r>
          </w:p>
        </w:tc>
        <w:tc>
          <w:tcPr>
            <w:tcW w:w="30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227,538</w:t>
            </w:r>
          </w:p>
        </w:tc>
        <w:tc>
          <w:tcPr>
            <w:tcW w:w="0" w:type="dxa"/>
            <w:vAlign w:val="bottom"/>
          </w:tcPr>
          <w:p>
            <w:pPr>
              <w:spacing w:after="0"/>
              <w:rPr>
                <w:sz w:val="1"/>
                <w:szCs w:val="1"/>
                <w:color w:val="auto"/>
              </w:rPr>
            </w:pPr>
          </w:p>
        </w:tc>
      </w:tr>
      <w:tr>
        <w:trPr>
          <w:trHeight w:val="97"/>
        </w:trPr>
        <w:tc>
          <w:tcPr>
            <w:tcW w:w="2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160" w:type="dxa"/>
            <w:vAlign w:val="bottom"/>
            <w:shd w:val="clear" w:color="auto" w:fill="ACACAC"/>
          </w:tcPr>
          <w:p>
            <w:pPr>
              <w:spacing w:after="0"/>
              <w:rPr>
                <w:sz w:val="8"/>
                <w:szCs w:val="8"/>
                <w:color w:val="auto"/>
              </w:rPr>
            </w:pPr>
          </w:p>
        </w:tc>
        <w:tc>
          <w:tcPr>
            <w:tcW w:w="100" w:type="dxa"/>
            <w:vAlign w:val="bottom"/>
            <w:shd w:val="clear" w:color="auto" w:fill="ACACAC"/>
          </w:tcPr>
          <w:p>
            <w:pPr>
              <w:spacing w:after="0"/>
              <w:rPr>
                <w:sz w:val="8"/>
                <w:szCs w:val="8"/>
                <w:color w:val="auto"/>
              </w:rPr>
            </w:pPr>
          </w:p>
        </w:tc>
        <w:tc>
          <w:tcPr>
            <w:tcW w:w="600" w:type="dxa"/>
            <w:vAlign w:val="bottom"/>
            <w:shd w:val="clear" w:color="auto" w:fill="ACACAC"/>
          </w:tcPr>
          <w:p>
            <w:pPr>
              <w:spacing w:after="0"/>
              <w:rPr>
                <w:sz w:val="8"/>
                <w:szCs w:val="8"/>
                <w:color w:val="auto"/>
              </w:rPr>
            </w:pPr>
          </w:p>
        </w:tc>
        <w:tc>
          <w:tcPr>
            <w:tcW w:w="300" w:type="dxa"/>
            <w:vAlign w:val="bottom"/>
            <w:shd w:val="clear" w:color="auto" w:fill="ACACAC"/>
          </w:tcPr>
          <w:p>
            <w:pPr>
              <w:spacing w:after="0"/>
              <w:rPr>
                <w:sz w:val="8"/>
                <w:szCs w:val="8"/>
                <w:color w:val="auto"/>
              </w:rPr>
            </w:pPr>
          </w:p>
        </w:tc>
        <w:tc>
          <w:tcPr>
            <w:tcW w:w="78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780" w:type="dxa"/>
            <w:vAlign w:val="bottom"/>
            <w:shd w:val="clear" w:color="auto" w:fill="ACACAC"/>
          </w:tcPr>
          <w:p>
            <w:pPr>
              <w:spacing w:after="0"/>
              <w:rPr>
                <w:sz w:val="8"/>
                <w:szCs w:val="8"/>
                <w:color w:val="auto"/>
              </w:rPr>
            </w:pPr>
          </w:p>
        </w:tc>
        <w:tc>
          <w:tcPr>
            <w:tcW w:w="320" w:type="dxa"/>
            <w:vAlign w:val="bottom"/>
            <w:shd w:val="clear" w:color="auto" w:fill="ACACAC"/>
          </w:tcPr>
          <w:p>
            <w:pPr>
              <w:spacing w:after="0"/>
              <w:rPr>
                <w:sz w:val="8"/>
                <w:szCs w:val="8"/>
                <w:color w:val="auto"/>
              </w:rPr>
            </w:pPr>
          </w:p>
        </w:tc>
        <w:tc>
          <w:tcPr>
            <w:tcW w:w="740" w:type="dxa"/>
            <w:vAlign w:val="bottom"/>
            <w:shd w:val="clear" w:color="auto" w:fill="ACACAC"/>
          </w:tcPr>
          <w:p>
            <w:pPr>
              <w:spacing w:after="0"/>
              <w:rPr>
                <w:sz w:val="8"/>
                <w:szCs w:val="8"/>
                <w:color w:val="auto"/>
              </w:rPr>
            </w:pPr>
          </w:p>
        </w:tc>
        <w:tc>
          <w:tcPr>
            <w:tcW w:w="220" w:type="dxa"/>
            <w:vAlign w:val="bottom"/>
            <w:shd w:val="clear" w:color="auto" w:fill="ACACAC"/>
          </w:tcPr>
          <w:p>
            <w:pPr>
              <w:spacing w:after="0"/>
              <w:rPr>
                <w:sz w:val="8"/>
                <w:szCs w:val="8"/>
                <w:color w:val="auto"/>
              </w:rPr>
            </w:pPr>
          </w:p>
        </w:tc>
        <w:tc>
          <w:tcPr>
            <w:tcW w:w="74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1280" w:type="dxa"/>
            <w:vAlign w:val="bottom"/>
            <w:shd w:val="clear" w:color="auto" w:fill="ACACAC"/>
          </w:tcPr>
          <w:p>
            <w:pPr>
              <w:spacing w:after="0"/>
              <w:rPr>
                <w:sz w:val="8"/>
                <w:szCs w:val="8"/>
                <w:color w:val="auto"/>
              </w:rPr>
            </w:pPr>
          </w:p>
        </w:tc>
        <w:tc>
          <w:tcPr>
            <w:tcW w:w="280" w:type="dxa"/>
            <w:vAlign w:val="bottom"/>
            <w:shd w:val="clear" w:color="auto" w:fill="ACACAC"/>
          </w:tcPr>
          <w:p>
            <w:pPr>
              <w:spacing w:after="0"/>
              <w:rPr>
                <w:sz w:val="8"/>
                <w:szCs w:val="8"/>
                <w:color w:val="auto"/>
              </w:rPr>
            </w:pPr>
          </w:p>
        </w:tc>
        <w:tc>
          <w:tcPr>
            <w:tcW w:w="1060" w:type="dxa"/>
            <w:vAlign w:val="bottom"/>
            <w:shd w:val="clear" w:color="auto" w:fill="ACACAC"/>
          </w:tcPr>
          <w:p>
            <w:pPr>
              <w:spacing w:after="0"/>
              <w:rPr>
                <w:sz w:val="8"/>
                <w:szCs w:val="8"/>
                <w:color w:val="auto"/>
              </w:rPr>
            </w:pPr>
          </w:p>
        </w:tc>
        <w:tc>
          <w:tcPr>
            <w:tcW w:w="300" w:type="dxa"/>
            <w:vAlign w:val="bottom"/>
            <w:shd w:val="clear" w:color="auto" w:fill="ACACAC"/>
          </w:tcPr>
          <w:p>
            <w:pPr>
              <w:spacing w:after="0"/>
              <w:rPr>
                <w:sz w:val="8"/>
                <w:szCs w:val="8"/>
                <w:color w:val="auto"/>
              </w:rPr>
            </w:pPr>
          </w:p>
        </w:tc>
        <w:tc>
          <w:tcPr>
            <w:tcW w:w="86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700" w:right="120" w:hanging="483"/>
        <w:spacing w:after="0" w:line="232" w:lineRule="auto"/>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restricted stock awards granted March 17, 2021, equaled $3.54 for CEO, and granted March 16, 2022, equaled $2.85 for CEO and $2.59 for NEO, the closing price of our common stock on the grant date. The CEOs fair value is equaled to the closing price of our common stock at the date of grant plus 10% for being an over 5% shareholder.</w:t>
      </w:r>
    </w:p>
    <w:p>
      <w:pPr>
        <w:spacing w:after="0" w:line="100" w:lineRule="exact"/>
        <w:rPr>
          <w:rFonts w:ascii="Times New Roman" w:cs="Times New Roman" w:eastAsia="Times New Roman" w:hAnsi="Times New Roman"/>
          <w:sz w:val="16"/>
          <w:szCs w:val="16"/>
          <w:color w:val="auto"/>
        </w:rPr>
      </w:pPr>
    </w:p>
    <w:p>
      <w:pPr>
        <w:ind w:left="700" w:right="140" w:hanging="483"/>
        <w:spacing w:after="0" w:line="245" w:lineRule="auto"/>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additions for the Named Executive Officers to the non-contributory, non-qualified defined contribution plan that provides for the payment of benefits from the general funds of the Company.</w:t>
      </w:r>
    </w:p>
    <w:p>
      <w:pPr>
        <w:spacing w:after="0" w:line="110" w:lineRule="exact"/>
        <w:rPr>
          <w:rFonts w:ascii="Times New Roman" w:cs="Times New Roman" w:eastAsia="Times New Roman" w:hAnsi="Times New Roman"/>
          <w:sz w:val="16"/>
          <w:szCs w:val="16"/>
          <w:color w:val="auto"/>
        </w:rPr>
      </w:pPr>
    </w:p>
    <w:p>
      <w:pPr>
        <w:ind w:left="700" w:hanging="483"/>
        <w:spacing w:after="0"/>
        <w:tabs>
          <w:tab w:leader="none" w:pos="7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premiums paid for by the Company with respect to life insurance for the benefit of the Named Executive Officers.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A.J. Kazimi, President and Chief Executive Officer (the “CEO”):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2023, our last completed fiscal year, the annual total compensation, including salary, bonus, equity awards, and any deferred compensation of:</w:t>
      </w:r>
    </w:p>
    <w:p>
      <w:pPr>
        <w:spacing w:after="0" w:line="158"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median employee identified at our company (other than our CEO) had total annual compensation of $119,995;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CEO, as reported in the Summary Compensation Table, for purposes of determining the CEO Pay Ratio had total annual compensation of $1,169,530.</w:t>
      </w:r>
    </w:p>
    <w:p>
      <w:pPr>
        <w:spacing w:after="0" w:line="1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Based on this information, for 2023, the ratio of the annual total compensation of Mr. Kazimi, our CEO, to the annual total compensation of our median employee was estimated to be 10:1.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40"/>
          </w:cols>
          <w:pgMar w:left="320" w:top="887" w:right="339" w:bottom="1440" w:gutter="0" w:footer="0" w:header="0"/>
        </w:sectPr>
      </w:pPr>
    </w:p>
    <w:bookmarkStart w:id="28" w:name="page29"/>
    <w:bookmarkEnd w:id="28"/>
    <w:p>
      <w:pPr>
        <w:jc w:val="both"/>
        <w:spacing w:after="0" w:line="230"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identify the median employee, and their annual total compensation, the Company examined its payroll records, for 2023, for all individuals other than the CEO that were employed at December 31, 2023. We determined that our employee population consisted of 89 individuals. Using that employee population, we collected and compared actual base salary, bonus, equity awards and any deferred compensation earned by all employees during 2023. Compensation for employees that began employment during the year was annualized based on rate of pay applied to a full 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our Executive Officers including their ages, positions with our company and principal occupations and employers for at least the last five years. For information concerning such executive officers’ ownership of our common stock, see “SECURITY OWNERSHIP OF CERTAIN BENEFICIAL OWNERS AND MANAGEMENT.”</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A.J. Kazimi, Chief Executive Officer. </w:t>
      </w:r>
      <w:r>
        <w:rPr>
          <w:rFonts w:ascii="Times New Roman" w:cs="Times New Roman" w:eastAsia="Times New Roman" w:hAnsi="Times New Roman"/>
          <w:sz w:val="18"/>
          <w:szCs w:val="18"/>
          <w:color w:val="auto"/>
        </w:rPr>
        <w:t>Mr. Kazimi, 65, is the Chairman of our Board of Directors and Chief Executive Officer who founded Cumberland.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career includes over 30 years in the biopharmaceutical industry. At Cumberland, he has overseen the development and FDA approval of key Company brands, while also leading the acquisition of the Company’s six other commercial products. He was responsible for Cumberland’s initial public offering and listing on the NASDAQ stock exchange. Mr, Kazimi also serves as Chairman and Chief Executive of Cumberland Emerging Technologies - a joint initiative with Vanderbilt University and the state of Tennessee - designed to support the development of early-stage life sciences programs and companies. Prior to joining Cumberland,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He is Chairman of the Board for the Gettysburg Foundation which partners with the National Park Service to preserve that historic military park. He is also a member of the Board of the Tennessee Historical Society, the Board of Visitors at the Vanderbilt University Business School and the Visiting Committee at the Loyola University New Orleans College of Business. He previously served on the Board of Directors for the Nashville Health Care Council, an association of the largest concentration of healthcare companies in the U.S. and the Board of Aegis Sciences Corporation, a federally certified forensic toxicology laboratory, which has sold twice to large private equity investors. Mr. Kazimi holds a B.S. from the University of Notre Dame and an M.B.A. from the Vanderbilt University Owen Graduate School of Management.</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James L. Herman, Senior Vice President and Chief Compliance Officer. </w:t>
      </w:r>
      <w:r>
        <w:rPr>
          <w:rFonts w:ascii="Times New Roman" w:cs="Times New Roman" w:eastAsia="Times New Roman" w:hAnsi="Times New Roman"/>
          <w:sz w:val="18"/>
          <w:szCs w:val="18"/>
          <w:color w:val="auto"/>
        </w:rPr>
        <w:t>Mr. Herman, 68, handles all national accounts sales, including wholesalers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chain buying offices, managed care home offices and federal government accounts. He is also charged with overseeing our corporate compliance efforts. He has been with us since 2003 and has over 30 years of pharmaceutical industry experience. From 1998 to 2003, he was with Solvay Pharmaceuticals, a pharmaceutical manufacturer, and served as Director of Managed Care and Director of Trade Affairs and Customer Service. From 1990 to 1998, Mr. Herman was with Schwarz Pharma, where he held national sales leadership positions in National Accounts and Managed Care. He holds a B.S. from Indiana University and an M.B.A. from Cardinal Stritch University.</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Todd M. Anthony, Vice President Organizational Development. </w:t>
      </w:r>
      <w:r>
        <w:rPr>
          <w:rFonts w:ascii="Times New Roman" w:cs="Times New Roman" w:eastAsia="Times New Roman" w:hAnsi="Times New Roman"/>
          <w:sz w:val="18"/>
          <w:szCs w:val="18"/>
          <w:color w:val="auto"/>
        </w:rPr>
        <w:t>Mr. Anthony, 62, is Vice President, Organizational Development. In this role, he oversees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human resources, sales training and office administration activities. Mr. Anthony has been with Cumberland since 2009. During his tenure, he has made many contributions to training and development initiatives as well as human resources activities. These include the preparation and implementation of sales training materials for each branded product. Under his leadership, the Cumberland Academy was established with a core curriculum and advanced courses designed to provide industry expertise and continued learning opportunities for the office employees. He has over 30 years of pharmaceutical training, development and human resource management experience. Prior to joining Cumberland, he held various positions of increasing responsibilities at Berlex Laboratories Inc. in 1991 and spent 19 years at that company which is now Bayer HealthCare Pharmaceuticals following the 2006 acquisition of Schering AG. Mr. Anthony holds a BS in Nursing from D’Youville College in Buffalo, 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240"/>
          </w:cols>
          <w:pgMar w:left="320" w:top="877" w:right="3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 T. Bitterman, Vice President of Sales and Marketing. </w:t>
      </w:r>
      <w:r>
        <w:rPr>
          <w:rFonts w:ascii="Times New Roman" w:cs="Times New Roman" w:eastAsia="Times New Roman" w:hAnsi="Times New Roman"/>
          <w:sz w:val="18"/>
          <w:szCs w:val="18"/>
          <w:color w:val="auto"/>
        </w:rPr>
        <w:t>Mr. Bitterman, 58, joined Cumberland in 2018 with a distinguished career in Acute Care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 sales management spanning over 25 years. Highlights include his roles as National Sales Director for Lupin Pharmaceuticals, Daiichi Sankyo and Regional Sales Director for Sanofi Aventis, all of which are pharmaceutical manufacturing companies. At Cumberland, Mr. Bitterman first served as the Hospital Sales Director, leading the Hospital Sales division. In 2022, Mr. Bitterman’s role expanded to include the Oncology Business, and he was promoted to Senior Director of Hospital and Oncology Sales. Currently, Mr. Bitterman is the Vice President of Sales &amp; Marketing, where he is responsible for the leading the sales and marketing efforts for Cumberland’s commercial portfolio and delivering annual financial objectives. As Cumberland’s Hospital Sales Director, he is responsible for leading our veteran Hospital Sales division, the development &amp; execution of team business priorities, and delivering the financial objectives for our Hospital products. A native of Detroit, Michigan, Mr. Bitterman earned his bachelor’s and master’s degree in Business from Central Michigan University.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John M. Hamm, Vice President and Chief Financial Officer. </w:t>
      </w:r>
      <w:r>
        <w:rPr>
          <w:rFonts w:ascii="Times New Roman" w:cs="Times New Roman" w:eastAsia="Times New Roman" w:hAnsi="Times New Roman"/>
          <w:sz w:val="18"/>
          <w:szCs w:val="18"/>
          <w:color w:val="auto"/>
        </w:rPr>
        <w:t>Mr. Hamm, 68, has over 25 years of finance and accounting experience, with a majority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care industry. Before joining Cumberland in 2019, Mr. Hamm was CFO, Partner consultant with Tatum LLC, a finance and accounting consultant firm. He previously held the positions of Chief Operating Officer and Chief Financial Officer, Pharmacy at HealthSpring, Inc., a managed care organization currently operating as Cigna-HealthSpring. Prior to that he was Vice President Finance at Emdeon Business Services. Emdeon Inc., a healthcare technology firm that now operates as Change Healthcare Inc., a NASDAQ listed company with over $3 billion in annual revenue. Mr. Hamm has a BS in Business Administration with a minor in Accounting from Wheeling University. He earned his Master’s in Business Administration with an emphasis in Accounting from West Virginia University. He is a Certified Management Accountant (CMA) and Certified Financial Manager (CFM).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40"/>
          </w:cols>
          <w:pgMar w:left="320" w:top="929"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grants of plan-based awards we granted to our Named Executive Officers during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 Stock</w:t>
            </w:r>
          </w:p>
        </w:tc>
        <w:tc>
          <w:tcPr>
            <w:tcW w:w="28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or Base</w:t>
            </w:r>
          </w:p>
        </w:tc>
        <w:tc>
          <w:tcPr>
            <w:tcW w:w="18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Awards:</w:t>
            </w: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 Stock Awards: Numbers of</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Price of Option</w:t>
            </w:r>
          </w:p>
        </w:tc>
        <w:tc>
          <w:tcPr>
            <w:tcW w:w="1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20" w:type="dxa"/>
            <w:vAlign w:val="bottom"/>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Numbers of</w:t>
            </w:r>
          </w:p>
        </w:tc>
        <w:tc>
          <w:tcPr>
            <w:tcW w:w="2840" w:type="dxa"/>
            <w:vAlign w:val="bottom"/>
            <w:vMerge w:val="continue"/>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260" w:type="dxa"/>
            <w:vAlign w:val="bottom"/>
          </w:tcPr>
          <w:p>
            <w:pPr>
              <w:spacing w:after="0"/>
              <w:rPr>
                <w:sz w:val="14"/>
                <w:szCs w:val="14"/>
                <w:color w:val="auto"/>
              </w:rPr>
            </w:pPr>
          </w:p>
        </w:tc>
        <w:tc>
          <w:tcPr>
            <w:tcW w:w="160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of Stock and Option</w:t>
            </w:r>
          </w:p>
        </w:tc>
        <w:tc>
          <w:tcPr>
            <w:tcW w:w="0" w:type="dxa"/>
            <w:vAlign w:val="bottom"/>
          </w:tcPr>
          <w:p>
            <w:pPr>
              <w:spacing w:after="0"/>
              <w:rPr>
                <w:sz w:val="1"/>
                <w:szCs w:val="1"/>
                <w:color w:val="auto"/>
              </w:rPr>
            </w:pPr>
          </w:p>
        </w:tc>
      </w:tr>
      <w:tr>
        <w:trPr>
          <w:trHeight w:val="214"/>
        </w:trPr>
        <w:tc>
          <w:tcPr>
            <w:tcW w:w="204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 Stock</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 Stock Options</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J. Kazimi</w:t>
            </w:r>
          </w:p>
        </w:tc>
        <w:tc>
          <w:tcPr>
            <w:tcW w:w="16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03/24/2023</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James L. Herman</w:t>
            </w:r>
          </w:p>
        </w:tc>
        <w:tc>
          <w:tcPr>
            <w:tcW w:w="16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03/24/2023</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Todd M. Anthony</w:t>
            </w:r>
          </w:p>
        </w:tc>
        <w:tc>
          <w:tcPr>
            <w:tcW w:w="16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03/24/2023</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23"/>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Chris T. Bitterman</w:t>
            </w:r>
          </w:p>
        </w:tc>
        <w:tc>
          <w:tcPr>
            <w:tcW w:w="1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03/24/2023</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03/24/2023</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2,750</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John M. Hamm</w:t>
            </w:r>
          </w:p>
        </w:tc>
        <w:tc>
          <w:tcPr>
            <w:tcW w:w="16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03/24/2023</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compensation policies and practices, pursuant to which the compensation set forth in the Summary Compensation Table and the Grants of Plan-Based Awards Table was paid or awarded, are described above under “COMPENSATION DISCUSSION AND ANALYSIS.” A summary of certain material terms of our compensation plans and arrangements is set forth above under “COMPENSATION DISCUSSION AND ANALYSIS — Base Salary and Annual Bonuses” and “COMPENSATION DISCUSSION AND ANALYSIS — Long-Term Equity Incentive Compensation.”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40"/>
          </w:cols>
          <w:pgMar w:left="320" w:top="8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unvested stock and unexercised option awards held by our Named Executive Officers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tcBorders>
              <w:bottom w:val="single" w:sz="8" w:color="auto"/>
            </w:tcBorders>
            <w:gridSpan w:val="4"/>
          </w:tcPr>
          <w:p>
            <w:pPr>
              <w:ind w:left="19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Option Exercise</w:t>
            </w: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Option Expiration</w:t>
            </w:r>
          </w:p>
        </w:tc>
        <w:tc>
          <w:tcPr>
            <w:tcW w:w="170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 or</w:t>
            </w:r>
          </w:p>
        </w:tc>
        <w:tc>
          <w:tcPr>
            <w:tcW w:w="2100" w:type="dxa"/>
            <w:vAlign w:val="bottom"/>
            <w:gridSpan w:val="2"/>
          </w:tcPr>
          <w:p>
            <w:pPr>
              <w:jc w:val="right"/>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Market Value of Shares or</w:t>
            </w:r>
          </w:p>
        </w:tc>
        <w:tc>
          <w:tcPr>
            <w:tcW w:w="0" w:type="dxa"/>
            <w:vAlign w:val="bottom"/>
          </w:tcPr>
          <w:p>
            <w:pPr>
              <w:spacing w:after="0"/>
              <w:rPr>
                <w:sz w:val="1"/>
                <w:szCs w:val="1"/>
                <w:color w:val="auto"/>
              </w:rPr>
            </w:pPr>
          </w:p>
        </w:tc>
      </w:tr>
      <w:tr>
        <w:trPr>
          <w:trHeight w:val="162"/>
        </w:trPr>
        <w:tc>
          <w:tcPr>
            <w:tcW w:w="22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Underlying Unexercised</w:t>
            </w:r>
          </w:p>
        </w:tc>
        <w:tc>
          <w:tcPr>
            <w:tcW w:w="146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 That</w:t>
            </w:r>
          </w:p>
        </w:tc>
        <w:tc>
          <w:tcPr>
            <w:tcW w:w="21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 That Have Not</w:t>
            </w:r>
          </w:p>
        </w:tc>
        <w:tc>
          <w:tcPr>
            <w:tcW w:w="0" w:type="dxa"/>
            <w:vAlign w:val="bottom"/>
          </w:tcPr>
          <w:p>
            <w:pPr>
              <w:spacing w:after="0"/>
              <w:rPr>
                <w:sz w:val="1"/>
                <w:szCs w:val="1"/>
                <w:color w:val="auto"/>
              </w:rPr>
            </w:pPr>
          </w:p>
        </w:tc>
      </w:tr>
      <w:tr>
        <w:trPr>
          <w:trHeight w:val="214"/>
        </w:trPr>
        <w:tc>
          <w:tcPr>
            <w:tcW w:w="2280" w:type="dxa"/>
            <w:vAlign w:val="bottom"/>
            <w:gridSpan w:val="2"/>
            <w:vMerge w:val="continue"/>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Options (#) Exercisable</w:t>
            </w: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46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Have Not Vested (#)</w:t>
            </w:r>
          </w:p>
        </w:tc>
        <w:tc>
          <w:tcPr>
            <w:tcW w:w="134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w w:val="97"/>
              </w:rPr>
              <w:t>Vested ($</w:t>
            </w:r>
          </w:p>
        </w:tc>
        <w:tc>
          <w:tcPr>
            <w:tcW w:w="760" w:type="dxa"/>
            <w:vAlign w:val="bottom"/>
          </w:tcPr>
          <w:p>
            <w:pPr>
              <w:jc w:val="right"/>
              <w:ind w:right="63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44"/>
        </w:trPr>
        <w:tc>
          <w:tcPr>
            <w:tcW w:w="2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 J. Kazimi </w:t>
            </w:r>
            <w:r>
              <w:rPr>
                <w:rFonts w:ascii="Times New Roman" w:cs="Times New Roman" w:eastAsia="Times New Roman" w:hAnsi="Times New Roman"/>
                <w:sz w:val="23"/>
                <w:szCs w:val="23"/>
                <w:color w:val="auto"/>
                <w:vertAlign w:val="superscript"/>
              </w:rPr>
              <w:t>(1)</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3/17/2026</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311,520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3/16/2027</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3/24/2028</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148"/>
        </w:trPr>
        <w:tc>
          <w:tcPr>
            <w:tcW w:w="2120" w:type="dxa"/>
            <w:vAlign w:val="bottom"/>
            <w:shd w:val="clear" w:color="auto" w:fill="B6B6B6"/>
          </w:tcPr>
          <w:p>
            <w:pPr>
              <w:spacing w:after="0"/>
              <w:rPr>
                <w:sz w:val="12"/>
                <w:szCs w:val="12"/>
                <w:color w:val="auto"/>
              </w:rPr>
            </w:pPr>
          </w:p>
        </w:tc>
        <w:tc>
          <w:tcPr>
            <w:tcW w:w="160" w:type="dxa"/>
            <w:vAlign w:val="bottom"/>
            <w:shd w:val="clear" w:color="auto" w:fill="B6B6B6"/>
          </w:tcPr>
          <w:p>
            <w:pPr>
              <w:spacing w:after="0"/>
              <w:rPr>
                <w:sz w:val="12"/>
                <w:szCs w:val="12"/>
                <w:color w:val="auto"/>
              </w:rPr>
            </w:pPr>
          </w:p>
        </w:tc>
        <w:tc>
          <w:tcPr>
            <w:tcW w:w="208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2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2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56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40" w:type="dxa"/>
            <w:vAlign w:val="bottom"/>
            <w:shd w:val="clear" w:color="auto" w:fill="B6B6B6"/>
          </w:tcPr>
          <w:p>
            <w:pPr>
              <w:spacing w:after="0"/>
              <w:rPr>
                <w:sz w:val="12"/>
                <w:szCs w:val="12"/>
                <w:color w:val="auto"/>
              </w:rPr>
            </w:pPr>
          </w:p>
        </w:tc>
        <w:tc>
          <w:tcPr>
            <w:tcW w:w="760" w:type="dxa"/>
            <w:vAlign w:val="bottom"/>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L. Herman</w:t>
            </w:r>
            <w:r>
              <w:rPr>
                <w:rFonts w:ascii="Times New Roman" w:cs="Times New Roman" w:eastAsia="Times New Roman" w:hAnsi="Times New Roman"/>
                <w:sz w:val="23"/>
                <w:szCs w:val="23"/>
                <w:color w:val="auto"/>
                <w:vertAlign w:val="superscript"/>
              </w:rPr>
              <w:t>(2)</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3/17/2031</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3/24/2033</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148"/>
        </w:trPr>
        <w:tc>
          <w:tcPr>
            <w:tcW w:w="2120" w:type="dxa"/>
            <w:vAlign w:val="bottom"/>
            <w:shd w:val="clear" w:color="auto" w:fill="B6B6B6"/>
          </w:tcPr>
          <w:p>
            <w:pPr>
              <w:spacing w:after="0"/>
              <w:rPr>
                <w:sz w:val="12"/>
                <w:szCs w:val="12"/>
                <w:color w:val="auto"/>
              </w:rPr>
            </w:pPr>
          </w:p>
        </w:tc>
        <w:tc>
          <w:tcPr>
            <w:tcW w:w="160" w:type="dxa"/>
            <w:vAlign w:val="bottom"/>
            <w:shd w:val="clear" w:color="auto" w:fill="B6B6B6"/>
          </w:tcPr>
          <w:p>
            <w:pPr>
              <w:spacing w:after="0"/>
              <w:rPr>
                <w:sz w:val="12"/>
                <w:szCs w:val="12"/>
                <w:color w:val="auto"/>
              </w:rPr>
            </w:pPr>
          </w:p>
        </w:tc>
        <w:tc>
          <w:tcPr>
            <w:tcW w:w="208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2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2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56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40" w:type="dxa"/>
            <w:vAlign w:val="bottom"/>
            <w:shd w:val="clear" w:color="auto" w:fill="B6B6B6"/>
          </w:tcPr>
          <w:p>
            <w:pPr>
              <w:spacing w:after="0"/>
              <w:rPr>
                <w:sz w:val="12"/>
                <w:szCs w:val="12"/>
                <w:color w:val="auto"/>
              </w:rPr>
            </w:pPr>
          </w:p>
        </w:tc>
        <w:tc>
          <w:tcPr>
            <w:tcW w:w="760" w:type="dxa"/>
            <w:vAlign w:val="bottom"/>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Todd M. Anthony</w:t>
            </w:r>
            <w:r>
              <w:rPr>
                <w:rFonts w:ascii="Times New Roman" w:cs="Times New Roman" w:eastAsia="Times New Roman" w:hAnsi="Times New Roman"/>
                <w:sz w:val="23"/>
                <w:szCs w:val="23"/>
                <w:color w:val="auto"/>
                <w:vertAlign w:val="superscript"/>
              </w:rPr>
              <w:t>(3)</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3/17/2031</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3/24/2033</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149"/>
        </w:trPr>
        <w:tc>
          <w:tcPr>
            <w:tcW w:w="2120" w:type="dxa"/>
            <w:vAlign w:val="bottom"/>
            <w:shd w:val="clear" w:color="auto" w:fill="B6B6B6"/>
          </w:tcPr>
          <w:p>
            <w:pPr>
              <w:spacing w:after="0"/>
              <w:rPr>
                <w:sz w:val="12"/>
                <w:szCs w:val="12"/>
                <w:color w:val="auto"/>
              </w:rPr>
            </w:pPr>
          </w:p>
        </w:tc>
        <w:tc>
          <w:tcPr>
            <w:tcW w:w="160" w:type="dxa"/>
            <w:vAlign w:val="bottom"/>
            <w:shd w:val="clear" w:color="auto" w:fill="B6B6B6"/>
          </w:tcPr>
          <w:p>
            <w:pPr>
              <w:spacing w:after="0"/>
              <w:rPr>
                <w:sz w:val="12"/>
                <w:szCs w:val="12"/>
                <w:color w:val="auto"/>
              </w:rPr>
            </w:pPr>
          </w:p>
        </w:tc>
        <w:tc>
          <w:tcPr>
            <w:tcW w:w="208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2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2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56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40" w:type="dxa"/>
            <w:vAlign w:val="bottom"/>
            <w:shd w:val="clear" w:color="auto" w:fill="B6B6B6"/>
          </w:tcPr>
          <w:p>
            <w:pPr>
              <w:spacing w:after="0"/>
              <w:rPr>
                <w:sz w:val="12"/>
                <w:szCs w:val="12"/>
                <w:color w:val="auto"/>
              </w:rPr>
            </w:pPr>
          </w:p>
        </w:tc>
        <w:tc>
          <w:tcPr>
            <w:tcW w:w="760" w:type="dxa"/>
            <w:vAlign w:val="bottom"/>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 T. Bitterman</w:t>
            </w:r>
            <w:r>
              <w:rPr>
                <w:rFonts w:ascii="Times New Roman" w:cs="Times New Roman" w:eastAsia="Times New Roman" w:hAnsi="Times New Roman"/>
                <w:sz w:val="23"/>
                <w:szCs w:val="23"/>
                <w:color w:val="auto"/>
                <w:vertAlign w:val="superscript"/>
              </w:rPr>
              <w:t>(4)</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3/17/2031</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3/24/2033</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0" w:type="dxa"/>
            <w:vAlign w:val="bottom"/>
          </w:tcPr>
          <w:p>
            <w:pPr>
              <w:spacing w:after="0"/>
              <w:rPr>
                <w:sz w:val="1"/>
                <w:szCs w:val="1"/>
                <w:color w:val="auto"/>
              </w:rPr>
            </w:pPr>
          </w:p>
        </w:tc>
      </w:tr>
      <w:tr>
        <w:trPr>
          <w:trHeight w:val="149"/>
        </w:trPr>
        <w:tc>
          <w:tcPr>
            <w:tcW w:w="2120" w:type="dxa"/>
            <w:vAlign w:val="bottom"/>
            <w:shd w:val="clear" w:color="auto" w:fill="B6B6B6"/>
          </w:tcPr>
          <w:p>
            <w:pPr>
              <w:spacing w:after="0"/>
              <w:rPr>
                <w:sz w:val="12"/>
                <w:szCs w:val="12"/>
                <w:color w:val="auto"/>
              </w:rPr>
            </w:pPr>
          </w:p>
        </w:tc>
        <w:tc>
          <w:tcPr>
            <w:tcW w:w="160" w:type="dxa"/>
            <w:vAlign w:val="bottom"/>
            <w:shd w:val="clear" w:color="auto" w:fill="B6B6B6"/>
          </w:tcPr>
          <w:p>
            <w:pPr>
              <w:spacing w:after="0"/>
              <w:rPr>
                <w:sz w:val="12"/>
                <w:szCs w:val="12"/>
                <w:color w:val="auto"/>
              </w:rPr>
            </w:pPr>
          </w:p>
        </w:tc>
        <w:tc>
          <w:tcPr>
            <w:tcW w:w="208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2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2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560" w:type="dxa"/>
            <w:vAlign w:val="bottom"/>
            <w:shd w:val="clear" w:color="auto" w:fill="B6B6B6"/>
          </w:tcPr>
          <w:p>
            <w:pPr>
              <w:spacing w:after="0"/>
              <w:rPr>
                <w:sz w:val="12"/>
                <w:szCs w:val="12"/>
                <w:color w:val="auto"/>
              </w:rPr>
            </w:pPr>
          </w:p>
        </w:tc>
        <w:tc>
          <w:tcPr>
            <w:tcW w:w="140" w:type="dxa"/>
            <w:vAlign w:val="bottom"/>
            <w:shd w:val="clear" w:color="auto" w:fill="B6B6B6"/>
          </w:tcPr>
          <w:p>
            <w:pPr>
              <w:spacing w:after="0"/>
              <w:rPr>
                <w:sz w:val="12"/>
                <w:szCs w:val="12"/>
                <w:color w:val="auto"/>
              </w:rPr>
            </w:pPr>
          </w:p>
        </w:tc>
        <w:tc>
          <w:tcPr>
            <w:tcW w:w="1340" w:type="dxa"/>
            <w:vAlign w:val="bottom"/>
            <w:shd w:val="clear" w:color="auto" w:fill="B6B6B6"/>
          </w:tcPr>
          <w:p>
            <w:pPr>
              <w:spacing w:after="0"/>
              <w:rPr>
                <w:sz w:val="12"/>
                <w:szCs w:val="12"/>
                <w:color w:val="auto"/>
              </w:rPr>
            </w:pPr>
          </w:p>
        </w:tc>
        <w:tc>
          <w:tcPr>
            <w:tcW w:w="760" w:type="dxa"/>
            <w:vAlign w:val="bottom"/>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John M. Hamm </w:t>
            </w:r>
            <w:r>
              <w:rPr>
                <w:rFonts w:ascii="Times New Roman" w:cs="Times New Roman" w:eastAsia="Times New Roman" w:hAnsi="Times New Roman"/>
                <w:sz w:val="23"/>
                <w:szCs w:val="23"/>
                <w:color w:val="auto"/>
                <w:vertAlign w:val="superscript"/>
              </w:rPr>
              <w:t>(5)</w:t>
            </w: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3/17/2031</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3/24/2033</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1360" w:hanging="380"/>
        <w:spacing w:after="0"/>
        <w:tabs>
          <w:tab w:leader="none" w:pos="1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 Kazimi:</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restricted stock granted on March 23, 2020; 100% vested on March 23, 2024.</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 shares of restricted stock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shares of restricted stock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 shares of ISOs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ISOs granted on March 24, 2023; 100% vested on March 24,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240"/>
          </w:cols>
          <w:pgMar w:left="320" w:top="887" w:right="339" w:bottom="1440" w:gutter="0" w:footer="0" w:header="0"/>
        </w:sectPr>
      </w:pPr>
    </w:p>
    <w:bookmarkStart w:id="32" w:name="page33"/>
    <w:bookmarkEnd w:id="32"/>
    <w:p>
      <w:pPr>
        <w:ind w:left="1360" w:hanging="380"/>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 Herman:</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shares of restricted stock granted on March 23, 2020: 100% vested on March 23, 2024.</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24, 2023: 100% vested on March 24, 2027.</w:t>
      </w:r>
    </w:p>
    <w:p>
      <w:pPr>
        <w:spacing w:after="0" w:line="98"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M. Anthony:</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 shares of restricted stock granted on March 23, 2020: 100% vested on March 23, 2024.</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24, 2023: 100% vested on March 24, 2027.</w:t>
      </w:r>
    </w:p>
    <w:p>
      <w:pPr>
        <w:spacing w:after="0" w:line="98"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T. Bitterman:</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shares of restricted stock granted on March 23, 2020: 100% vested on March 23, 2024.</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shares of ISOs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shares of ISOs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 shares of ISOs granted on March 24, 2023; 100% vested on March 16, 2027.</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 shares of ISOs granted on March 24, 2023; 100% vested on March 24, 2027.</w:t>
      </w:r>
    </w:p>
    <w:p>
      <w:pPr>
        <w:spacing w:after="0" w:line="98"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M. Hamm:</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shares of restricted stock granted on March 23, 2020; 100% vested on March 23, 2024.</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shares of restricted stock granted on March 16, 2022; 100% vested on March 16.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shares of ISOs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shares of ISOs granted on March 24, 2023: 100% vested on March 16, 2027.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exercise of stock option awards and vesting of stock awards held by our Named Executive Officers during the fiscal year ended December 31, 2023:</w:t>
      </w:r>
    </w:p>
    <w:p>
      <w:pPr>
        <w:spacing w:after="0" w:line="83"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316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60" w:type="dxa"/>
            <w:vAlign w:val="bottom"/>
          </w:tcPr>
          <w:p>
            <w:pPr>
              <w:spacing w:after="0"/>
              <w:rPr>
                <w:sz w:val="13"/>
                <w:szCs w:val="13"/>
                <w:color w:val="auto"/>
              </w:rPr>
            </w:pP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Value Realized on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Value Realized on</w:t>
            </w:r>
          </w:p>
        </w:tc>
        <w:tc>
          <w:tcPr>
            <w:tcW w:w="0" w:type="dxa"/>
            <w:vAlign w:val="bottom"/>
          </w:tcPr>
          <w:p>
            <w:pPr>
              <w:spacing w:after="0"/>
              <w:rPr>
                <w:sz w:val="1"/>
                <w:szCs w:val="1"/>
                <w:color w:val="auto"/>
              </w:rPr>
            </w:pPr>
          </w:p>
        </w:tc>
      </w:tr>
      <w:tr>
        <w:trPr>
          <w:trHeight w:val="162"/>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Acquired on Exercise</w:t>
            </w:r>
          </w:p>
        </w:tc>
        <w:tc>
          <w:tcPr>
            <w:tcW w:w="1500" w:type="dxa"/>
            <w:vAlign w:val="bottom"/>
            <w:vMerge w:val="continue"/>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Acquired on Vesting</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86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 ($)</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42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w w:val="96"/>
              </w:rPr>
              <w:t>Vesting ($)</w:t>
            </w:r>
          </w:p>
        </w:tc>
        <w:tc>
          <w:tcPr>
            <w:tcW w:w="0" w:type="dxa"/>
            <w:vAlign w:val="bottom"/>
          </w:tcPr>
          <w:p>
            <w:pPr>
              <w:spacing w:after="0"/>
              <w:rPr>
                <w:sz w:val="1"/>
                <w:szCs w:val="1"/>
                <w:color w:val="auto"/>
              </w:rPr>
            </w:pPr>
          </w:p>
        </w:tc>
      </w:tr>
      <w:tr>
        <w:trPr>
          <w:trHeight w:val="98"/>
        </w:trPr>
        <w:tc>
          <w:tcPr>
            <w:tcW w:w="386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A.J. Kazimi</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62,795</w:t>
            </w:r>
          </w:p>
        </w:tc>
        <w:tc>
          <w:tcPr>
            <w:tcW w:w="4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120,566</w:t>
            </w:r>
          </w:p>
        </w:tc>
        <w:tc>
          <w:tcPr>
            <w:tcW w:w="0" w:type="dxa"/>
            <w:vAlign w:val="bottom"/>
          </w:tcPr>
          <w:p>
            <w:pPr>
              <w:spacing w:after="0"/>
              <w:rPr>
                <w:sz w:val="1"/>
                <w:szCs w:val="1"/>
                <w:color w:val="auto"/>
              </w:rPr>
            </w:pPr>
          </w:p>
        </w:tc>
      </w:tr>
      <w:tr>
        <w:trPr>
          <w:trHeight w:val="230"/>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L. Herman</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1,720</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Todd M. Anthony</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1,934</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29"/>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Chris T. Bitterman</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1,292</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M. Hamm</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1,148</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240"/>
          </w:cols>
          <w:pgMar w:left="320" w:top="9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Table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reflects the contributions, earnings and account balances for the Named Executive Officers in the Non-Qualified Deferred Compensation plan. This plan is a non-contributory non-qualified defined contribution plan that provides for the payment of benefits from the general funds of the Company. Participation in this plan is limited to a selected group of management or highly compensated employees of the Company. Vesting in the Company contributions occurs at the earlier of 60 months of plan participation and reaching the age of 65 or 120 months of participation into the plan. The participants may direct which investment fund the investment amounts are placed within the plan. If no fund is selected by the participant, the Company contributions will be deemed to be invested in a money market account for the participant. The plan allows participants to defer a portion of their compensation. The activity was as follows during the fiscal year ended December 31,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5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180" w:type="dxa"/>
            <w:vAlign w:val="bottom"/>
          </w:tcPr>
          <w:p>
            <w:pPr>
              <w:spacing w:after="0"/>
              <w:rPr>
                <w:sz w:val="12"/>
                <w:szCs w:val="12"/>
                <w:color w:val="auto"/>
              </w:rPr>
            </w:pPr>
          </w:p>
        </w:tc>
        <w:tc>
          <w:tcPr>
            <w:tcW w:w="14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 /</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2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203"/>
        </w:trPr>
        <w:tc>
          <w:tcPr>
            <w:tcW w:w="3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42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Contributions </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4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/Forfeitures</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A.J. Kazimi</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213,115</w:t>
            </w:r>
          </w:p>
        </w:tc>
        <w:tc>
          <w:tcPr>
            <w:tcW w:w="0" w:type="dxa"/>
            <w:vAlign w:val="bottom"/>
          </w:tcPr>
          <w:p>
            <w:pPr>
              <w:spacing w:after="0"/>
              <w:rPr>
                <w:sz w:val="1"/>
                <w:szCs w:val="1"/>
                <w:color w:val="auto"/>
              </w:rPr>
            </w:pPr>
          </w:p>
        </w:tc>
      </w:tr>
      <w:tr>
        <w:trPr>
          <w:trHeight w:val="229"/>
        </w:trPr>
        <w:tc>
          <w:tcPr>
            <w:tcW w:w="3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James L. Herman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578,481</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Todd M. Anthony</w:t>
            </w: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164,108</w:t>
            </w:r>
          </w:p>
        </w:tc>
        <w:tc>
          <w:tcPr>
            <w:tcW w:w="0" w:type="dxa"/>
            <w:vAlign w:val="bottom"/>
          </w:tcPr>
          <w:p>
            <w:pPr>
              <w:spacing w:after="0"/>
              <w:rPr>
                <w:sz w:val="1"/>
                <w:szCs w:val="1"/>
                <w:color w:val="auto"/>
              </w:rPr>
            </w:pPr>
          </w:p>
        </w:tc>
      </w:tr>
      <w:tr>
        <w:trPr>
          <w:trHeight w:val="229"/>
        </w:trPr>
        <w:tc>
          <w:tcPr>
            <w:tcW w:w="3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Chris T. Bitterman</w:t>
            </w:r>
          </w:p>
        </w:tc>
        <w:tc>
          <w:tcPr>
            <w:tcW w:w="1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53,358</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John M. Hamm</w:t>
            </w: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600" w:right="3520" w:hanging="488"/>
        <w:spacing w:after="0" w:line="220" w:lineRule="auto"/>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registrant contributions are included as a component of the summary compensation table while the aggregate earnings are excluded from the summary compensation table. The registrant contributions, in previous years, were included in total compensation for the Named Executive Officers in the Summary Compensation table.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provides aggregate information as of December 31, 2023, with respect to shares of our common stock that may be issued under our existing equity compensation plans:</w:t>
      </w:r>
    </w:p>
    <w:p>
      <w:pPr>
        <w:spacing w:after="0" w:line="83"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 for Future</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Shares to Be Issued</w:t>
            </w:r>
          </w:p>
        </w:tc>
        <w:tc>
          <w:tcPr>
            <w:tcW w:w="2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Issuance Under Equity</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2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Plans (Excluding</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4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Upon Exercise of Outstanding</w:t>
            </w:r>
          </w:p>
        </w:tc>
        <w:tc>
          <w:tcPr>
            <w:tcW w:w="24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Reflected in Column</w:t>
            </w:r>
          </w:p>
        </w:tc>
        <w:tc>
          <w:tcPr>
            <w:tcW w:w="0" w:type="dxa"/>
            <w:vAlign w:val="bottom"/>
          </w:tcPr>
          <w:p>
            <w:pPr>
              <w:spacing w:after="0"/>
              <w:rPr>
                <w:sz w:val="1"/>
                <w:szCs w:val="1"/>
                <w:color w:val="auto"/>
              </w:rPr>
            </w:pPr>
          </w:p>
        </w:tc>
      </w:tr>
      <w:tr>
        <w:trPr>
          <w:trHeight w:val="214"/>
        </w:trPr>
        <w:tc>
          <w:tcPr>
            <w:tcW w:w="3860" w:type="dxa"/>
            <w:vAlign w:val="bottom"/>
            <w:gridSpan w:val="2"/>
            <w:vMerge w:val="continue"/>
          </w:tcPr>
          <w:p>
            <w:pPr>
              <w:spacing w:after="0"/>
              <w:rPr>
                <w:sz w:val="18"/>
                <w:szCs w:val="18"/>
                <w:color w:val="auto"/>
              </w:rPr>
            </w:pP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Options, Warrants and Rights</w:t>
            </w:r>
          </w:p>
        </w:tc>
        <w:tc>
          <w:tcPr>
            <w:tcW w:w="24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w:t>
            </w:r>
          </w:p>
        </w:tc>
        <w:tc>
          <w:tcPr>
            <w:tcW w:w="0" w:type="dxa"/>
            <w:vAlign w:val="bottom"/>
          </w:tcPr>
          <w:p>
            <w:pPr>
              <w:spacing w:after="0"/>
              <w:rPr>
                <w:sz w:val="1"/>
                <w:szCs w:val="1"/>
                <w:color w:val="auto"/>
              </w:rPr>
            </w:pPr>
          </w:p>
        </w:tc>
      </w:tr>
      <w:tr>
        <w:trPr>
          <w:trHeight w:val="144"/>
        </w:trPr>
        <w:tc>
          <w:tcPr>
            <w:tcW w:w="3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487,250</w:t>
            </w:r>
          </w:p>
        </w:tc>
        <w:tc>
          <w:tcPr>
            <w:tcW w:w="16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140" w:type="dxa"/>
            <w:vAlign w:val="bottom"/>
            <w:shd w:val="clear" w:color="auto" w:fill="CCEEFF"/>
          </w:tcPr>
          <w:p>
            <w:pPr>
              <w:spacing w:after="0"/>
              <w:rPr>
                <w:sz w:val="21"/>
                <w:szCs w:val="21"/>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933,517</w:t>
            </w:r>
          </w:p>
        </w:tc>
        <w:tc>
          <w:tcPr>
            <w:tcW w:w="0" w:type="dxa"/>
            <w:vAlign w:val="bottom"/>
          </w:tcPr>
          <w:p>
            <w:pPr>
              <w:spacing w:after="0"/>
              <w:rPr>
                <w:sz w:val="1"/>
                <w:szCs w:val="1"/>
                <w:color w:val="auto"/>
              </w:rPr>
            </w:pPr>
          </w:p>
        </w:tc>
      </w:tr>
      <w:tr>
        <w:trPr>
          <w:trHeight w:val="175"/>
        </w:trPr>
        <w:tc>
          <w:tcPr>
            <w:tcW w:w="38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none</w:t>
            </w:r>
          </w:p>
        </w:tc>
        <w:tc>
          <w:tcPr>
            <w:tcW w:w="2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none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48"/>
        </w:trPr>
        <w:tc>
          <w:tcPr>
            <w:tcW w:w="38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487,250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933,517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aggregate compensation we paid to the members of our Board of Directors during the fiscal year ended December 31,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Fees Earned or Paid in</w:t>
            </w:r>
          </w:p>
        </w:tc>
        <w:tc>
          <w:tcPr>
            <w:tcW w:w="232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Stock Awards ($)</w:t>
            </w:r>
          </w:p>
        </w:tc>
        <w:tc>
          <w:tcPr>
            <w:tcW w:w="2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Option Awards ($)</w:t>
            </w:r>
          </w:p>
        </w:tc>
        <w:tc>
          <w:tcPr>
            <w:tcW w:w="1700" w:type="dxa"/>
            <w:vAlign w:val="bottom"/>
            <w:vMerge w:val="restart"/>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500" w:type="dxa"/>
            <w:vAlign w:val="bottom"/>
            <w:gridSpan w:val="2"/>
            <w:vMerge w:val="continue"/>
          </w:tcPr>
          <w:p>
            <w:pPr>
              <w:spacing w:after="0"/>
              <w:rPr>
                <w:sz w:val="18"/>
                <w:szCs w:val="18"/>
                <w:color w:val="auto"/>
              </w:rPr>
            </w:pPr>
          </w:p>
        </w:tc>
        <w:tc>
          <w:tcPr>
            <w:tcW w:w="2120" w:type="dxa"/>
            <w:vAlign w:val="bottom"/>
            <w:gridSpan w:val="2"/>
          </w:tcPr>
          <w:p>
            <w:pPr>
              <w:ind w:left="6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Cash </w:t>
            </w:r>
            <w:r>
              <w:rPr>
                <w:rFonts w:ascii="Times New Roman" w:cs="Times New Roman" w:eastAsia="Times New Roman" w:hAnsi="Times New Roman"/>
                <w:sz w:val="21"/>
                <w:szCs w:val="21"/>
                <w:b w:val="1"/>
                <w:bCs w:val="1"/>
                <w:color w:val="auto"/>
                <w:vertAlign w:val="superscript"/>
              </w:rPr>
              <w:t>(6)</w:t>
            </w:r>
          </w:p>
        </w:tc>
        <w:tc>
          <w:tcPr>
            <w:tcW w:w="2320" w:type="dxa"/>
            <w:vAlign w:val="bottom"/>
            <w:gridSpan w:val="2"/>
            <w:vMerge w:val="continue"/>
          </w:tcPr>
          <w:p>
            <w:pPr>
              <w:spacing w:after="0"/>
              <w:rPr>
                <w:sz w:val="18"/>
                <w:szCs w:val="18"/>
                <w:color w:val="auto"/>
              </w:rPr>
            </w:pPr>
          </w:p>
        </w:tc>
        <w:tc>
          <w:tcPr>
            <w:tcW w:w="2320" w:type="dxa"/>
            <w:vAlign w:val="bottom"/>
            <w:gridSpan w:val="2"/>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Dr. Gordon R. Bernard</w:t>
            </w:r>
          </w:p>
        </w:tc>
        <w:tc>
          <w:tcPr>
            <w:tcW w:w="17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6"/>
              </w:rPr>
              <w:t>98,000</w:t>
            </w:r>
          </w:p>
        </w:tc>
        <w:tc>
          <w:tcPr>
            <w:tcW w:w="4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0" w:type="dxa"/>
            <w:vAlign w:val="bottom"/>
          </w:tcPr>
          <w:p>
            <w:pPr>
              <w:spacing w:after="0"/>
              <w:rPr>
                <w:sz w:val="1"/>
                <w:szCs w:val="1"/>
                <w:color w:val="auto"/>
              </w:rPr>
            </w:pPr>
          </w:p>
        </w:tc>
      </w:tr>
      <w:tr>
        <w:trPr>
          <w:trHeight w:val="230"/>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Caroline R. Young</w:t>
            </w:r>
          </w:p>
        </w:tc>
        <w:tc>
          <w:tcPr>
            <w:tcW w:w="17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6"/>
              </w:rPr>
              <w:t>59,000</w:t>
            </w:r>
          </w:p>
        </w:tc>
        <w:tc>
          <w:tcPr>
            <w:tcW w:w="420" w:type="dxa"/>
            <w:vAlign w:val="bottom"/>
          </w:tcPr>
          <w:p>
            <w:pPr>
              <w:spacing w:after="0"/>
              <w:rPr>
                <w:sz w:val="19"/>
                <w:szCs w:val="19"/>
                <w:color w:val="auto"/>
              </w:rPr>
            </w:pPr>
          </w:p>
        </w:tc>
        <w:tc>
          <w:tcPr>
            <w:tcW w:w="2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xml:space="preserve">2,200 </w:t>
            </w:r>
            <w:r>
              <w:rPr>
                <w:rFonts w:ascii="Times New Roman" w:cs="Times New Roman" w:eastAsia="Times New Roman" w:hAnsi="Times New Roman"/>
                <w:sz w:val="16"/>
                <w:szCs w:val="16"/>
                <w:color w:val="auto"/>
              </w:rPr>
              <w:t>(1)</w:t>
            </w:r>
          </w:p>
        </w:tc>
        <w:tc>
          <w:tcPr>
            <w:tcW w:w="23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61,200</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Kenneth J. Krogulski</w:t>
            </w:r>
          </w:p>
        </w:tc>
        <w:tc>
          <w:tcPr>
            <w:tcW w:w="17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6"/>
              </w:rPr>
              <w:t>58,000</w:t>
            </w:r>
          </w:p>
        </w:tc>
        <w:tc>
          <w:tcPr>
            <w:tcW w:w="4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xml:space="preserve">2,200 </w:t>
            </w:r>
            <w:r>
              <w:rPr>
                <w:rFonts w:ascii="Times New Roman" w:cs="Times New Roman" w:eastAsia="Times New Roman" w:hAnsi="Times New Roman"/>
                <w:sz w:val="16"/>
                <w:szCs w:val="16"/>
                <w:color w:val="auto"/>
              </w:rPr>
              <w:t>(2)</w:t>
            </w:r>
          </w:p>
        </w:tc>
        <w:tc>
          <w:tcPr>
            <w:tcW w:w="23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60,200</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James R. Jones</w:t>
            </w:r>
          </w:p>
        </w:tc>
        <w:tc>
          <w:tcPr>
            <w:tcW w:w="17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6"/>
              </w:rPr>
              <w:t>58,000</w:t>
            </w:r>
          </w:p>
        </w:tc>
        <w:tc>
          <w:tcPr>
            <w:tcW w:w="420" w:type="dxa"/>
            <w:vAlign w:val="bottom"/>
          </w:tcPr>
          <w:p>
            <w:pPr>
              <w:spacing w:after="0"/>
              <w:rPr>
                <w:sz w:val="19"/>
                <w:szCs w:val="19"/>
                <w:color w:val="auto"/>
              </w:rPr>
            </w:pPr>
          </w:p>
        </w:tc>
        <w:tc>
          <w:tcPr>
            <w:tcW w:w="2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xml:space="preserve">2,200 </w:t>
            </w:r>
            <w:r>
              <w:rPr>
                <w:rFonts w:ascii="Times New Roman" w:cs="Times New Roman" w:eastAsia="Times New Roman" w:hAnsi="Times New Roman"/>
                <w:sz w:val="16"/>
                <w:szCs w:val="16"/>
                <w:color w:val="auto"/>
              </w:rPr>
              <w:t>(3)</w:t>
            </w:r>
          </w:p>
        </w:tc>
        <w:tc>
          <w:tcPr>
            <w:tcW w:w="23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(3)</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60,200</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Joseph C. Galante</w:t>
            </w:r>
          </w:p>
        </w:tc>
        <w:tc>
          <w:tcPr>
            <w:tcW w:w="17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6"/>
              </w:rPr>
              <w:t>59,000</w:t>
            </w:r>
          </w:p>
        </w:tc>
        <w:tc>
          <w:tcPr>
            <w:tcW w:w="42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xml:space="preserve">2,200 </w:t>
            </w:r>
            <w:r>
              <w:rPr>
                <w:rFonts w:ascii="Times New Roman" w:cs="Times New Roman" w:eastAsia="Times New Roman" w:hAnsi="Times New Roman"/>
                <w:sz w:val="16"/>
                <w:szCs w:val="16"/>
                <w:color w:val="auto"/>
              </w:rPr>
              <w:t>(4)</w:t>
            </w:r>
          </w:p>
        </w:tc>
        <w:tc>
          <w:tcPr>
            <w:tcW w:w="23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61,200</w:t>
            </w:r>
          </w:p>
        </w:tc>
        <w:tc>
          <w:tcPr>
            <w:tcW w:w="0" w:type="dxa"/>
            <w:vAlign w:val="bottom"/>
          </w:tcPr>
          <w:p>
            <w:pPr>
              <w:spacing w:after="0"/>
              <w:rPr>
                <w:sz w:val="1"/>
                <w:szCs w:val="1"/>
                <w:color w:val="auto"/>
              </w:rPr>
            </w:pPr>
          </w:p>
        </w:tc>
      </w:tr>
      <w:tr>
        <w:trPr>
          <w:trHeight w:val="234"/>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Martin S. Brown, Jr.</w:t>
            </w:r>
          </w:p>
        </w:tc>
        <w:tc>
          <w:tcPr>
            <w:tcW w:w="21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xml:space="preserve">50,000 </w:t>
            </w:r>
            <w:r>
              <w:rPr>
                <w:rFonts w:ascii="Times New Roman" w:cs="Times New Roman" w:eastAsia="Times New Roman" w:hAnsi="Times New Roman"/>
                <w:sz w:val="16"/>
                <w:szCs w:val="16"/>
                <w:color w:val="auto"/>
              </w:rPr>
              <w:t>(5)</w:t>
            </w:r>
          </w:p>
        </w:tc>
        <w:tc>
          <w:tcPr>
            <w:tcW w:w="23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40"/>
          </w:cols>
          <w:pgMar w:left="320" w:top="887" w:right="339" w:bottom="1440" w:gutter="0" w:footer="0" w:header="0"/>
        </w:sectPr>
      </w:pPr>
    </w:p>
    <w:bookmarkStart w:id="34" w:name="page35"/>
    <w:bookmarkEnd w:id="34"/>
    <w:p>
      <w:pPr>
        <w:ind w:left="353" w:right="359" w:hanging="353"/>
        <w:spacing w:after="0" w:line="237" w:lineRule="auto"/>
        <w:tabs>
          <w:tab w:leader="none" w:pos="3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2023, restricted shares were awarded with a grant-date fair value of $2.20 per share. As of December 31, 2023, Mrs. Young had 1,000 shares of restricted stock outstanding.</w:t>
      </w:r>
    </w:p>
    <w:p>
      <w:pPr>
        <w:spacing w:after="0" w:line="63" w:lineRule="exact"/>
        <w:rPr>
          <w:rFonts w:ascii="Times New Roman" w:cs="Times New Roman" w:eastAsia="Times New Roman" w:hAnsi="Times New Roman"/>
          <w:sz w:val="18"/>
          <w:szCs w:val="18"/>
          <w:color w:val="auto"/>
        </w:rPr>
      </w:pPr>
    </w:p>
    <w:p>
      <w:pPr>
        <w:ind w:left="353" w:right="359" w:hanging="353"/>
        <w:spacing w:after="0" w:line="237" w:lineRule="auto"/>
        <w:tabs>
          <w:tab w:leader="none" w:pos="3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2023, restricted shares were awarded with a grant-date fair value of $2.20 per share. As of December 31, 2023, Mr. Krogulski had 5,000 shares of restricted stock outstanding.</w:t>
      </w:r>
    </w:p>
    <w:p>
      <w:pPr>
        <w:spacing w:after="0" w:line="63" w:lineRule="exact"/>
        <w:rPr>
          <w:rFonts w:ascii="Times New Roman" w:cs="Times New Roman" w:eastAsia="Times New Roman" w:hAnsi="Times New Roman"/>
          <w:sz w:val="18"/>
          <w:szCs w:val="18"/>
          <w:color w:val="auto"/>
        </w:rPr>
      </w:pPr>
    </w:p>
    <w:p>
      <w:pPr>
        <w:ind w:left="353" w:right="359" w:hanging="353"/>
        <w:spacing w:after="0" w:line="237" w:lineRule="auto"/>
        <w:tabs>
          <w:tab w:leader="none" w:pos="3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2023, restricted shares were awarded with a grant-date fair value of $2.20 per share. As of December 31, 2023, Mr. Jones had 1,000 shares of restricted stock outstanding.</w:t>
      </w:r>
    </w:p>
    <w:p>
      <w:pPr>
        <w:spacing w:after="0" w:line="104" w:lineRule="exact"/>
        <w:rPr>
          <w:rFonts w:ascii="Times New Roman" w:cs="Times New Roman" w:eastAsia="Times New Roman" w:hAnsi="Times New Roman"/>
          <w:sz w:val="18"/>
          <w:szCs w:val="18"/>
          <w:color w:val="auto"/>
        </w:rPr>
      </w:pPr>
    </w:p>
    <w:p>
      <w:pPr>
        <w:ind w:left="353" w:right="359" w:hanging="353"/>
        <w:spacing w:after="0" w:line="237" w:lineRule="auto"/>
        <w:tabs>
          <w:tab w:leader="none" w:pos="3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2023, restricted shares were awarded with a grant-date fair value of $2.20 per share. As of December 31, 2023, Mr. Galante had 1,000 shares of restricted stock outstanding.</w:t>
      </w:r>
    </w:p>
    <w:p>
      <w:pPr>
        <w:spacing w:after="0" w:line="104"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Mr. Brown had 1,000 shares of restricted stock outstanding.</w:t>
      </w:r>
    </w:p>
    <w:p>
      <w:pPr>
        <w:spacing w:after="0" w:line="117"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fees for fourth quarter 2023 were paid in first quarter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3"/>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292"/>
          </w:cols>
          <w:pgMar w:left="1167" w:top="931"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Pay-Versus-Performance</w:t>
      </w:r>
    </w:p>
    <w:p>
      <w:pPr>
        <w:spacing w:after="0" w:line="163"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8"/>
          <w:szCs w:val="18"/>
          <w:color w:val="auto"/>
        </w:rPr>
        <w:t>The following table presents certain information regarding compensation paid to Cumberland’s CEO and other Names Executive Officers ("NEOs"), and certain measures of financial performance, for the four years ended December 31, 2023. The amounts shown below are calculated in accordance with Item 402(v) of Regulation S-K.</w:t>
      </w:r>
    </w:p>
    <w:tbl>
      <w:tblPr>
        <w:tblLayout w:type="fixed"/>
        <w:tblInd w:w="40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Summary Average Comp</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Selected</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Comp</w:t>
            </w:r>
          </w:p>
        </w:tc>
        <w:tc>
          <w:tcPr>
            <w:tcW w:w="2920" w:type="dxa"/>
            <w:vAlign w:val="bottom"/>
            <w:gridSpan w:val="4"/>
            <w:vMerge w:val="continue"/>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Cumberland</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Measure -</w:t>
            </w: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5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Comp Table Total</w:t>
            </w:r>
          </w:p>
        </w:tc>
        <w:tc>
          <w:tcPr>
            <w:tcW w:w="14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Actually Paid to</w:t>
            </w:r>
          </w:p>
        </w:tc>
        <w:tc>
          <w:tcPr>
            <w:tcW w:w="138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1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Comp Table</w:t>
            </w:r>
          </w:p>
        </w:tc>
        <w:tc>
          <w:tcPr>
            <w:tcW w:w="10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Actually</w:t>
            </w:r>
          </w:p>
        </w:tc>
        <w:tc>
          <w:tcPr>
            <w:tcW w:w="15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for non-CEO</w:t>
            </w:r>
          </w:p>
        </w:tc>
        <w:tc>
          <w:tcPr>
            <w:tcW w:w="14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non-CEO Named</w:t>
            </w:r>
          </w:p>
        </w:tc>
        <w:tc>
          <w:tcPr>
            <w:tcW w:w="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Pr>
          <w:p>
            <w:pPr>
              <w:spacing w:after="0"/>
              <w:rPr>
                <w:sz w:val="15"/>
                <w:szCs w:val="15"/>
                <w:color w:val="auto"/>
              </w:rPr>
            </w:pPr>
          </w:p>
        </w:tc>
        <w:tc>
          <w:tcPr>
            <w:tcW w:w="8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176"/>
        </w:trPr>
        <w:tc>
          <w:tcPr>
            <w:tcW w:w="6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Total for</w:t>
            </w:r>
          </w:p>
        </w:tc>
        <w:tc>
          <w:tcPr>
            <w:tcW w:w="10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Paid to</w:t>
            </w:r>
          </w:p>
        </w:tc>
        <w:tc>
          <w:tcPr>
            <w:tcW w:w="15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Named Executive</w:t>
            </w:r>
          </w:p>
        </w:tc>
        <w:tc>
          <w:tcPr>
            <w:tcW w:w="14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Executive</w:t>
            </w:r>
          </w:p>
        </w:tc>
        <w:tc>
          <w:tcPr>
            <w:tcW w:w="13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Shareholder</w:t>
            </w:r>
          </w:p>
        </w:tc>
        <w:tc>
          <w:tcPr>
            <w:tcW w:w="13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Shareholder</w:t>
            </w:r>
          </w:p>
        </w:tc>
        <w:tc>
          <w:tcPr>
            <w:tcW w:w="124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(Loss) (4) (in</w:t>
            </w:r>
          </w:p>
        </w:tc>
        <w:tc>
          <w:tcPr>
            <w:tcW w:w="1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EBIDTA Per</w:t>
            </w:r>
          </w:p>
        </w:tc>
        <w:tc>
          <w:tcPr>
            <w:tcW w:w="0" w:type="dxa"/>
            <w:vAlign w:val="bottom"/>
          </w:tcPr>
          <w:p>
            <w:pPr>
              <w:spacing w:after="0"/>
              <w:rPr>
                <w:sz w:val="1"/>
                <w:szCs w:val="1"/>
                <w:color w:val="auto"/>
              </w:rPr>
            </w:pPr>
          </w:p>
        </w:tc>
      </w:tr>
      <w:tr>
        <w:trPr>
          <w:trHeight w:val="243"/>
        </w:trPr>
        <w:tc>
          <w:tcPr>
            <w:tcW w:w="600" w:type="dxa"/>
            <w:vAlign w:val="bottom"/>
            <w:vMerge w:val="continue"/>
          </w:tcPr>
          <w:p>
            <w:pPr>
              <w:spacing w:after="0"/>
              <w:rPr>
                <w:sz w:val="21"/>
                <w:szCs w:val="21"/>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CEO</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CEO (1)</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Officers (2)</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700" w:type="dxa"/>
            <w:vAlign w:val="bottom"/>
          </w:tcPr>
          <w:p>
            <w:pPr>
              <w:spacing w:after="0"/>
              <w:rPr>
                <w:sz w:val="21"/>
                <w:szCs w:val="21"/>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620" w:type="dxa"/>
            <w:vAlign w:val="bottom"/>
          </w:tcPr>
          <w:p>
            <w:pPr>
              <w:spacing w:after="0"/>
              <w:rPr>
                <w:sz w:val="21"/>
                <w:szCs w:val="21"/>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Return (3)</w:t>
            </w:r>
          </w:p>
        </w:tc>
        <w:tc>
          <w:tcPr>
            <w:tcW w:w="48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 (5) $</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1,169,530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952,530</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321,865</w:t>
            </w:r>
          </w:p>
        </w:tc>
        <w:tc>
          <w:tcPr>
            <w:tcW w:w="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305,820</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3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1,202,497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897,497</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302,124</w:t>
            </w: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307,095</w:t>
            </w:r>
          </w:p>
        </w:tc>
        <w:tc>
          <w:tcPr>
            <w:tcW w:w="7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1,239,129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872,629</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411,145</w:t>
            </w: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354,379</w:t>
            </w: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34"/>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1,155,497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786,997</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261,795</w:t>
            </w:r>
          </w:p>
        </w:tc>
        <w:tc>
          <w:tcPr>
            <w:tcW w:w="7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295,659</w:t>
            </w:r>
          </w:p>
        </w:tc>
        <w:tc>
          <w:tcPr>
            <w:tcW w:w="7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Kazimi serves as CEO since 2000.</w:t>
      </w:r>
    </w:p>
    <w:p>
      <w:pPr>
        <w:spacing w:after="0" w:line="63" w:lineRule="exact"/>
        <w:rPr>
          <w:rFonts w:ascii="Times New Roman" w:cs="Times New Roman" w:eastAsia="Times New Roman" w:hAnsi="Times New Roman"/>
          <w:sz w:val="18"/>
          <w:szCs w:val="18"/>
          <w:color w:val="auto"/>
        </w:rPr>
      </w:pPr>
    </w:p>
    <w:p>
      <w:pPr>
        <w:jc w:val="both"/>
        <w:ind w:firstLine="8"/>
        <w:spacing w:after="0" w:line="266" w:lineRule="auto"/>
        <w:tabs>
          <w:tab w:leader="none" w:pos="2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other NEOs were Messrs. Herman, Anthony, Bitterman and Hamm. In 2022, the other NEOs were Messrs. Pavliv, Herman, Anthony, Bitterman and Hamm. In 2021, the other NEOs were Messrs. Cearnal, Pavliv, Herman and Hamm. In 2020, the other NEOs were Messrs. Cearnal, Pavliv, Herman and Bonner.</w:t>
      </w:r>
    </w:p>
    <w:p>
      <w:pPr>
        <w:spacing w:after="0" w:line="13" w:lineRule="exact"/>
        <w:rPr>
          <w:rFonts w:ascii="Times New Roman" w:cs="Times New Roman" w:eastAsia="Times New Roman" w:hAnsi="Times New Roman"/>
          <w:sz w:val="18"/>
          <w:szCs w:val="18"/>
          <w:color w:val="auto"/>
        </w:rPr>
      </w:pPr>
    </w:p>
    <w:p>
      <w:pPr>
        <w:jc w:val="both"/>
        <w:ind w:firstLine="8"/>
        <w:spacing w:after="0" w:line="261"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index used for this column is S&amp;P 500 - Peer Group Companies. The Peer Group includes: Avadel Pharmaceuticals plc, Harrow Health, Inc., Eagle Pharmaceuticals, Inc., Assertio Holdings, Inc., HLS Therapeutics Inc., EyePoint Pharmaceuticals, Inc., Eton Pharmaceuticals, Inc., Theratechnologies Inc., Acorda Therapeutics Inc. and Talphera, Inc., formerly AcelRx Pharmaceuticals. Impel Pharmaceuticals was acquired by JN Bidco LLC and was removed from the Peer Group.</w:t>
      </w:r>
    </w:p>
    <w:p>
      <w:pPr>
        <w:spacing w:after="0" w:line="17" w:lineRule="exact"/>
        <w:rPr>
          <w:rFonts w:ascii="Times New Roman" w:cs="Times New Roman" w:eastAsia="Times New Roman" w:hAnsi="Times New Roman"/>
          <w:sz w:val="18"/>
          <w:szCs w:val="18"/>
          <w:color w:val="auto"/>
        </w:rPr>
      </w:pPr>
    </w:p>
    <w:p>
      <w:pPr>
        <w:jc w:val="both"/>
        <w:ind w:firstLine="8"/>
        <w:spacing w:after="0" w:line="258" w:lineRule="auto"/>
        <w:tabs>
          <w:tab w:leader="none" w:pos="2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for 2023, includes a $2.8 million refund of FDA fees for the periods of 2023 and 2022, a gain of $0.5 million to settle a manufacturing dispute and a gain of $0.3 million for a payout earned on a company owned insurance policy. Net income (loss) for 2022 includes a gain from an insurance settlement in the amount of $0.6 million. Net income (loss) for 2021 and 2020 includes income from discontinued operations of in the amounts of $1.994 million and $3.2 million, respectively. Net income (loss) for 2021 also includes a gain from PPP loan forgiveness in the amount of $2.2 million.</w:t>
      </w:r>
    </w:p>
    <w:p>
      <w:pPr>
        <w:spacing w:after="0" w:line="21"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EBITDA Per Share is calculated using adjusted EBITDA divided by diluted weighted average common shares outstanding. Adjusted EBITDA excludes the impact of (i) income tax expense (benefit), depreciation and amortization, share based compensation, the cost of non-cash COGS, write-down of expired inventory and interest income and expense.</w:t>
      </w:r>
    </w:p>
    <w:p>
      <w:pPr>
        <w:spacing w:after="0" w:line="13" w:lineRule="exact"/>
        <w:rPr>
          <w:rFonts w:ascii="Times New Roman" w:cs="Times New Roman" w:eastAsia="Times New Roman" w:hAnsi="Times New Roman"/>
          <w:sz w:val="18"/>
          <w:szCs w:val="18"/>
          <w:color w:val="auto"/>
        </w:rPr>
      </w:pPr>
    </w:p>
    <w:p>
      <w:pPr>
        <w:ind w:firstLine="8"/>
        <w:spacing w:after="0" w:line="281" w:lineRule="auto"/>
        <w:tabs>
          <w:tab w:leader="none" w:pos="26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CEO for 2023, deferred compensation was deducted ($20,000) and an amount equal to ($62,144) was deducted, representing the result of the stock calculations required by Item 402(v)(2)(iii)(C) of Regulation S-K.</w:t>
      </w:r>
    </w:p>
    <w:p>
      <w:pPr>
        <w:spacing w:after="0" w:line="1" w:lineRule="exact"/>
        <w:rPr>
          <w:rFonts w:ascii="Times New Roman" w:cs="Times New Roman" w:eastAsia="Times New Roman" w:hAnsi="Times New Roman"/>
          <w:sz w:val="18"/>
          <w:szCs w:val="18"/>
          <w:color w:val="auto"/>
        </w:rPr>
      </w:pPr>
    </w:p>
    <w:p>
      <w:pPr>
        <w:jc w:val="both"/>
        <w:ind w:firstLine="8"/>
        <w:spacing w:after="0" w:line="266" w:lineRule="auto"/>
        <w:tabs>
          <w:tab w:leader="none" w:pos="2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CEO for 2022, the stock awards value in the Summary Compensation Table ("SCT") was added $51,800, deferred compensation was deducted ($20,000) and an amount equal to ($438,640) was deducted, representing the result of the stock calculations required by Item 402(v)(2)(iii)(C) of Regulation S-K.</w:t>
      </w:r>
    </w:p>
    <w:p>
      <w:pPr>
        <w:spacing w:after="0" w:line="13"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CEO for 2021, the stock awards value in the SCT was added $38,640, deferred compensation was deducted ($12,500) and an amount equal to $609,944 was added, representing the result of the stock calculations required by Item 402(v)(2)(iii)(C) of Regulation S-K.</w:t>
      </w:r>
    </w:p>
    <w:p>
      <w:pPr>
        <w:spacing w:after="0" w:line="13" w:lineRule="exact"/>
        <w:rPr>
          <w:rFonts w:ascii="Times New Roman" w:cs="Times New Roman" w:eastAsia="Times New Roman" w:hAnsi="Times New Roman"/>
          <w:sz w:val="18"/>
          <w:szCs w:val="18"/>
          <w:color w:val="auto"/>
        </w:rPr>
      </w:pPr>
    </w:p>
    <w:p>
      <w:pPr>
        <w:jc w:val="both"/>
        <w:ind w:firstLine="8"/>
        <w:spacing w:after="0" w:line="261" w:lineRule="auto"/>
        <w:tabs>
          <w:tab w:leader="none" w:pos="2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CEO for 2020, the Stock Awards value in the SCT was added $356,000, deferred compensation was deducted ($12,500) and an amount equal to ($123,000) was deducted, representing the result of the stock calculations required by Item 402(v)(2)(iii)</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of Regulation S-K.</w:t>
      </w:r>
    </w:p>
    <w:p>
      <w:pPr>
        <w:spacing w:after="0" w:line="44" w:lineRule="exact"/>
        <w:rPr>
          <w:rFonts w:ascii="Times New Roman" w:cs="Times New Roman" w:eastAsia="Times New Roman" w:hAnsi="Times New Roman"/>
          <w:sz w:val="18"/>
          <w:szCs w:val="18"/>
          <w:color w:val="auto"/>
        </w:rPr>
      </w:pPr>
    </w:p>
    <w:p>
      <w:pPr>
        <w:jc w:val="both"/>
        <w:ind w:firstLine="8"/>
        <w:spacing w:after="0" w:line="266" w:lineRule="auto"/>
        <w:tabs>
          <w:tab w:leader="none" w:pos="3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other NEOs for 2023, the average adjustment amounts included the deferred compensation was deducted ($20,000) and an amount equal to ($3,955) was deducted, representing the result of the stock calculations required by Item 402(v)(2)(iii)(C)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40"/>
          </w:cols>
          <w:pgMar w:left="320" w:top="1032" w:right="339" w:bottom="1440" w:gutter="0" w:footer="0" w:header="0"/>
        </w:sectPr>
      </w:pPr>
    </w:p>
    <w:bookmarkStart w:id="36" w:name="page37"/>
    <w:bookmarkEnd w:id="36"/>
    <w:p>
      <w:pPr>
        <w:jc w:val="both"/>
        <w:ind w:firstLine="8"/>
        <w:spacing w:after="0" w:line="266" w:lineRule="auto"/>
        <w:tabs>
          <w:tab w:leader="none" w:pos="3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other the NEOs for 2022, the average adjustment amounts included the stock awards value in the SCT was deducted ($11,560), deferred compensation was deducted (16,000) and an amount equal to ($32,531) was deducted, representing the result of the stock calculations required by Item 402(v)(2)(iii)(C) of Regulation S-K.</w:t>
      </w:r>
    </w:p>
    <w:p>
      <w:pPr>
        <w:spacing w:after="0" w:line="13" w:lineRule="exact"/>
        <w:rPr>
          <w:rFonts w:ascii="Times New Roman" w:cs="Times New Roman" w:eastAsia="Times New Roman" w:hAnsi="Times New Roman"/>
          <w:sz w:val="18"/>
          <w:szCs w:val="18"/>
          <w:color w:val="auto"/>
        </w:rPr>
      </w:pPr>
    </w:p>
    <w:p>
      <w:pPr>
        <w:jc w:val="both"/>
        <w:ind w:firstLine="8"/>
        <w:spacing w:after="0" w:line="266" w:lineRule="auto"/>
        <w:tabs>
          <w:tab w:leader="none" w:pos="3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other NEOs for 2021, the average adjustment amounts included the stock awards value in the SCT was added $2,415, deferred compensation was deducted ($11,250) and an amount equal to $43,102 was added, representing the result of the stock calculations required by Item 402(v)(2)(iii)(C) of Regulation S-K.</w:t>
      </w:r>
    </w:p>
    <w:p>
      <w:pPr>
        <w:spacing w:after="0" w:line="13" w:lineRule="exact"/>
        <w:rPr>
          <w:rFonts w:ascii="Times New Roman" w:cs="Times New Roman" w:eastAsia="Times New Roman" w:hAnsi="Times New Roman"/>
          <w:sz w:val="18"/>
          <w:szCs w:val="18"/>
          <w:color w:val="auto"/>
        </w:rPr>
      </w:pPr>
    </w:p>
    <w:p>
      <w:pPr>
        <w:jc w:val="both"/>
        <w:ind w:firstLine="8"/>
        <w:spacing w:after="0" w:line="266" w:lineRule="auto"/>
        <w:tabs>
          <w:tab w:leader="none" w:pos="3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other NEOs for 2020, the stock awards value in the SCT was added $30,260, deducted deferred compensation ($4,375) and an amount equal to ($68,499) was deducted, representing the result of the stock calculations required by Item 402(v)(2)(iii)(C) of Regulation S-K.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Between Pay vs. Performance</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Actually Paid vs Company Performance: The relationship between compensation actually paid and Cumberland’s financial performance over the three year period shown in the table above is described in the following bullet points: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2022 to 2023, compensation actually paid to the CEO increased by $55,033 or 6.1%. Over the same period, the Company’s Total Shareholder Return ("TSR") decreased by 48.1%, while adjusted EBITDA per diluted share decreased by 27.7%. Net income (loss) for 2023, includes a $2.8 million refund of FDA fees for the periods of 2023 and 2022, a gain of $0.5 million to settle a manufacturing dispute and a gain of $0.3 million for a payout earned on a company owned insurance policy. Comparing the operating loss from 2022 to 2023, operating results decreased by 67.5%. Some key factors that drove the changes in compensation actually paid to the CEO were an increase in salary.</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2021 to 2022, compensation actually paid to the CEO increased by $ 24,868 or 2.8%. Over the same period, the company’s TSR decreased by 37%, while adjusted EBITDA per diluted share decreased by 17%. Net income (loss) for 2021 includes several one time gains/income including an increase for discontinued operations of $2 million and a gain from the forgiveness of the PPP loan in the amount of $2.2 million. Operating income (loss) excludes the impact of other gains and losses. Comparing the operating loss from 2021 to 2022, operating results improved by 26%. Some key factors that drove the changes in compensation actually paid to the CEO were an increase in salary and deferred compensation.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2020 to 2021, compensation actually paid to the CEO increased by $ 85,632 or 10.9%. Over the same period, the company’s TSR increased by 108%.</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key factors that drove the changes in compensation actually paid to the CEO were an increase in salary and bonus compensation.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NEOs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2022 to 2023, compensation actually paid to the NEO decreased by $1,275 or 0.4%. Over the same period, the company’s TSR decreased by 48.1%, while adjusted EBITDA per diluted share decreased by 27.7%. Net income (loss) for 2023, includes a $2.8 million refund of FDA fees for the periods of 2023 and 2022, a gain of $0.5 million to settle a manufacturing dispute and a gain of $0.3 million for a payout earned on a company owned insurance policy. Comparing the operating loss from 2022 to 2023, operating results decreased by 67.5%. Some key factors that drove the changes in compensation actually paid to the NEO were an increase in salary.</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2021 to 2022, compensation paid to the other NEOs declined by $47,283 or 13.3%. Over the same period, the company’s TSR decreased by 37%, while adjusted EBITDA per diluted share decreased by 17%. Net income (loss) for 2021 includes several one-time gains/income including an increase for discontinued operations of $2 million and a gain from the forgiveness of the PPP loan in the amount of $2.2 million. Operating income (loss) excludes the impact of other gains and losses. Comparing the operating loss from 2021 to 2022, operating results improved by 26%. Some key factors that drove the decrease in pay during this period were leadership transitions within the NEO group, including a partial year of service by the Executive VP of Sales and Marketing.</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2020 to 2021, compensation actually paid to the other NEOs increased by $58,720 or 19.9%. Over the same period, the company’s TSR increased by 108%. Some key factors that drove the changes in compensation actually paid to the other NEO Group were declines in salary and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40"/>
          </w:cols>
          <w:pgMar w:left="320" w:top="94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Company TSR versus Peer Group TSR. The relationship between the Company’s TSR and the TSR of the Peer Group Companies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102870</wp:posOffset>
            </wp:positionV>
            <wp:extent cx="5572125" cy="3257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21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Tabular List of Financial Performance Measures. Cumberland considers the following to be the most important financial performance measures it uses to like compensation actually paid to its NEOs for 2023, to company performance.</w:t>
      </w:r>
    </w:p>
    <w:p>
      <w:pPr>
        <w:spacing w:after="0" w:line="115"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7"/>
          <w:szCs w:val="17"/>
          <w:color w:val="auto"/>
        </w:rPr>
        <w:t>Net Revenue</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7"/>
          <w:szCs w:val="17"/>
          <w:color w:val="auto"/>
        </w:rPr>
        <w:t>Cash Flow from Operations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7"/>
          <w:szCs w:val="17"/>
          <w:color w:val="auto"/>
        </w:rPr>
        <w:t>EPS before EBITA</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17"/>
          <w:szCs w:val="17"/>
          <w:color w:val="auto"/>
        </w:rPr>
        <w:t>Adjusted Earnings</w:t>
      </w:r>
    </w:p>
    <w:p>
      <w:pPr>
        <w:spacing w:after="0" w:line="200" w:lineRule="exact"/>
        <w:rPr>
          <w:sz w:val="20"/>
          <w:szCs w:val="20"/>
          <w:color w:val="auto"/>
        </w:rPr>
      </w:pPr>
    </w:p>
    <w:p>
      <w:pPr>
        <w:spacing w:after="0" w:line="35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780"/>
          </w:cols>
          <w:pgMar w:left="320" w:top="1039" w:right="7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Committees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property, affairs and business of our Company are under the general management of our Board of Directors as provided by the laws of the State of Tennessee and our Bylaws. We have standing Audit, Compensation and Governance &amp; Nominating Committees of the Board of Directors. The separately designated standing Audit Committee has been operating, as defined, in accordance with the Securities Exchange Act of 1934, as amended, (the "Exchange Act").</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has adopted a written charter for each of our standing committees that establishes the responsibilities of the respective committee. The charter of the Audit Committee, the charter of the Compensation Committee, and the charter of the Governance &amp; Nominating Committee are available on our website at www.cumberlandpharma.com under the tab “Investor Relations - Corporate Governance.”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held three meetings during fiscal year 2023, each with full attendance by every director. Each director also attended all meetings held by all the standing committees of the Board on which such director served during 2023. While the Company currently has no formal policy with respect to the attendance of members of the Board of Directors at annual meetings, all directors did attend our 2023 Annual Meeting.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affirmatively determined whether each director is independent in accordance with the Nasdaq Global Select Market rules and listing standards. The Board has affirmatively determined that each of Messrs. Jones, Krogulski, Galante, Dr. Bernard and Ms. Young qualifies as an independent, non-employee director with no relationship that would interfere with the exercise of independent judgment in carrying out the responsibilities of a director.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Leadership Structure</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business of the Company is managed under the direction of the Board of Directors, which is elected by the Company’s shareholders. The basic responsibility of the Board of Directors is to oversee the Company by exercising its business judgment to act in what each director reasonably believes to be the best interests of the Company and its shareholders. Such oversight is important and the Board of Directors must act effectively as a working group, so that the Company and its performance may benefit. The role of the Chairman includes providing direction and feedback on the strategy and performance of the Company, serving as chair of meetings of the Board of Directors, setting the Board of Director’s agenda with the Company, and leading the Board of Directors in anticipating and responding to business challenges. The Board of Directors believes that the advisability of having a separate or combined chairman and chief executive officer is dependent upon the strengths of the individuals that hold those positions and the most effective means of leveraging their strengths. At this time, given the composition of the Company’s Board, the effective leadership of Mr. Kazimi as both Chairman of the Board of Directors and Chief Executive Officer, and the current challenges faced by the Company, the Board of Directors believes that combining the positions of Chairman of the Board of Directors and Chief Executive Officer provides the Company with the right foundation to pursue the Company’s strategy and operational objectives, while maintaining effective oversight and objective evaluation of the performance of the Company. The Board of Directors also has a Lead Independent Director, who chairs meetings and discussions of the independent members of the Board of Directors during the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 of Risk</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Assessing and managing risk is the responsibility of the Company’s management, while the Board of Directors, as a whole and through its committees, has responsibility for the oversight of risk management. The Audit Committee reviews financial risks that may be material to the Company, as well as major legislative and other developments which could materially impact the Company. In addition, the Board of Directors has delegated to the Compensation Committee the responsibility of assessing the risks associated with the Company’s compensation practices and policies for employees, including consideration of the counterbalance of risk-taking incentives and risk-mitigating factors in Company practices and policies. The full Board reviews the identified risks that may be material to the Company, including those detailed in the Audit Committee’s reports and those disclosed in the Company’s quarterly and annual reports filed with the SEC. The goal of these processes is to achieve serious and thoughtful board-level attention to the Company’s risk management process and system, the nature of the material risks faced by the Company, and the adequacy of the Company’s risk management process and system designed to respond to and mitigate these risks.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240"/>
          </w:cols>
          <w:pgMar w:left="320" w:top="1076" w:right="339" w:bottom="1440" w:gutter="0" w:footer="0" w:header="0"/>
        </w:sectPr>
      </w:pPr>
    </w:p>
    <w:bookmarkStart w:id="39" w:name="page40"/>
    <w:bookmarkEnd w:id="39"/>
    <w:p>
      <w:pPr>
        <w:ind w:left="4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instructed the Audit Committee to meet periodically with our management and an independent registered public accounting firm to, among other things, review the results of the annual audit and quarterly reviews and discuss our financial statements, recommend to our Board of Directors the independent registered public accounting firm to be retained, and receive and consider the auditors’ comments as to controls, adequacy of staff and management personnel and procedures in connection with audit and financial controls. The Audit Committee is also authorized to review related party transactions for potential conflicts of interest. The Audit Committee’s functions are further described under the heading “Audit Committee Report.”</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is currently comprised of Mr. James R. Jones (Chairman), Mr. Kenneth J. Krogulski and Mr. Joseph C. Galante. The members of the Audit Committee are “independent,” as determined in accordance with the listing standards for companies listed on the Nasdaq Global Select Market. The members also satisfy the SEC’s additional independence requirements for members of audit committees and Rule 10A-3 of the Exchange Act. The Board of Directors has affirmatively determined that James Jones is an “audit committee financial expert” as defined under Item 407(d)(5) of Regulation S-K of the Securities Act of 1933 and that each member of the Audit Committee has sufficient financial sophistication to qualify as an audit committee member under Nasdaq Global Select Market listing standards. The Audit Committee met four times during fiscal year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is authorized to establish compensation policies for our Company, review annual salaries and bonuses of our executive officers and has the authority to determine the aggregate granting of equity awards, the times at which such equity awards shall be granted, the number of shares issued, the vesting term and any exercise price associated with such equity awards under our equity compensation plans. In addition, the Compensation Committee recommends to the full Board of Directors the compensation of our Chief Executive Officer. In fulfilling its responsibilities, the Compensation Committee has the authority to engage independent compensation consultants or legal advisers when determined by the Compensation Committee to be necessary and appropriate.</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currently consists of Mr. Joseph C. Galante (Chairman), Ms. Caroline R. Young, and Dr. Gordon R. Bernard. The Board of Directors has affirmatively determined that each member of the Compensation Committee is “independent,” as such term is defined in the listing standards for companies listed on the Nasdaq Global Select Market, including, without limitation, the specific requirements of Nasdaq Rule 5605(d)(2) for compensation committee members. The Compensation Committee met once during fiscal year 2023.</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the risks and rewards associated with the Company’s compensation programs. The Compensation Committee designs compensation programs with features that mitigate risk without diminishing the incentive nature of the compensation. We believe our programs encourage and reward prudent business judgment and appropriate risk-taking over the long term.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Compensation Committee are set forth above. The Compensation Committee is made up entirely of independent directors and no member of the Compensation Committee was an officer or employee of the Company during 2023, a former officer of the Company or had any relationship during 2023 requiring disclosure under Item 404 of Regulation S-K. In addition, none of the Company’s executive officers serve as a member of the Board of Directors or Compensation Committee of any entity that has one or more of its executive officers serving as a member of our Board of Directors or Compensation Committee.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Governance &amp; Nominating Committee (the "Governance Committee"), the members of which are currently, Ms. Caroline R. Young (Chairman), Dr. Gordon R. Bernard and Mr. Joseph C. Galante, is responsible for identifying, screening and recommending qualified candidates to serve on our Board of Directors. The Governance Committee is directed, among other things, to develop and recommend to the Board of Directors specific guidelines and criteria for selecting nominees to the Board of Directors, formulate a process to identify and evaluate candidates to be recommended, and evaluate the performance of incumbent members of the Board of Directors to determine whether to recommend such persons for re-election. The Board of Directors has affirmatively determined that all members of the Governance Committee are “independent” as defined in the listing standards for companies listed on the Nasdaq Global Select Market. The Governance Committee met one time during fiscal year 2023.</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240"/>
          </w:cols>
          <w:pgMar w:left="320" w:top="1078"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It is our policy that the Governance Committee consider recommendations for the nomination of directors submitted by our significant, long-term shareholders (generally, shareholders that have beneficially owned more than 5% of our outstanding shares for at least two years). The Governance Committee will give consideration to such recommendations that have been submitted in accordance with procedural requirements adopted by the Governance Committee. All such shareholder nominating recommendations must be in writing, addressed to the Governance Committee, care of the Corporate Secretary at Cumberland Pharmaceuticals Inc., 1600 West End Avenue, Suite 1300, Nashville, Tennessee 37203. Submissions must be made by mail, courier or personal delivery. E-mailed submissions will not be considered. Shareholders wishing to recommend nominees for election as directors at an annual meeting should submit such recommendation, together with any relevant information that they wish the Governance Committee to consider, to the Corporate Secretary no later than 120 days prior to the date of the notice of annual meeting and proxy statement released to shareholders in connection with the prior year’s annual meeting. The Governance Committee did not receive any such recommendations for our 2023 Annual Meeting.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Governance Committee has determined that, at the minimum, nominees for directorship should possess the highest personal and professional ethics, integrity and values, and be committed to representing the long-term interests of the Company’s shareholders. They must also have an inquisitive and objective perspective, practical wisdom and mature judgment. The Company endeavors to have a Board representing diverse experience in areas that are relevant to the Company’s business activities. Directors must be willing to devote sufficient time to carrying out their duties and responsibilities efficiently and should be committed to serve on the Board of Directors for an extended period of time.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nominating a candidate for election to the Board of Directors, the Governance Committee will review the qualifications of each candidate. Final candidates may be interviewed by the Company’s Chairman of the Board of Directors and one or more other members of the Board of Directors. The Governance Committee will then make a recommendation to the Board of Directors based on its review, the results of interviews with the candidate and other available relevant information.</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determining whether to nominate an incumbent director for reelection, the Governance Committee will evaluate each incumbent’s continued service, in light of the Board of Director’s collective requirements, at the time such Director comes up for reelection.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whether to include a shareholder recommendation in the Board of Directors slate of nominees, the Governance Committee will consider all information relevant in their business judgment to the decision of whether to nominate the particular candidate for a Board of Directors seat, taking into account the current composition of the Company’s Board of Directors.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foregoing, shareholders may nominate directors for election without consideration by the Governance Committee so long as we are provided with proper notice of such nomination, which notice includes all the information required pursuant to Regulation 14A under the Exchange Act including a consent to serve as a director.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Governance Committee recommended, and the Board of Directors approved the inclusion of Mr. Jamie R. Jones and Mr. Martin S. Brown Jr. on the Company’s proxy card for election to the Board of Directors at the 2024 Annual Meeting based on the aforementioned review process. In doing so, the Governance Committee has affirmatively determined that Mr. Jones and Mr. Brown are “independent” under Nasdaq listing standards and SEC rules and regulations.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 Report</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we released our fourth annual Sustainability Report (the "Sustainability Report"), which details Cumberland’s activities pertaining to our environmental, social and governance matters. We remain committed to sustainability and to maintaining transparency of our corporate operations. We also hold ourselves to high standards of ethical practices and understand the importance of recognizing and addressing our impact on our constituents, the community and the environment. During 2023, Ms. Caroline R. Young continued in her role as our lead sustainability director.</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Sustainability Report notes that during 2022 we provided nearly 2.2 million patient doses of our products, safely disposed of over 2,756 pounds of expired and damaged products and had no product recalls. We also had no Company brands listed on the FDA’s MedWatch Safety Alerts for Human Medical Products, no Company product issues identified by FDA from their Adverse Event Reporting System and no clinical trials terminated due to failure to practice good clinical standards during 2022. The Sustainability Report also highlights our investment in our employees through our continuing education programs, employee development initiatives and employee recognition awards. We reported that during 2021 women represented 45% of Cumberland’s workforce, and 15% of our employees were minorities.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240"/>
          </w:cols>
          <w:pgMar w:left="320" w:top="1080" w:right="339" w:bottom="1440" w:gutter="0" w:footer="0" w:header="0"/>
        </w:sectPr>
      </w:pPr>
    </w:p>
    <w:bookmarkStart w:id="41" w:name="page42"/>
    <w:bookmarkEnd w:id="41"/>
    <w:p>
      <w:pPr>
        <w:ind w:left="500"/>
        <w:spacing w:after="0"/>
        <w:rPr>
          <w:sz w:val="20"/>
          <w:szCs w:val="20"/>
          <w:color w:val="auto"/>
        </w:rPr>
      </w:pPr>
      <w:r>
        <w:rPr>
          <w:rFonts w:ascii="Times New Roman" w:cs="Times New Roman" w:eastAsia="Times New Roman" w:hAnsi="Times New Roman"/>
          <w:sz w:val="18"/>
          <w:szCs w:val="18"/>
          <w:i w:val="1"/>
          <w:iCs w:val="1"/>
          <w:color w:val="auto"/>
        </w:rPr>
        <w:t>Code of Business Conduct and Ethics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that applies to all of our employees, officers and directors, including the principal executive officer, principal financial officer and principal accounting officer. It covers all areas of professional conduct, including but not limited to, conflicts of interest, disclosure obligations, insider trading, confidential information, as well as compliance with all laws, rules and regulations applicable to the Company’s business. You can access the latest copy of our Code of Business Conduct and Ethics on our website, </w:t>
      </w:r>
      <w:r>
        <w:rPr>
          <w:rFonts w:ascii="Times New Roman" w:cs="Times New Roman" w:eastAsia="Times New Roman" w:hAnsi="Times New Roman"/>
          <w:sz w:val="18"/>
          <w:szCs w:val="18"/>
          <w:u w:val="single" w:color="auto"/>
          <w:color w:val="auto"/>
        </w:rPr>
        <w:t>www.cumberlandpharma.com</w:t>
      </w:r>
      <w:r>
        <w:rPr>
          <w:rFonts w:ascii="Times New Roman" w:cs="Times New Roman" w:eastAsia="Times New Roman" w:hAnsi="Times New Roman"/>
          <w:sz w:val="18"/>
          <w:szCs w:val="18"/>
          <w:color w:val="auto"/>
        </w:rPr>
        <w:t>. Or, to obtain a copy the Code of Business Conduct and Ethics, without charge, any person may submit a written request to Cumberland Pharmaceuticals Inc., 1600 West End Avenue, Suite 1300, Nashville, Tennessee 37203 Attention: Corporate Secretary.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Related Persons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Committee’s charter charges it with the responsibility to review and approve any proposed transaction between the Company and any related person, as defined in Item 404 of Regulation S-K. Since January 1, 2023, there have been no transactions involving the Company and a related person, and currently, no related person, to our knowledge, is a party to any material transactions with the Company other than the compensation discussed in the section labeled “Executive Compensation and Related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no director or executive officer, to our knowledge, is a party to any material legal proceeding adverse to the interests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no director or executive officer has a material interest in a material proceeding adverse to the Company.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Communications with the Board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shareholder can communicate with all directors or with specified directors by sending correspondence to our Corporate Secretary at 1600 West End Avenue, Suite 1300, Nashville, Tennessee 37203. All such letters will be forwarded to the entire Board or to the director(s) specified by the shareholder.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would like additional information on the responsibilities of the Governance &amp; Nominating Committee, please refer to its charter, a copy of which is posted on the Company’s website at </w:t>
      </w:r>
      <w:r>
        <w:rPr>
          <w:rFonts w:ascii="Times New Roman" w:cs="Times New Roman" w:eastAsia="Times New Roman" w:hAnsi="Times New Roman"/>
          <w:sz w:val="18"/>
          <w:szCs w:val="18"/>
          <w:u w:val="single" w:color="auto"/>
          <w:color w:val="auto"/>
        </w:rPr>
        <w:t>www.cumberlandpharma.com</w:t>
      </w:r>
      <w:r>
        <w:rPr>
          <w:rFonts w:ascii="Times New Roman" w:cs="Times New Roman" w:eastAsia="Times New Roman" w:hAnsi="Times New Roman"/>
          <w:sz w:val="18"/>
          <w:szCs w:val="18"/>
          <w:color w:val="auto"/>
        </w:rPr>
        <w:t xml:space="preserve"> and is also available in print to any shareholder who requests it.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Submitted by the Governance &amp; Nominating Committee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 Caroline R. Young Dr. Gordon R. Bernard Mr. Joseph C. Galante</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240"/>
          </w:cols>
          <w:pgMar w:left="320" w:top="107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Annual Meeting each year, the Board of Directors submits to shareholders its nominees for election as directors. The Board of Directors may also submit other matters to the shareholders for action at the Annual Meeting. Any proposal which a shareholder intends to present in accordance with Rule 14a-8 of the Exchange Act at our next annual meeting of shareholders to be held in 2025 must be received by Cumberland Pharmaceuticals Inc., no later than 5:00 p.m. Central Time om November 14, 2024. Only proposals conforming to the requirements of Rule 14a-8 of the Exchange Act that are timely received by the Company will be included in the Proxy Statement and Proxy in 2025. Any such proposal should be directed to our Corporate Secretary at our principal executive offices located at 1600 West End Avenue, Suite 1300, Nashville, Tennessee 37203.</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does not intend to present any other items of business and is not aware of any matters other than those set forth in this Proxy Statement that will be presented for action at the Annual Meeting. However, if any other matters properly come before the Annual Meeting, the persons named in the enclosed proxy intend to vote the shares of our common stock that they represent in accordance with their best judgment.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Our Annual Report has been made available to shareholders and is posted on our website at </w:t>
      </w:r>
      <w:r>
        <w:rPr>
          <w:rFonts w:ascii="Times New Roman" w:cs="Times New Roman" w:eastAsia="Times New Roman" w:hAnsi="Times New Roman"/>
          <w:sz w:val="18"/>
          <w:szCs w:val="18"/>
          <w:b w:val="1"/>
          <w:bCs w:val="1"/>
          <w:i w:val="1"/>
          <w:iCs w:val="1"/>
          <w:u w:val="single" w:color="auto"/>
          <w:color w:val="auto"/>
        </w:rPr>
        <w:t>http://www.cstproxy.com/cumberlandpharma/2024</w:t>
      </w:r>
      <w:r>
        <w:rPr>
          <w:rFonts w:ascii="Times New Roman" w:cs="Times New Roman" w:eastAsia="Times New Roman" w:hAnsi="Times New Roman"/>
          <w:sz w:val="18"/>
          <w:szCs w:val="18"/>
          <w:color w:val="auto"/>
        </w:rPr>
        <w:t>. The Company will provide, without charge, a copy of our Annual Report on Form 10-K for the fiscal year ended December 31, 2023 upon the written request of any shareholder. Requests can be made by writing to: Cumberland Pharmaceuticals Inc., 1600 West End Avenue, Suite 1300, Nashville, Tennessee 37203, Attention: Corporate Secretary.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62635" cy="523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63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240"/>
          </w:cols>
          <w:pgMar w:left="320" w:top="1413" w:right="339" w:bottom="1440" w:gutter="0" w:footer="0" w:header="0"/>
        </w:sectPr>
      </w:pPr>
    </w:p>
    <w:bookmarkStart w:id="43" w:name="page44"/>
    <w:bookmarkEnd w:id="43"/>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243205</wp:posOffset>
            </wp:positionV>
            <wp:extent cx="2708910"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708910" cy="617220"/>
                    </a:xfrm>
                    <a:prstGeom prst="rect">
                      <a:avLst/>
                    </a:prstGeom>
                    <a:noFill/>
                  </pic:spPr>
                </pic:pic>
              </a:graphicData>
            </a:graphic>
          </wp:anchor>
        </w:drawing>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a shareholder of Cumberland Pharmaceuticals Inc. you have the option of voting your shares electronically through the Internet, eliminating the need to return the proxy card. Your electronic vote authorizes the named proxies to vote your shares in the same manner as if you marked, signed, dated and returned the proxy card. Votes submitted electronically over the Internet or by mobile device must be received by 11:59 p.m., Eastern Time, on April 22, 2024.</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40" w:type="dxa"/>
            <w:vAlign w:val="bottom"/>
            <w:tcBorders>
              <w:top w:val="single" w:sz="8" w:color="auto"/>
              <w:left w:val="single" w:sz="8" w:color="auto"/>
              <w:bottom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4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21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 w:type="dxa"/>
            <w:vAlign w:val="bottom"/>
            <w:tcBorders>
              <w:left w:val="single" w:sz="8" w:color="auto"/>
            </w:tcBorders>
          </w:tcPr>
          <w:p>
            <w:pPr>
              <w:spacing w:after="0"/>
              <w:rPr>
                <w:sz w:val="15"/>
                <w:szCs w:val="15"/>
                <w:color w:val="auto"/>
              </w:rPr>
            </w:pPr>
          </w:p>
        </w:tc>
        <w:tc>
          <w:tcPr>
            <w:tcW w:w="24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w w:val="97"/>
              </w:rPr>
              <w:t>Vote Your Proxy on the Internet:</w:t>
            </w:r>
          </w:p>
        </w:tc>
        <w:tc>
          <w:tcPr>
            <w:tcW w:w="4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400" w:type="dxa"/>
            <w:vAlign w:val="bottom"/>
          </w:tcPr>
          <w:p>
            <w:pPr>
              <w:spacing w:after="0"/>
              <w:rPr>
                <w:sz w:val="15"/>
                <w:szCs w:val="15"/>
                <w:color w:val="auto"/>
              </w:rPr>
            </w:pPr>
          </w:p>
        </w:tc>
        <w:tc>
          <w:tcPr>
            <w:tcW w:w="288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on your Mobile:</w:t>
            </w: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540" w:type="dxa"/>
            <w:vAlign w:val="bottom"/>
          </w:tcPr>
          <w:p>
            <w:pPr>
              <w:spacing w:after="0"/>
              <w:rPr>
                <w:sz w:val="15"/>
                <w:szCs w:val="15"/>
                <w:color w:val="auto"/>
              </w:rPr>
            </w:pPr>
          </w:p>
        </w:tc>
        <w:tc>
          <w:tcPr>
            <w:tcW w:w="274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via the mail:</w:t>
            </w:r>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30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Go to www.cstproxyvote.com</w:t>
            </w:r>
          </w:p>
        </w:tc>
        <w:tc>
          <w:tcPr>
            <w:tcW w:w="700" w:type="dxa"/>
            <w:vAlign w:val="bottom"/>
            <w:tcBorders>
              <w:right w:val="single" w:sz="8" w:color="auto"/>
            </w:tcBorders>
            <w:vMerge w:val="continue"/>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right w:val="single" w:sz="8" w:color="auto"/>
            </w:tcBorders>
            <w:gridSpan w:val="3"/>
            <w:vMerge w:val="continue"/>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Have your proxy card available when you</w:t>
            </w:r>
          </w:p>
        </w:tc>
        <w:tc>
          <w:tcPr>
            <w:tcW w:w="7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On your Smartphone/Tablet, open the QR</w:t>
            </w:r>
          </w:p>
        </w:tc>
        <w:tc>
          <w:tcPr>
            <w:tcW w:w="7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Mark, sign, and date your proxy card, then</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access the above website. Follow the</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spacing w:after="0" w:line="181" w:lineRule="exact"/>
              <w:rPr>
                <w:sz w:val="20"/>
                <w:szCs w:val="20"/>
                <w:color w:val="auto"/>
              </w:rPr>
            </w:pPr>
            <w:r>
              <w:rPr>
                <w:rFonts w:ascii="Times New Roman" w:cs="Times New Roman" w:eastAsia="Times New Roman" w:hAnsi="Times New Roman"/>
                <w:sz w:val="18"/>
                <w:szCs w:val="18"/>
                <w:color w:val="auto"/>
              </w:rPr>
              <w:t>Reader and scan the below image. Once the</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detach it, and return it in the postage-paid</w:t>
            </w:r>
          </w:p>
        </w:tc>
        <w:tc>
          <w:tcPr>
            <w:tcW w:w="0" w:type="dxa"/>
            <w:vAlign w:val="bottom"/>
          </w:tcPr>
          <w:p>
            <w:pPr>
              <w:spacing w:after="0"/>
              <w:rPr>
                <w:sz w:val="1"/>
                <w:szCs w:val="1"/>
                <w:color w:val="auto"/>
              </w:rPr>
            </w:pPr>
          </w:p>
        </w:tc>
      </w:tr>
      <w:tr>
        <w:trPr>
          <w:trHeight w:val="176"/>
        </w:trPr>
        <w:tc>
          <w:tcPr>
            <w:tcW w:w="3300" w:type="dxa"/>
            <w:vAlign w:val="bottom"/>
            <w:tcBorders>
              <w:left w:val="single" w:sz="8" w:color="auto"/>
              <w:right w:val="single" w:sz="8" w:color="auto"/>
            </w:tcBorders>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prompts to vote your shares.</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voting site is displayed, enter your Control</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envelope provided.</w:t>
            </w:r>
          </w:p>
        </w:tc>
        <w:tc>
          <w:tcPr>
            <w:tcW w:w="0" w:type="dxa"/>
            <w:vAlign w:val="bottom"/>
          </w:tcPr>
          <w:p>
            <w:pPr>
              <w:spacing w:after="0"/>
              <w:rPr>
                <w:sz w:val="1"/>
                <w:szCs w:val="1"/>
                <w:color w:val="auto"/>
              </w:rPr>
            </w:pPr>
          </w:p>
        </w:tc>
      </w:tr>
      <w:tr>
        <w:trPr>
          <w:trHeight w:val="184"/>
        </w:trPr>
        <w:tc>
          <w:tcPr>
            <w:tcW w:w="440" w:type="dxa"/>
            <w:vAlign w:val="bottom"/>
            <w:tcBorders>
              <w:lef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3280" w:type="dxa"/>
            <w:vAlign w:val="bottom"/>
            <w:tcBorders>
              <w:right w:val="single" w:sz="8" w:color="auto"/>
            </w:tcBorders>
            <w:gridSpan w:val="3"/>
          </w:tcPr>
          <w:p>
            <w:pPr>
              <w:spacing w:after="0" w:line="184" w:lineRule="exact"/>
              <w:rPr>
                <w:sz w:val="20"/>
                <w:szCs w:val="20"/>
                <w:color w:val="auto"/>
              </w:rPr>
            </w:pPr>
            <w:r>
              <w:rPr>
                <w:rFonts w:ascii="Times New Roman" w:cs="Times New Roman" w:eastAsia="Times New Roman" w:hAnsi="Times New Roman"/>
                <w:sz w:val="18"/>
                <w:szCs w:val="18"/>
                <w:color w:val="auto"/>
              </w:rPr>
              <w:t>Number from the proxy card and vote your</w:t>
            </w:r>
          </w:p>
        </w:tc>
        <w:tc>
          <w:tcPr>
            <w:tcW w:w="7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40" w:type="dxa"/>
            <w:vAlign w:val="bottom"/>
            <w:tcBorders>
              <w:left w:val="single" w:sz="8" w:color="auto"/>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PLEASE DO NOT RETURN THE PROXY CARD IF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-157480</wp:posOffset>
            </wp:positionV>
            <wp:extent cx="426021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0215" cy="36004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VOTING ELECTRONICALLY OR BY PHONE</w:t>
      </w:r>
    </w:p>
    <w:p>
      <w:pPr>
        <w:spacing w:after="0" w:line="354" w:lineRule="exact"/>
        <w:rPr>
          <w:sz w:val="20"/>
          <w:szCs w:val="20"/>
          <w:color w:val="auto"/>
        </w:rPr>
      </w:pPr>
    </w:p>
    <w:p>
      <w:pPr>
        <w:jc w:val="center"/>
        <w:ind w:right="20"/>
        <w:spacing w:after="0"/>
        <w:rPr>
          <w:sz w:val="20"/>
          <w:szCs w:val="20"/>
          <w:color w:val="auto"/>
        </w:rPr>
      </w:pPr>
      <w:r>
        <w:rPr>
          <w:rFonts w:ascii="Wingdings" w:cs="Wingdings" w:eastAsia="Wingdings" w:hAnsi="Wingdings"/>
          <w:sz w:val="16"/>
          <w:szCs w:val="16"/>
          <w:b w:val="1"/>
          <w:bCs w:val="1"/>
          <w:color w:val="auto"/>
        </w:rPr>
        <w:t>Ú</w:t>
      </w:r>
      <w:r>
        <w:rPr>
          <w:rFonts w:ascii="Times New Roman" w:cs="Times New Roman" w:eastAsia="Times New Roman" w:hAnsi="Times New Roman"/>
          <w:sz w:val="16"/>
          <w:szCs w:val="16"/>
          <w:b w:val="1"/>
          <w:bCs w:val="1"/>
          <w:color w:val="auto"/>
        </w:rPr>
        <w:t>FOLD AND DETACH HERE AND READ THE REVERSE SIDE</w:t>
      </w:r>
      <w:r>
        <w:rPr>
          <w:rFonts w:ascii="Wingdings" w:cs="Wingdings" w:eastAsia="Wingdings" w:hAnsi="Wingdings"/>
          <w:sz w:val="16"/>
          <w:szCs w:val="16"/>
          <w:b w:val="1"/>
          <w:bCs w:val="1"/>
          <w:color w:val="auto"/>
        </w:rPr>
        <w:t xml:space="preserve"> Ú</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90805</wp:posOffset>
            </wp:positionV>
            <wp:extent cx="702945" cy="282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282575"/>
                    </a:xfrm>
                    <a:prstGeom prst="rect">
                      <a:avLst/>
                    </a:prstGeom>
                    <a:noFill/>
                  </pic:spPr>
                </pic:pic>
              </a:graphicData>
            </a:graphic>
          </wp:anchor>
        </w:drawing>
      </w:r>
    </w:p>
    <w:p>
      <w:pPr>
        <w:spacing w:after="0" w:line="236" w:lineRule="exact"/>
        <w:rPr>
          <w:sz w:val="20"/>
          <w:szCs w:val="20"/>
          <w:color w:val="auto"/>
        </w:rPr>
      </w:pPr>
    </w:p>
    <w:p>
      <w:pPr>
        <w:ind w:left="40" w:right="2400"/>
        <w:spacing w:after="0" w:line="239"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shareholder. If no direction is made, this Proxy will be voted FOR Proposals 1 AND 2.</w:t>
      </w:r>
    </w:p>
    <w:p>
      <w:pPr>
        <w:spacing w:after="0" w:line="4" w:lineRule="exact"/>
        <w:rPr>
          <w:sz w:val="20"/>
          <w:szCs w:val="20"/>
          <w:color w:val="auto"/>
        </w:rPr>
      </w:pPr>
    </w:p>
    <w:p>
      <w:pPr>
        <w:ind w:left="9500"/>
        <w:spacing w:after="0"/>
        <w:tabs>
          <w:tab w:leader="none" w:pos="10000" w:val="left"/>
          <w:tab w:leader="none" w:pos="10640" w:val="left"/>
        </w:tabs>
        <w:rPr>
          <w:sz w:val="20"/>
          <w:szCs w:val="20"/>
          <w:color w:val="auto"/>
        </w:rPr>
      </w:pP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14"/>
          <w:szCs w:val="14"/>
          <w:b w:val="1"/>
          <w:bCs w:val="1"/>
          <w:color w:val="auto"/>
        </w:rPr>
        <w:t>Against</w:t>
        <w:tab/>
        <w:t>Abstain</w:t>
      </w:r>
    </w:p>
    <w:p>
      <w:pPr>
        <w:sectPr>
          <w:pgSz w:w="11900" w:h="16838" w:orient="portrait"/>
          <w:cols w:equalWidth="0" w:num="1">
            <w:col w:w="11260"/>
          </w:cols>
          <w:pgMar w:left="320" w:top="1440" w:right="319" w:bottom="1440" w:gutter="0" w:footer="0" w:header="0"/>
        </w:sectPr>
      </w:pPr>
    </w:p>
    <w:p>
      <w:pPr>
        <w:spacing w:after="0" w:line="102" w:lineRule="exact"/>
        <w:rPr>
          <w:sz w:val="20"/>
          <w:szCs w:val="20"/>
          <w:color w:val="auto"/>
        </w:rPr>
      </w:pPr>
    </w:p>
    <w:p>
      <w:pPr>
        <w:ind w:left="40" w:hanging="1"/>
        <w:spacing w:after="0" w:line="231" w:lineRule="auto"/>
        <w:tabs>
          <w:tab w:leader="none" w:pos="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as directors of the nominees listed below, except to the extent that authority is specifically withheld.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0" w:type="dxa"/>
            <w:vAlign w:val="bottom"/>
          </w:tcPr>
          <w:p>
            <w:pPr>
              <w:spacing w:after="0"/>
              <w:rPr>
                <w:sz w:val="1"/>
                <w:szCs w:val="1"/>
                <w:color w:val="auto"/>
              </w:rPr>
            </w:pPr>
          </w:p>
        </w:tc>
      </w:tr>
      <w:tr>
        <w:trPr>
          <w:trHeight w:val="146"/>
        </w:trPr>
        <w:tc>
          <w:tcPr>
            <w:tcW w:w="7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all</w:t>
            </w:r>
          </w:p>
        </w:tc>
        <w:tc>
          <w:tcPr>
            <w:tcW w:w="112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AUTHORITY </w:t>
            </w:r>
            <w:r>
              <w:rPr>
                <w:rFonts w:ascii="Times New Roman" w:cs="Times New Roman" w:eastAsia="Times New Roman" w:hAnsi="Times New Roman"/>
                <w:sz w:val="14"/>
                <w:szCs w:val="14"/>
                <w:color w:val="auto"/>
              </w:rPr>
              <w:t>to</w:t>
            </w:r>
          </w:p>
        </w:tc>
        <w:tc>
          <w:tcPr>
            <w:tcW w:w="0" w:type="dxa"/>
            <w:vAlign w:val="bottom"/>
          </w:tcPr>
          <w:p>
            <w:pPr>
              <w:spacing w:after="0"/>
              <w:rPr>
                <w:sz w:val="1"/>
                <w:szCs w:val="1"/>
                <w:color w:val="auto"/>
              </w:rPr>
            </w:pPr>
          </w:p>
        </w:tc>
      </w:tr>
      <w:tr>
        <w:trPr>
          <w:trHeight w:val="72"/>
        </w:trPr>
        <w:tc>
          <w:tcPr>
            <w:tcW w:w="760" w:type="dxa"/>
            <w:vAlign w:val="bottom"/>
            <w:vMerge w:val="continue"/>
          </w:tcPr>
          <w:p>
            <w:pPr>
              <w:spacing w:after="0"/>
              <w:rPr>
                <w:sz w:val="6"/>
                <w:szCs w:val="6"/>
                <w:color w:val="auto"/>
              </w:rPr>
            </w:pPr>
          </w:p>
        </w:tc>
        <w:tc>
          <w:tcPr>
            <w:tcW w:w="1120" w:type="dxa"/>
            <w:vAlign w:val="bottom"/>
            <w:vMerge w:val="restart"/>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vote (except as</w:t>
            </w:r>
          </w:p>
        </w:tc>
        <w:tc>
          <w:tcPr>
            <w:tcW w:w="0" w:type="dxa"/>
            <w:vAlign w:val="bottom"/>
          </w:tcPr>
          <w:p>
            <w:pPr>
              <w:spacing w:after="0"/>
              <w:rPr>
                <w:sz w:val="1"/>
                <w:szCs w:val="1"/>
                <w:color w:val="auto"/>
              </w:rPr>
            </w:pPr>
          </w:p>
        </w:tc>
      </w:tr>
      <w:tr>
        <w:trPr>
          <w:trHeight w:val="68"/>
        </w:trPr>
        <w:tc>
          <w:tcPr>
            <w:tcW w:w="760" w:type="dxa"/>
            <w:vAlign w:val="bottom"/>
            <w:vMerge w:val="restart"/>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Nominees</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1120" w:type="dxa"/>
            <w:vAlign w:val="bottom"/>
            <w:vMerge w:val="restart"/>
          </w:tcPr>
          <w:p>
            <w:pPr>
              <w:jc w:val="center"/>
              <w:ind w:left="8"/>
              <w:spacing w:after="0" w:line="145" w:lineRule="exact"/>
              <w:rPr>
                <w:sz w:val="20"/>
                <w:szCs w:val="20"/>
                <w:color w:val="auto"/>
              </w:rPr>
            </w:pPr>
            <w:r>
              <w:rPr>
                <w:rFonts w:ascii="Times New Roman" w:cs="Times New Roman" w:eastAsia="Times New Roman" w:hAnsi="Times New Roman"/>
                <w:sz w:val="14"/>
                <w:szCs w:val="14"/>
                <w:color w:val="auto"/>
              </w:rPr>
              <w:t>marked to the</w:t>
            </w:r>
          </w:p>
        </w:tc>
        <w:tc>
          <w:tcPr>
            <w:tcW w:w="0" w:type="dxa"/>
            <w:vAlign w:val="bottom"/>
          </w:tcPr>
          <w:p>
            <w:pPr>
              <w:spacing w:after="0"/>
              <w:rPr>
                <w:sz w:val="1"/>
                <w:szCs w:val="1"/>
                <w:color w:val="auto"/>
              </w:rPr>
            </w:pPr>
          </w:p>
        </w:tc>
      </w:tr>
      <w:tr>
        <w:trPr>
          <w:trHeight w:val="68"/>
        </w:trPr>
        <w:tc>
          <w:tcPr>
            <w:tcW w:w="760" w:type="dxa"/>
            <w:vAlign w:val="bottom"/>
            <w:vMerge w:val="restart"/>
          </w:tcPr>
          <w:p>
            <w:pPr>
              <w:jc w:val="center"/>
              <w:ind w:right="28"/>
              <w:spacing w:after="0" w:line="139" w:lineRule="exact"/>
              <w:rPr>
                <w:sz w:val="20"/>
                <w:szCs w:val="20"/>
                <w:color w:val="auto"/>
              </w:rPr>
            </w:pPr>
            <w:r>
              <w:rPr>
                <w:rFonts w:ascii="Times New Roman" w:cs="Times New Roman" w:eastAsia="Times New Roman" w:hAnsi="Times New Roman"/>
                <w:sz w:val="14"/>
                <w:szCs w:val="14"/>
                <w:color w:val="auto"/>
              </w:rPr>
              <w:t>listed to the</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60" w:type="dxa"/>
            <w:vAlign w:val="bottom"/>
            <w:vMerge w:val="continue"/>
          </w:tcPr>
          <w:p>
            <w:pPr>
              <w:spacing w:after="0"/>
              <w:rPr>
                <w:sz w:val="6"/>
                <w:szCs w:val="6"/>
                <w:color w:val="auto"/>
              </w:rPr>
            </w:pPr>
          </w:p>
        </w:tc>
        <w:tc>
          <w:tcPr>
            <w:tcW w:w="1120" w:type="dxa"/>
            <w:vAlign w:val="bottom"/>
            <w:vMerge w:val="restart"/>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contrary for all</w:t>
            </w:r>
          </w:p>
        </w:tc>
        <w:tc>
          <w:tcPr>
            <w:tcW w:w="0" w:type="dxa"/>
            <w:vAlign w:val="bottom"/>
          </w:tcPr>
          <w:p>
            <w:pPr>
              <w:spacing w:after="0"/>
              <w:rPr>
                <w:sz w:val="1"/>
                <w:szCs w:val="1"/>
                <w:color w:val="auto"/>
              </w:rPr>
            </w:pPr>
          </w:p>
        </w:tc>
      </w:tr>
      <w:tr>
        <w:trPr>
          <w:trHeight w:val="68"/>
        </w:trPr>
        <w:tc>
          <w:tcPr>
            <w:tcW w:w="7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w w:val="96"/>
              </w:rPr>
              <w:t>left</w:t>
            </w: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760" w:type="dxa"/>
            <w:vAlign w:val="bottom"/>
            <w:vMerge w:val="continue"/>
          </w:tcPr>
          <w:p>
            <w:pPr>
              <w:spacing w:after="0"/>
              <w:rPr>
                <w:sz w:val="10"/>
                <w:szCs w:val="10"/>
                <w:color w:val="auto"/>
              </w:rPr>
            </w:pPr>
          </w:p>
        </w:tc>
        <w:tc>
          <w:tcPr>
            <w:tcW w:w="1120" w:type="dxa"/>
            <w:vAlign w:val="bottom"/>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nominees listed to</w:t>
            </w: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60" w:type="dxa"/>
            <w:vAlign w:val="bottom"/>
          </w:tcPr>
          <w:p>
            <w:pPr>
              <w:spacing w:after="0"/>
              <w:rPr>
                <w:sz w:val="16"/>
                <w:szCs w:val="16"/>
                <w:color w:val="auto"/>
              </w:rPr>
            </w:pPr>
          </w:p>
        </w:tc>
        <w:tc>
          <w:tcPr>
            <w:tcW w:w="11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the left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7" w:hanging="7"/>
        <w:spacing w:after="0" w:line="224" w:lineRule="auto"/>
        <w:tabs>
          <w:tab w:leader="none" w:pos="1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Carr, Riggs &amp; Ingram, LLC as independent registered accounting firm of the Company for fiscal year ending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Wingdings" w:cs="Wingdings" w:eastAsia="Wingdings" w:hAnsi="Wingdings"/>
          <w:sz w:val="34"/>
          <w:szCs w:val="34"/>
          <w:b w:val="1"/>
          <w:bCs w:val="1"/>
          <w:color w:val="auto"/>
          <w:highlight w:val="black"/>
        </w:rPr>
        <w:t>o o o</w:t>
      </w:r>
    </w:p>
    <w:p>
      <w:pPr>
        <w:spacing w:after="0" w:line="495" w:lineRule="exact"/>
        <w:rPr>
          <w:sz w:val="20"/>
          <w:szCs w:val="20"/>
          <w:color w:val="auto"/>
        </w:rPr>
      </w:pPr>
    </w:p>
    <w:p>
      <w:pPr>
        <w:sectPr>
          <w:pgSz w:w="11900" w:h="16838" w:orient="portrait"/>
          <w:cols w:equalWidth="0" w:num="4">
            <w:col w:w="3580" w:space="260"/>
            <w:col w:w="1880" w:space="273"/>
            <w:col w:w="3267" w:space="200"/>
            <w:col w:w="1800"/>
          </w:cols>
          <w:pgMar w:left="320" w:top="1440" w:right="31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NOMINEES: (1) Martin S. Brown, Jr. (2) James R.</w:t>
            </w:r>
          </w:p>
        </w:tc>
        <w:tc>
          <w:tcPr>
            <w:tcW w:w="800" w:type="dxa"/>
            <w:vAlign w:val="bottom"/>
            <w:vMerge w:val="restart"/>
          </w:tcPr>
          <w:p>
            <w:pPr>
              <w:ind w:left="140"/>
              <w:spacing w:after="0"/>
              <w:rPr>
                <w:sz w:val="20"/>
                <w:szCs w:val="20"/>
                <w:color w:val="auto"/>
              </w:rPr>
            </w:pPr>
            <w:r>
              <w:rPr>
                <w:rFonts w:ascii="Wingdings" w:cs="Wingdings" w:eastAsia="Wingdings" w:hAnsi="Wingdings"/>
                <w:sz w:val="36"/>
                <w:szCs w:val="36"/>
                <w:b w:val="1"/>
                <w:bCs w:val="1"/>
                <w:color w:val="auto"/>
                <w:highlight w:val="black"/>
              </w:rPr>
              <w:t>o</w:t>
            </w:r>
          </w:p>
        </w:tc>
        <w:tc>
          <w:tcPr>
            <w:tcW w:w="680" w:type="dxa"/>
            <w:vAlign w:val="bottom"/>
            <w:vMerge w:val="restart"/>
          </w:tcPr>
          <w:p>
            <w:pPr>
              <w:ind w:left="360"/>
              <w:spacing w:after="0"/>
              <w:rPr>
                <w:sz w:val="20"/>
                <w:szCs w:val="20"/>
                <w:color w:val="auto"/>
              </w:rPr>
            </w:pPr>
            <w:r>
              <w:rPr>
                <w:rFonts w:ascii="Wingdings" w:cs="Wingdings" w:eastAsia="Wingdings" w:hAnsi="Wingdings"/>
                <w:sz w:val="36"/>
                <w:szCs w:val="36"/>
                <w:b w:val="1"/>
                <w:bCs w:val="1"/>
                <w:color w:val="auto"/>
                <w:highlight w:val="black"/>
                <w:w w:val="93"/>
              </w:rPr>
              <w:t>o</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Jones</w:t>
            </w:r>
          </w:p>
        </w:tc>
        <w:tc>
          <w:tcPr>
            <w:tcW w:w="8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(INSTRUCTION: To withhold authority to</w:t>
      </w:r>
    </w:p>
    <w:p>
      <w:pPr>
        <w:ind w:left="40"/>
        <w:spacing w:after="0" w:line="219" w:lineRule="auto"/>
        <w:rPr>
          <w:sz w:val="20"/>
          <w:szCs w:val="20"/>
          <w:color w:val="auto"/>
        </w:rPr>
      </w:pPr>
      <w:r>
        <w:rPr>
          <w:rFonts w:ascii="Times New Roman" w:cs="Times New Roman" w:eastAsia="Times New Roman" w:hAnsi="Times New Roman"/>
          <w:sz w:val="18"/>
          <w:szCs w:val="18"/>
          <w:b w:val="1"/>
          <w:bCs w:val="1"/>
          <w:color w:val="auto"/>
        </w:rPr>
        <w:t>vote for any individual nominee, write that</w:t>
      </w:r>
    </w:p>
    <w:p>
      <w:pPr>
        <w:ind w:left="40"/>
        <w:spacing w:after="0" w:line="203" w:lineRule="auto"/>
        <w:rPr>
          <w:sz w:val="20"/>
          <w:szCs w:val="20"/>
          <w:color w:val="auto"/>
        </w:rPr>
      </w:pPr>
      <w:r>
        <w:rPr>
          <w:rFonts w:ascii="Times New Roman" w:cs="Times New Roman" w:eastAsia="Times New Roman" w:hAnsi="Times New Roman"/>
          <w:sz w:val="18"/>
          <w:szCs w:val="18"/>
          <w:b w:val="1"/>
          <w:bCs w:val="1"/>
          <w:color w:val="auto"/>
        </w:rPr>
        <w:t>nominee's name on the space provided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99060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their discretion, the Proxies are authorized to vote upon such other business as may properly come before the meeting.</w:t>
      </w:r>
    </w:p>
    <w:p>
      <w:pPr>
        <w:spacing w:after="0" w:line="27" w:lineRule="exact"/>
        <w:rPr>
          <w:sz w:val="20"/>
          <w:szCs w:val="20"/>
          <w:color w:val="auto"/>
        </w:rPr>
      </w:pPr>
    </w:p>
    <w:p>
      <w:pPr>
        <w:ind w:left="40" w:right="100"/>
        <w:spacing w:after="0" w:line="232" w:lineRule="auto"/>
        <w:rPr>
          <w:sz w:val="20"/>
          <w:szCs w:val="20"/>
          <w:color w:val="auto"/>
        </w:rPr>
      </w:pPr>
      <w:r>
        <w:rPr>
          <w:rFonts w:ascii="Times New Roman" w:cs="Times New Roman" w:eastAsia="Times New Roman" w:hAnsi="Times New Roman"/>
          <w:sz w:val="16"/>
          <w:szCs w:val="16"/>
          <w:b w:val="1"/>
          <w:bCs w:val="1"/>
          <w:color w:val="auto"/>
        </w:rPr>
        <w:t>I understand that I may revoke this Proxy only by: (i) written instructions to that effect, signed and dated by me, which must be actually received by the Corporate Secretary prior to the commencement of the Annual Meeting; (ii) properly submitting to the Company a duly executed proxy bearing a later date; OR (iii) appearing at the Annual Meeting and voting in person.</w:t>
      </w:r>
    </w:p>
    <w:p>
      <w:pPr>
        <w:spacing w:after="0" w:line="110"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22"/>
          <w:szCs w:val="22"/>
          <w:b w:val="1"/>
          <w:bCs w:val="1"/>
          <w:color w:val="auto"/>
        </w:rPr>
        <w:t>COMPANY ID:</w:t>
      </w:r>
    </w:p>
    <w:p>
      <w:pPr>
        <w:spacing w:after="0" w:line="33"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22"/>
          <w:szCs w:val="22"/>
          <w:b w:val="1"/>
          <w:bCs w:val="1"/>
          <w:color w:val="auto"/>
        </w:rPr>
        <w:t>PROXY NUMBER:</w:t>
      </w:r>
    </w:p>
    <w:p>
      <w:pPr>
        <w:spacing w:after="0" w:line="1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22"/>
          <w:szCs w:val="22"/>
          <w:b w:val="1"/>
          <w:bCs w:val="1"/>
          <w:color w:val="auto"/>
        </w:rPr>
        <w:t>ACCOUNT NUMBER:</w:t>
      </w:r>
    </w:p>
    <w:p>
      <w:pPr>
        <w:spacing w:after="0" w:line="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Signature _________________________________ Signature if Held Jointly____________________________________ Date____________ , 2024.</w:t>
      </w:r>
    </w:p>
    <w:p>
      <w:pPr>
        <w:spacing w:after="0" w:line="28" w:lineRule="exact"/>
        <w:rPr>
          <w:sz w:val="20"/>
          <w:szCs w:val="20"/>
          <w:color w:val="auto"/>
        </w:rPr>
      </w:pPr>
    </w:p>
    <w:p>
      <w:pPr>
        <w:ind w:left="80" w:right="1280"/>
        <w:spacing w:after="0" w:line="201" w:lineRule="auto"/>
        <w:rPr>
          <w:sz w:val="20"/>
          <w:szCs w:val="20"/>
          <w:color w:val="auto"/>
        </w:rPr>
      </w:pPr>
      <w:r>
        <w:rPr>
          <w:rFonts w:ascii="Times New Roman" w:cs="Times New Roman" w:eastAsia="Times New Roman" w:hAnsi="Times New Roman"/>
          <w:sz w:val="11"/>
          <w:szCs w:val="11"/>
          <w:color w:val="auto"/>
        </w:rPr>
        <w:t>Please sign exactly as your name appears on your stock certificate. When shares are held by joint tenants, both should sign. When signing as attorney, executor, administrator, trustee or guardian, please give full title as such. If the shares are owned by a corporation, sign in the full corporate name by the President or other authorized officer. If the shares are owned by a Partnership, sign in the name of the Partnership name by an authorized person.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60"/>
          </w:cols>
          <w:pgMar w:left="320" w:top="1440" w:right="319" w:bottom="144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line="287" w:lineRule="auto"/>
        <w:rPr>
          <w:sz w:val="20"/>
          <w:szCs w:val="20"/>
          <w:color w:val="auto"/>
        </w:rPr>
      </w:pPr>
      <w:r>
        <w:rPr>
          <w:rFonts w:ascii="Times New Roman" w:cs="Times New Roman" w:eastAsia="Times New Roman" w:hAnsi="Times New Roman"/>
          <w:sz w:val="29"/>
          <w:szCs w:val="29"/>
          <w:b w:val="1"/>
          <w:bCs w:val="1"/>
          <w:color w:val="auto"/>
        </w:rPr>
        <w:t>Important Notice Regarding the Availability of Proxy Materials for the Annual Meeting of Shareholders to be held April 23, 2024</w:t>
      </w:r>
    </w:p>
    <w:p>
      <w:pPr>
        <w:spacing w:after="0" w:line="147" w:lineRule="exact"/>
        <w:rPr>
          <w:sz w:val="20"/>
          <w:szCs w:val="20"/>
          <w:color w:val="auto"/>
        </w:rPr>
      </w:pPr>
    </w:p>
    <w:p>
      <w:pPr>
        <w:jc w:val="center"/>
        <w:ind w:left="420" w:right="180"/>
        <w:spacing w:after="0" w:line="261" w:lineRule="auto"/>
        <w:rPr>
          <w:sz w:val="20"/>
          <w:szCs w:val="20"/>
          <w:color w:val="auto"/>
        </w:rPr>
      </w:pPr>
      <w:r>
        <w:rPr>
          <w:rFonts w:ascii="Times New Roman" w:cs="Times New Roman" w:eastAsia="Times New Roman" w:hAnsi="Times New Roman"/>
          <w:sz w:val="29"/>
          <w:szCs w:val="29"/>
          <w:b w:val="1"/>
          <w:bCs w:val="1"/>
          <w:color w:val="auto"/>
        </w:rPr>
        <w:t>The Notice, Proxy Statement, and our Annual Report on Form 10-K for the year ended December 31, 2023 are available at:</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http://www.cstproxy.com/cumberlandpharma/2024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FOLD AND DETACH HERE AND READ THE REVERSE SIDE</w:t>
      </w:r>
      <w:r>
        <w:rPr>
          <w:rFonts w:ascii="Times New Roman" w:cs="Times New Roman" w:eastAsia="Times New Roman" w:hAnsi="Times New Roman"/>
          <w:sz w:val="14"/>
          <w:szCs w:val="14"/>
          <w:color w:val="auto"/>
        </w:rPr>
        <w:t xml:space="preserve"> ▼</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 OF</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CUMBERLAND PHARMACEUTICALS INC.</w:t>
      </w:r>
    </w:p>
    <w:p>
      <w:pPr>
        <w:spacing w:after="0" w:line="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To Be Held April 23, 2024</w:t>
      </w:r>
    </w:p>
    <w:p>
      <w:pPr>
        <w:spacing w:after="0" w:line="260" w:lineRule="exact"/>
        <w:rPr>
          <w:sz w:val="20"/>
          <w:szCs w:val="20"/>
          <w:color w:val="auto"/>
        </w:rPr>
      </w:pPr>
    </w:p>
    <w:p>
      <w:pPr>
        <w:jc w:val="both"/>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undersigned hereby appoints A.J. Kazimi and Kenneth J. Krogulski, or either of them, as proxies, with full power of substitution, and hereby authorizes each of them to represent and vote, as designated on the reverse side, all of the shares of Common Stock of Cumberland Pharmaceuticals Inc., held of record by the undersigned on March 1, 2024 at the Annual Meeting of Shareholders to be held at the Cumberland Pharmaceuticals Inc., 1600 West End Avenue, Suite 1300, Nashville, Tennessee 37203 on Tuesday, April 23, 2024, at 9:30 a.m. Central Time, or any adjournment(s) or postponement(s) thereof, with all powers which the undersigned would possess if personally present, upon and in respect of the following matters and in accordance with the instructions specified on the reverse side.</w:t>
      </w:r>
    </w:p>
    <w:p>
      <w:pPr>
        <w:spacing w:after="0" w:line="214" w:lineRule="exact"/>
        <w:rPr>
          <w:sz w:val="20"/>
          <w:szCs w:val="20"/>
          <w:color w:val="auto"/>
        </w:rPr>
      </w:pPr>
    </w:p>
    <w:p>
      <w:pPr>
        <w:jc w:val="both"/>
        <w:ind w:right="120" w:firstLine="405"/>
        <w:spacing w:after="0" w:line="258"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SHAREHOLDER. IF NO DIRECTIONS ARE GIVEN, THIS PROXY WILL BE VOTED FOR ALL OF THE DIRECTOR NOMINEES NAMED IN PROPOSAL 1 ON THE REVERSE SIDE AS WELL AS PROPOSAL 2. THE PROXIES NAMED ABOVE ARE HEREBY AUTHORIZED TO VOTE IN THEIR DISCRETION UPON SUCH OTHER BUSINESS AS MAY PROPERLY COME BEFORE THE MEETING AND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(Continued, and to be marked, dated and signed, on the other side)</w:t>
      </w: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43</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o"/>
      <w:numFmt w:val="bullet"/>
      <w:start w:val="1"/>
    </w:lvl>
    <w:lvl w:ilvl="1">
      <w:lvlJc w:val="left"/>
      <w:lvlText w:val="(%2)"/>
      <w:numFmt w:val="decimal"/>
      <w:start w:val="1"/>
    </w:lvl>
  </w:abstractNum>
  <w:abstractNum w:abstractNumId="3">
    <w:nsid w:val="431BD7B7"/>
    <w:multiLevelType w:val="hybridMultilevel"/>
    <w:lvl w:ilvl="0">
      <w:lvlJc w:val="left"/>
      <w:lvlText w:val="o"/>
      <w:numFmt w:val="bullet"/>
      <w:start w:val="1"/>
    </w:lvl>
  </w:abstractNum>
  <w:abstractNum w:abstractNumId="4">
    <w:nsid w:val="3F2DBA31"/>
    <w:multiLevelType w:val="hybridMultilevel"/>
    <w:lvl w:ilvl="0">
      <w:lvlJc w:val="left"/>
      <w:lvlText w:val="(%1)"/>
      <w:numFmt w:val="decimal"/>
    </w:lvl>
    <w:lvl w:ilvl="1">
      <w:lvlJc w:val="left"/>
      <w:lvlText w:val="o"/>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3"/>
    </w:lvl>
  </w:abstractNum>
  <w:abstractNum w:abstractNumId="10">
    <w:nsid w:val="333AB105"/>
    <w:multiLevelType w:val="hybridMultilevel"/>
    <w:lvl w:ilvl="0">
      <w:lvlJc w:val="left"/>
      <w:lvlText w:val="(%1)"/>
      <w:numFmt w:val="decimal"/>
      <w:start w:val="10"/>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lvl w:ilvl="1">
      <w:lvlJc w:val="left"/>
      <w:lvlText w:val="•"/>
      <w:numFmt w:val="bullet"/>
      <w:start w:val="1"/>
    </w:lvl>
  </w:abstractNum>
  <w:abstractNum w:abstractNumId="24">
    <w:nsid w:val="836C40E"/>
    <w:multiLevelType w:val="hybridMultilevel"/>
    <w:lvl w:ilvl="0">
      <w:lvlJc w:val="left"/>
      <w:lvlText w:val="(%1)"/>
      <w:numFmt w:val="decimal"/>
      <w:start w:val="2"/>
    </w:lvl>
    <w:lvl w:ilvl="1">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2024-03-15T02:56:24Z</dcterms:created>
  <dcterms:modified xsi:type="dcterms:W3CDTF">2024-03-15T02:56:24Z</dcterms:modified>
</cp:coreProperties>
</file>