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5 )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Cumberland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230770109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230770109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Dimensional Fund Advisors LP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30-0447847</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 [X]</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Delaware Limited Partnership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729,087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781,891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781,891 ** see Note 1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5.2%</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340" w:hanging="427"/>
        <w:spacing w:after="0"/>
        <w:tabs>
          <w:tab w:leader="none" w:pos="13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340"/>
        <w:spacing w:after="0"/>
        <w:rPr>
          <w:rFonts w:ascii="Arial" w:cs="Arial" w:eastAsia="Arial" w:hAnsi="Arial"/>
          <w:sz w:val="22"/>
          <w:szCs w:val="22"/>
          <w:b w:val="1"/>
          <w:bCs w:val="1"/>
          <w:color w:val="auto"/>
        </w:rPr>
      </w:pPr>
      <w:r>
        <w:rPr>
          <w:rFonts w:ascii="Arial" w:cs="Arial" w:eastAsia="Arial" w:hAnsi="Arial"/>
          <w:sz w:val="22"/>
          <w:szCs w:val="22"/>
          <w:color w:val="auto"/>
        </w:rPr>
        <w:t>Cumberland Pharmaceuticals Inc</w:t>
      </w:r>
    </w:p>
    <w:p>
      <w:pPr>
        <w:spacing w:after="0" w:line="101" w:lineRule="exact"/>
        <w:rPr>
          <w:rFonts w:ascii="Arial" w:cs="Arial" w:eastAsia="Arial" w:hAnsi="Arial"/>
          <w:sz w:val="22"/>
          <w:szCs w:val="22"/>
          <w:b w:val="1"/>
          <w:bCs w:val="1"/>
          <w:color w:val="auto"/>
        </w:rPr>
      </w:pPr>
    </w:p>
    <w:p>
      <w:pPr>
        <w:ind w:left="1340" w:hanging="427"/>
        <w:spacing w:after="0"/>
        <w:tabs>
          <w:tab w:leader="none" w:pos="13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w:t>
      </w:r>
    </w:p>
    <w:p>
      <w:pPr>
        <w:spacing w:after="0" w:line="14" w:lineRule="exact"/>
        <w:rPr>
          <w:rFonts w:ascii="Arial" w:cs="Arial" w:eastAsia="Arial" w:hAnsi="Arial"/>
          <w:sz w:val="22"/>
          <w:szCs w:val="22"/>
          <w:b w:val="1"/>
          <w:bCs w:val="1"/>
          <w:color w:val="auto"/>
        </w:rPr>
      </w:pPr>
    </w:p>
    <w:p>
      <w:pPr>
        <w:ind w:left="1340"/>
        <w:spacing w:after="0"/>
        <w:rPr>
          <w:rFonts w:ascii="Arial" w:cs="Arial" w:eastAsia="Arial" w:hAnsi="Arial"/>
          <w:sz w:val="22"/>
          <w:szCs w:val="22"/>
          <w:b w:val="1"/>
          <w:bCs w:val="1"/>
          <w:color w:val="auto"/>
        </w:rPr>
      </w:pPr>
      <w:r>
        <w:rPr>
          <w:rFonts w:ascii="Arial" w:cs="Arial" w:eastAsia="Arial" w:hAnsi="Arial"/>
          <w:sz w:val="22"/>
          <w:szCs w:val="22"/>
          <w:color w:val="auto"/>
        </w:rPr>
        <w:t>2525 West End Avenue, Suite 950, Nashville, TN 37203</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340" w:right="6960" w:hanging="427"/>
        <w:spacing w:after="0" w:line="334" w:lineRule="auto"/>
        <w:tabs>
          <w:tab w:leader="none" w:pos="13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Dimensional Fund Advisors LP</w:t>
      </w:r>
    </w:p>
    <w:p>
      <w:pPr>
        <w:spacing w:after="0" w:line="12" w:lineRule="exact"/>
        <w:rPr>
          <w:rFonts w:ascii="Arial" w:cs="Arial" w:eastAsia="Arial" w:hAnsi="Arial"/>
          <w:sz w:val="19"/>
          <w:szCs w:val="19"/>
          <w:b w:val="1"/>
          <w:bCs w:val="1"/>
          <w:color w:val="auto"/>
        </w:rPr>
      </w:pPr>
    </w:p>
    <w:p>
      <w:pPr>
        <w:ind w:left="1340" w:right="4300" w:hanging="427"/>
        <w:spacing w:after="0" w:line="334" w:lineRule="auto"/>
        <w:tabs>
          <w:tab w:leader="none" w:pos="13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6300 Bee Cave Road, Building One, Austin, TX 78746</w:t>
      </w:r>
    </w:p>
    <w:p>
      <w:pPr>
        <w:spacing w:after="0" w:line="12" w:lineRule="exact"/>
        <w:rPr>
          <w:rFonts w:ascii="Arial" w:cs="Arial" w:eastAsia="Arial" w:hAnsi="Arial"/>
          <w:sz w:val="19"/>
          <w:szCs w:val="19"/>
          <w:b w:val="1"/>
          <w:bCs w:val="1"/>
          <w:color w:val="auto"/>
        </w:rPr>
      </w:pPr>
    </w:p>
    <w:p>
      <w:pPr>
        <w:ind w:left="1340" w:hanging="427"/>
        <w:spacing w:after="0"/>
        <w:tabs>
          <w:tab w:leader="none" w:pos="134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340"/>
        <w:spacing w:after="0"/>
        <w:rPr>
          <w:rFonts w:ascii="Arial" w:cs="Arial" w:eastAsia="Arial" w:hAnsi="Arial"/>
          <w:sz w:val="22"/>
          <w:szCs w:val="22"/>
          <w:b w:val="1"/>
          <w:bCs w:val="1"/>
          <w:color w:val="auto"/>
        </w:rPr>
      </w:pPr>
      <w:r>
        <w:rPr>
          <w:rFonts w:ascii="Arial" w:cs="Arial" w:eastAsia="Arial" w:hAnsi="Arial"/>
          <w:sz w:val="22"/>
          <w:szCs w:val="22"/>
          <w:color w:val="auto"/>
        </w:rPr>
        <w:t>Delaware Limited Partnership</w:t>
      </w:r>
    </w:p>
    <w:p>
      <w:pPr>
        <w:spacing w:after="0" w:line="101" w:lineRule="exact"/>
        <w:rPr>
          <w:rFonts w:ascii="Arial" w:cs="Arial" w:eastAsia="Arial" w:hAnsi="Arial"/>
          <w:sz w:val="22"/>
          <w:szCs w:val="22"/>
          <w:b w:val="1"/>
          <w:bCs w:val="1"/>
          <w:color w:val="auto"/>
        </w:rPr>
      </w:pPr>
    </w:p>
    <w:p>
      <w:pPr>
        <w:ind w:left="1340" w:right="7320" w:hanging="427"/>
        <w:spacing w:after="0" w:line="334" w:lineRule="auto"/>
        <w:tabs>
          <w:tab w:leader="none" w:pos="13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340" w:right="8240" w:hanging="427"/>
        <w:spacing w:after="0" w:line="334" w:lineRule="auto"/>
        <w:tabs>
          <w:tab w:leader="none" w:pos="13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230770109</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pacing w:after="0" w:line="131" w:lineRule="exact"/>
        <w:rPr>
          <w:sz w:val="20"/>
          <w:szCs w:val="20"/>
          <w:color w:val="auto"/>
        </w:rPr>
      </w:pPr>
    </w:p>
    <w:p>
      <w:pPr>
        <w:ind w:left="920"/>
        <w:spacing w:after="0"/>
        <w:tabs>
          <w:tab w:leader="none" w:pos="1320" w:val="left"/>
          <w:tab w:leader="none" w:pos="1800" w:val="left"/>
        </w:tabs>
        <w:rPr>
          <w:sz w:val="20"/>
          <w:szCs w:val="20"/>
          <w:color w:val="auto"/>
        </w:rPr>
      </w:pPr>
      <w:r>
        <w:rPr>
          <w:rFonts w:ascii="Arial" w:cs="Arial" w:eastAsia="Arial" w:hAnsi="Arial"/>
          <w:sz w:val="22"/>
          <w:szCs w:val="22"/>
          <w:color w:val="auto"/>
        </w:rPr>
        <w:t>(a)</w:t>
        <w:tab/>
        <w:t>[ ]</w:t>
      </w:r>
      <w:r>
        <w:rPr>
          <w:sz w:val="20"/>
          <w:szCs w:val="20"/>
          <w:color w:val="auto"/>
        </w:rPr>
        <w:tab/>
      </w:r>
      <w:r>
        <w:rPr>
          <w:rFonts w:ascii="Arial" w:cs="Arial" w:eastAsia="Arial" w:hAnsi="Arial"/>
          <w:sz w:val="19"/>
          <w:szCs w:val="19"/>
          <w:color w:val="auto"/>
        </w:rPr>
        <w:t>Broker or dealer registered under Section 15 of the Act (15 U.S.C. 78o).</w:t>
      </w:r>
    </w:p>
    <w:p>
      <w:pPr>
        <w:sectPr>
          <w:pgSz w:w="11900" w:h="16838" w:orient="portrait"/>
          <w:cols w:equalWidth="0" w:num="1">
            <w:col w:w="11040"/>
          </w:cols>
          <w:pgMar w:left="400" w:top="423" w:right="459" w:bottom="0" w:gutter="0" w:footer="0" w:header="0"/>
        </w:sectPr>
      </w:pPr>
    </w:p>
    <w:p>
      <w:pPr>
        <w:spacing w:after="0" w:line="125" w:lineRule="exact"/>
        <w:rPr>
          <w:sz w:val="20"/>
          <w:szCs w:val="20"/>
          <w:color w:val="auto"/>
        </w:rPr>
      </w:pPr>
    </w:p>
    <w:p>
      <w:pPr>
        <w:ind w:left="1340" w:hanging="427"/>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340" w:hanging="427"/>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40" w:hanging="427"/>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40" w:hanging="427"/>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[X]</w:t>
      </w:r>
    </w:p>
    <w:p>
      <w:pPr>
        <w:spacing w:after="0" w:line="125" w:lineRule="exact"/>
        <w:rPr>
          <w:rFonts w:ascii="Arial" w:cs="Arial" w:eastAsia="Arial" w:hAnsi="Arial"/>
          <w:sz w:val="22"/>
          <w:szCs w:val="22"/>
          <w:color w:val="auto"/>
        </w:rPr>
      </w:pPr>
    </w:p>
    <w:p>
      <w:pPr>
        <w:ind w:left="1340" w:hanging="427"/>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340" w:hanging="427"/>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340" w:hanging="427"/>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40" w:hanging="427"/>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40" w:hanging="427"/>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Investment Company registered under Section 8 of the Investment Company Act of 1940 (15 U.S.C. 80a-8).</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106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spacing w:after="0"/>
        <w:rPr>
          <w:sz w:val="20"/>
          <w:szCs w:val="20"/>
          <w:color w:val="auto"/>
        </w:rPr>
      </w:pPr>
      <w:r>
        <w:rPr>
          <w:rFonts w:ascii="Arial" w:cs="Arial" w:eastAsia="Arial" w:hAnsi="Arial"/>
          <w:sz w:val="19"/>
          <w:szCs w:val="19"/>
          <w:color w:val="auto"/>
        </w:rPr>
        <w:t>A savings association as defined in Section 3(b) of the Federal Deposit Insurance Act (12 U.S.C. 1813);</w:t>
      </w:r>
    </w:p>
    <w:p>
      <w:pPr>
        <w:spacing w:after="0" w:line="16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119" w:lineRule="exact"/>
        <w:rPr>
          <w:sz w:val="20"/>
          <w:szCs w:val="20"/>
          <w:color w:val="auto"/>
        </w:rPr>
      </w:pPr>
    </w:p>
    <w:p>
      <w:pPr>
        <w:sectPr>
          <w:pgSz w:w="11900" w:h="16838" w:orient="portrait"/>
          <w:cols w:equalWidth="0" w:num="2">
            <w:col w:w="1640" w:space="180"/>
            <w:col w:w="9220"/>
          </w:cols>
          <w:pgMar w:left="400" w:top="423" w:right="459" w:bottom="0" w:gutter="0" w:footer="0" w:header="0"/>
          <w:type w:val="continuous"/>
        </w:sect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ind w:right="68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40"/>
          </w:cols>
          <w:pgMar w:left="400" w:top="423" w:right="459" w:bottom="0" w:gutter="0" w:footer="0" w:header="0"/>
          <w:type w:val="continuous"/>
        </w:sectPr>
      </w:pPr>
    </w:p>
    <w:p>
      <w:pPr>
        <w:spacing w:after="0" w:line="94" w:lineRule="exact"/>
        <w:rPr>
          <w:sz w:val="20"/>
          <w:szCs w:val="20"/>
          <w:color w:val="auto"/>
        </w:rPr>
      </w:pPr>
    </w:p>
    <w:p>
      <w:pPr>
        <w:ind w:left="1340" w:hanging="427"/>
        <w:spacing w:after="0"/>
        <w:tabs>
          <w:tab w:leader="none" w:pos="1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340"/>
        <w:spacing w:after="0"/>
        <w:rPr>
          <w:rFonts w:ascii="Arial" w:cs="Arial" w:eastAsia="Arial" w:hAnsi="Arial"/>
          <w:sz w:val="22"/>
          <w:szCs w:val="22"/>
          <w:color w:val="auto"/>
        </w:rPr>
      </w:pPr>
      <w:r>
        <w:rPr>
          <w:rFonts w:ascii="Arial" w:cs="Arial" w:eastAsia="Arial" w:hAnsi="Arial"/>
          <w:sz w:val="22"/>
          <w:szCs w:val="22"/>
          <w:color w:val="auto"/>
        </w:rPr>
        <w:t>781,891 ** see Note 1 **</w:t>
      </w:r>
    </w:p>
    <w:p>
      <w:pPr>
        <w:spacing w:after="0" w:line="125" w:lineRule="exact"/>
        <w:rPr>
          <w:rFonts w:ascii="Arial" w:cs="Arial" w:eastAsia="Arial" w:hAnsi="Arial"/>
          <w:sz w:val="22"/>
          <w:szCs w:val="22"/>
          <w:color w:val="auto"/>
        </w:rPr>
      </w:pPr>
    </w:p>
    <w:p>
      <w:pPr>
        <w:ind w:left="1340" w:hanging="427"/>
        <w:spacing w:after="0"/>
        <w:tabs>
          <w:tab w:leader="none" w:pos="1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340"/>
        <w:spacing w:after="0"/>
        <w:rPr>
          <w:rFonts w:ascii="Arial" w:cs="Arial" w:eastAsia="Arial" w:hAnsi="Arial"/>
          <w:sz w:val="22"/>
          <w:szCs w:val="22"/>
          <w:color w:val="auto"/>
        </w:rPr>
      </w:pPr>
      <w:r>
        <w:rPr>
          <w:rFonts w:ascii="Arial" w:cs="Arial" w:eastAsia="Arial" w:hAnsi="Arial"/>
          <w:sz w:val="22"/>
          <w:szCs w:val="22"/>
          <w:color w:val="auto"/>
        </w:rPr>
        <w:t>5.2%</w:t>
      </w:r>
    </w:p>
    <w:p>
      <w:pPr>
        <w:spacing w:after="0" w:line="125" w:lineRule="exact"/>
        <w:rPr>
          <w:rFonts w:ascii="Arial" w:cs="Arial" w:eastAsia="Arial" w:hAnsi="Arial"/>
          <w:sz w:val="22"/>
          <w:szCs w:val="22"/>
          <w:color w:val="auto"/>
        </w:rPr>
      </w:pPr>
    </w:p>
    <w:p>
      <w:pPr>
        <w:ind w:left="1340" w:hanging="427"/>
        <w:spacing w:after="0"/>
        <w:tabs>
          <w:tab w:leader="none" w:pos="1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1820" w:hanging="488"/>
        <w:spacing w:after="0"/>
        <w:tabs>
          <w:tab w:leader="none" w:pos="1820" w:val="left"/>
        </w:tabs>
        <w:numPr>
          <w:ilvl w:val="1"/>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1820" w:hanging="488"/>
        <w:spacing w:after="0"/>
        <w:tabs>
          <w:tab w:leader="none" w:pos="182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79" w:lineRule="exact"/>
        <w:rPr>
          <w:rFonts w:ascii="Arial" w:cs="Arial" w:eastAsia="Arial" w:hAnsi="Arial"/>
          <w:sz w:val="22"/>
          <w:szCs w:val="22"/>
          <w:color w:val="auto"/>
        </w:rPr>
      </w:pPr>
    </w:p>
    <w:p>
      <w:pPr>
        <w:ind w:left="1820" w:hanging="488"/>
        <w:spacing w:after="0"/>
        <w:tabs>
          <w:tab w:leader="none" w:pos="1820" w:val="left"/>
        </w:tabs>
        <w:numPr>
          <w:ilvl w:val="1"/>
          <w:numId w:val="5"/>
        </w:numPr>
        <w:rPr>
          <w:rFonts w:ascii="Arial" w:cs="Arial" w:eastAsia="Arial" w:hAnsi="Arial"/>
          <w:sz w:val="34"/>
          <w:szCs w:val="34"/>
          <w:color w:val="auto"/>
          <w:vertAlign w:val="subscript"/>
        </w:rPr>
      </w:pPr>
      <w:r>
        <w:rPr>
          <w:rFonts w:ascii="Arial" w:cs="Arial" w:eastAsia="Arial" w:hAnsi="Arial"/>
          <w:sz w:val="18"/>
          <w:szCs w:val="18"/>
          <w:color w:val="auto"/>
        </w:rPr>
        <w:t>sole</w:t>
      </w:r>
      <w:r>
        <w:rPr>
          <w:rFonts w:ascii="Arial" w:cs="Arial" w:eastAsia="Arial" w:hAnsi="Arial"/>
          <w:sz w:val="34"/>
          <w:szCs w:val="34"/>
          <w:color w:val="auto"/>
          <w:vertAlign w:val="subscript"/>
        </w:rPr>
        <w:t>of</w:t>
      </w:r>
      <w:r>
        <w:rPr>
          <w:rFonts w:ascii="Arial" w:cs="Arial" w:eastAsia="Arial" w:hAnsi="Arial"/>
          <w:sz w:val="18"/>
          <w:szCs w:val="18"/>
          <w:color w:val="auto"/>
        </w:rPr>
        <w:t xml:space="preserve"> power to dispose or to direct the disposition</w:t>
      </w:r>
    </w:p>
    <w:p>
      <w:pPr>
        <w:spacing w:after="0" w:line="275" w:lineRule="exact"/>
        <w:rPr>
          <w:rFonts w:ascii="Arial" w:cs="Arial" w:eastAsia="Arial" w:hAnsi="Arial"/>
          <w:sz w:val="34"/>
          <w:szCs w:val="34"/>
          <w:color w:val="auto"/>
          <w:vertAlign w:val="subscript"/>
        </w:rPr>
      </w:pPr>
    </w:p>
    <w:p>
      <w:pPr>
        <w:ind w:left="1820" w:right="780" w:hanging="488"/>
        <w:spacing w:after="0" w:line="183" w:lineRule="auto"/>
        <w:tabs>
          <w:tab w:leader="none" w:pos="182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9"/>
          <w:szCs w:val="19"/>
          <w:color w:val="auto"/>
        </w:rPr>
        <w:t>729,087 ** see Note 1 **</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781,891 ** see Note 1 **</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6" w:lineRule="exact"/>
        <w:rPr>
          <w:sz w:val="20"/>
          <w:szCs w:val="20"/>
          <w:color w:val="auto"/>
        </w:rPr>
      </w:pPr>
    </w:p>
    <w:p>
      <w:pPr>
        <w:sectPr>
          <w:pgSz w:w="11900" w:h="16838" w:orient="portrait"/>
          <w:cols w:equalWidth="0" w:num="2">
            <w:col w:w="6000" w:space="280"/>
            <w:col w:w="4760"/>
          </w:cols>
          <w:pgMar w:left="400" w:top="423" w:right="459" w:bottom="0" w:gutter="0" w:footer="0" w:header="0"/>
          <w:type w:val="continuous"/>
        </w:sectPr>
      </w:pPr>
    </w:p>
    <w:p>
      <w:pPr>
        <w:ind w:right="40" w:firstLine="9"/>
        <w:spacing w:after="0" w:line="279" w:lineRule="auto"/>
        <w:tabs>
          <w:tab w:leader="none" w:pos="270" w:val="left"/>
        </w:tabs>
        <w:numPr>
          <w:ilvl w:val="0"/>
          <w:numId w:val="6"/>
        </w:numPr>
        <w:rPr>
          <w:rFonts w:ascii="Arial" w:cs="Arial" w:eastAsia="Arial" w:hAnsi="Arial"/>
          <w:sz w:val="19"/>
          <w:szCs w:val="19"/>
          <w:color w:val="auto"/>
        </w:rPr>
      </w:pPr>
      <w:r>
        <w:rPr>
          <w:rFonts w:ascii="Arial" w:cs="Arial" w:eastAsia="Arial" w:hAnsi="Arial"/>
          <w:sz w:val="19"/>
          <w:szCs w:val="19"/>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w:t>
      </w:r>
    </w:p>
    <w:p>
      <w:pPr>
        <w:sectPr>
          <w:pgSz w:w="11900" w:h="16838" w:orient="portrait"/>
          <w:cols w:equalWidth="0" w:num="1">
            <w:col w:w="11040"/>
          </w:cols>
          <w:pgMar w:left="400" w:top="423" w:right="459" w:bottom="0" w:gutter="0" w:footer="0" w:header="0"/>
          <w:type w:val="continuous"/>
        </w:sectPr>
      </w:pPr>
    </w:p>
    <w:bookmarkStart w:id="3" w:name="page4"/>
    <w:bookmarkEnd w:id="3"/>
    <w:p>
      <w:pPr>
        <w:ind w:right="100"/>
        <w:spacing w:after="0" w:line="282" w:lineRule="auto"/>
        <w:rPr>
          <w:sz w:val="20"/>
          <w:szCs w:val="20"/>
          <w:color w:val="auto"/>
        </w:rPr>
      </w:pPr>
      <w:r>
        <w:rPr>
          <w:rFonts w:ascii="Arial" w:cs="Arial" w:eastAsia="Arial" w:hAnsi="Arial"/>
          <w:sz w:val="19"/>
          <w:szCs w:val="19"/>
          <w:color w:val="auto"/>
        </w:rPr>
        <w:t>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Section&amp;nbsp;13(d) of the Securities Exchange Act of 1934.</w:t>
      </w:r>
    </w:p>
    <w:p>
      <w:pPr>
        <w:spacing w:after="0" w:line="6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920" w:right="32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pacing w:after="0" w:line="6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sz w:val="20"/>
          <w:szCs w:val="20"/>
          <w:color w:val="auto"/>
        </w:rPr>
      </w:pPr>
    </w:p>
    <w:p>
      <w:pPr>
        <w:ind w:left="920"/>
        <w:spacing w:after="0" w:line="238" w:lineRule="auto"/>
        <w:rPr>
          <w:sz w:val="20"/>
          <w:szCs w:val="20"/>
          <w:color w:val="auto"/>
        </w:rPr>
      </w:pPr>
      <w:r>
        <w:rPr>
          <w:rFonts w:ascii="Arial" w:cs="Arial" w:eastAsia="Arial" w:hAnsi="Arial"/>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98" w:lineRule="exact"/>
        <w:rPr>
          <w:sz w:val="20"/>
          <w:szCs w:val="20"/>
          <w:color w:val="auto"/>
        </w:rPr>
      </w:pPr>
    </w:p>
    <w:p>
      <w:pPr>
        <w:ind w:left="920" w:right="40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40"/>
          </w:cols>
          <w:pgMar w:left="400" w:top="118" w:right="4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99"/>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Dimensional Fund Advisors LP</w:t>
      </w:r>
    </w:p>
    <w:p>
      <w:pPr>
        <w:spacing w:after="0" w:line="8" w:lineRule="exact"/>
        <w:rPr>
          <w:sz w:val="20"/>
          <w:szCs w:val="20"/>
          <w:color w:val="auto"/>
        </w:rPr>
      </w:pPr>
    </w:p>
    <w:p>
      <w:pPr>
        <w:ind w:left="600"/>
        <w:spacing w:after="0"/>
        <w:rPr>
          <w:sz w:val="20"/>
          <w:szCs w:val="20"/>
          <w:color w:val="auto"/>
        </w:rPr>
      </w:pPr>
      <w:r>
        <w:rPr>
          <w:rFonts w:ascii="Arial" w:cs="Arial" w:eastAsia="Arial" w:hAnsi="Arial"/>
          <w:sz w:val="22"/>
          <w:szCs w:val="22"/>
          <w:color w:val="auto"/>
        </w:rPr>
        <w:t>By: Dimensional Holdings Inc., General Partner</w:t>
      </w:r>
    </w:p>
    <w:p>
      <w:pPr>
        <w:spacing w:after="0" w:line="2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Selwyn Notelovitz</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Date: February 16, 2021</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Name: Selwyn Notelovitz</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Title: Global Chief Compliance Officer</w:t>
      </w:r>
    </w:p>
    <w:sectPr>
      <w:pgSz w:w="11900" w:h="16838" w:orient="portrait"/>
      <w:cols w:equalWidth="0" w:num="1">
        <w:col w:w="9019"/>
      </w:cols>
      <w:pgMar w:left="144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2021-02-12T15:49:54Z</dcterms:created>
  <dcterms:modified xsi:type="dcterms:W3CDTF">2021-02-12T15:49:54Z</dcterms:modified>
</cp:coreProperties>
</file>