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38273141.xml.htm"/>
      <w:bookmarkStart w:id="1" w:name="kswkform4a_17382731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WEST END AVENUE, SUITE 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CUMBERLAND PHARMACEUTICALS INC</w:t>
              </w:r>
            </w:hyperlink>
            <w:r>
              <w:rPr/>
              <w:t xml:space="preserve"> [ </w:t>
            </w:r>
            <w:r>
              <w:rPr>
                <w:rFonts w:ascii="Times;serif" w:hAnsi="Times;serif"/>
                <w:color w:val="0000FF"/>
                <w:sz w:val="24"/>
                <w:shd w:fill="FFFFFF" w:val="clear"/>
              </w:rPr>
              <w:t>CPIX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03/26/2024</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41,646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being filed solely to correct an administrative error in reporting the number of Securities Acquired by Reporting Owner on the original Form 4 submitted on March 26, 2024, which were reported as 1,000 shares granted on March 25, 2024, but should have been reported as 2,500 shares. This reflects an increase of 1,500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Jones by /s/ John Hamm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0829" TargetMode="External"/><Relationship Id="rId5" Type="http://schemas.openxmlformats.org/officeDocument/2006/relationships/hyperlink" Target="http://www.sec.gov/cgi-bin/browse-edgar?action=getcompany&amp;CIK=00010872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3362</Characters>
  <CharactersWithSpaces>3926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