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2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46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8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780" w:type="dxa"/>
            <w:vAlign w:val="bottom"/>
            <w:gridSpan w:val="17"/>
            <w:vMerge w:val="restart"/>
          </w:tcPr>
          <w:p>
            <w:pPr>
              <w:jc w:val="center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678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  <w:vMerge w:val="restart"/>
          </w:tcPr>
          <w:p>
            <w:pPr>
              <w:jc w:val="center"/>
              <w:ind w:left="9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5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2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Galante Joseph C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40" w:type="dxa"/>
            <w:vAlign w:val="bottom"/>
            <w:gridSpan w:val="15"/>
          </w:tcPr>
          <w:p>
            <w:pPr>
              <w:spacing w:after="0" w:line="174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CUMBERLAND PHARMACEUTICALS 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2525 WEST END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950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Issuer's Fiscal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jc w:val="right"/>
              <w:ind w:right="3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08/27/2020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(1)(2)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24,967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08/28/2020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25,042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25,192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25,267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25,342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3.29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25,492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25,567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25,642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25,717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09/14/2020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25,792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25,867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25,942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26,092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09/21/2020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26,167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26,242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26,317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09/24/2020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3.19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26,392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09/25/2020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26,467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09/28/2020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26,542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26,617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26,692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3.29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26,767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26,842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26,917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10/06/2020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26,992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10/07/2020</w:t>
            </w: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3.24</w:t>
            </w: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27,067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-10016490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-10024745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-9999345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-9829800</wp:posOffset>
            </wp:positionV>
            <wp:extent cx="6963410" cy="9923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992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-9829800</wp:posOffset>
            </wp:positionV>
            <wp:extent cx="6963410" cy="9923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992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80"/>
          </w:cols>
          <w:pgMar w:left="460" w:top="219" w:right="459" w:bottom="0" w:gutter="0" w:footer="0" w:header="0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6963410" cy="11195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1119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12700</wp:posOffset>
            </wp:positionH>
            <wp:positionV relativeFrom="paragraph">
              <wp:posOffset>59055</wp:posOffset>
            </wp:positionV>
            <wp:extent cx="6946900" cy="6788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678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10/08/2020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27,142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-1986915</wp:posOffset>
            </wp:positionV>
            <wp:extent cx="7031355" cy="20269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02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purchases reported in this Form 5 were effected pursuant to a Rule 10b5-1 trading plan adopted by the reporting person during March 2020.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Filing 1 of 3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Joseph C. Galante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-3810</wp:posOffset>
            </wp:positionV>
            <wp:extent cx="10687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Michael Bonner as attorney-</w:t>
        <w:tab/>
        <w:t>02/05/2021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190182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28765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8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8" Type="http://schemas.openxmlformats.org/officeDocument/2006/relationships/hyperlink" Target="http://www.sec.gov/cgi-bin/browse-edgar?action=getcompany&amp;CIK=0001632384" TargetMode="External"/><Relationship Id="rId9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2021-02-05T16:58:32Z</dcterms:created>
  <dcterms:modified xsi:type="dcterms:W3CDTF">2021-02-05T16:58:32Z</dcterms:modified>
</cp:coreProperties>
</file>