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UNITED STATES SECURITIES AND EXCHANGE COMMISSION</w:t>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Form 10-K</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ANNUAL REPORT PURSUANT TO SECTION 13 OR 15(d) OF THE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 the fiscal year ended December 31, 2024</w:t>
      </w:r>
    </w:p>
    <w:p>
      <w:pPr>
        <w:pStyle w:val="TextBody"/>
        <w:bidi w:val="0"/>
        <w:spacing w:before="0" w:after="0"/>
        <w:jc w:val="center"/>
        <w:rPr/>
      </w:pPr>
      <w:r>
        <w:rPr/>
      </w:r>
    </w:p>
    <w:p>
      <w:pPr>
        <w:pStyle w:val="TextBody"/>
        <w:bidi w:val="0"/>
        <w:spacing w:lineRule="auto" w:line="288" w:before="40" w:after="283"/>
        <w:jc w:val="center"/>
        <w:rPr>
          <w:rFonts w:ascii="Times New Roman;sans-serif" w:hAnsi="Times New Roman;sans-serif"/>
          <w:b/>
          <w:color w:val="000000"/>
          <w:sz w:val="22"/>
        </w:rPr>
      </w:pPr>
      <w:r>
        <w:rPr>
          <w:rFonts w:ascii="Times New Roman;sans-serif" w:hAnsi="Times New Roman;sans-serif"/>
          <w:b/>
          <w:color w:val="000000"/>
          <w:sz w:val="22"/>
        </w:rPr>
        <w:t>of</w:t>
      </w:r>
    </w:p>
    <w:p>
      <w:pPr>
        <w:pStyle w:val="TextBody"/>
        <w:bidi w:val="0"/>
        <w:spacing w:lineRule="auto" w:line="288" w:before="0" w:after="0"/>
        <w:jc w:val="center"/>
        <w:rPr/>
      </w:pPr>
      <w:r>
        <w:rPr>
          <w:rFonts w:ascii="Times New Roman;sans-serif" w:hAnsi="Times New Roman;sans-serif"/>
          <w:b/>
          <w:color w:val="000000"/>
          <w:sz w:val="44"/>
        </w:rPr>
        <w:t>CUMBERLAND PHARMACEUTICALS INC</w:t>
      </w:r>
      <w:r>
        <w:rPr>
          <w:rFonts w:ascii="Times New Roman;sans-serif" w:hAnsi="Times New Roman;sans-serif"/>
          <w:b/>
          <w:color w:val="000000"/>
          <w:sz w:val="52"/>
        </w:rPr>
        <w:t>.</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A Tennessee Corporation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IRS Employer Identification No. 62-1765329</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Commission file number 001-33637</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1600 West End Avenue, Suite 1300</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Nashville, Tennessee 37203</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(615) 255-0068</w:t>
      </w:r>
    </w:p>
    <w:p>
      <w:pPr>
        <w:pStyle w:val="TextBody"/>
        <w:bidi w:val="0"/>
        <w:spacing w:before="60" w:after="283"/>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473" w:type="dxa"/>
        <w:jc w:val="center"/>
        <w:tblInd w:w="0" w:type="dxa"/>
        <w:tblLayout w:type="fixed"/>
        <w:tblCellMar>
          <w:top w:w="28" w:type="dxa"/>
          <w:left w:w="28" w:type="dxa"/>
          <w:bottom w:w="28" w:type="dxa"/>
          <w:right w:w="28" w:type="dxa"/>
        </w:tblCellMar>
      </w:tblPr>
      <w:tblGrid>
        <w:gridCol w:w="1266"/>
        <w:gridCol w:w="1108"/>
        <w:gridCol w:w="1121"/>
        <w:gridCol w:w="109"/>
        <w:gridCol w:w="109"/>
        <w:gridCol w:w="109"/>
        <w:gridCol w:w="539"/>
        <w:gridCol w:w="539"/>
        <w:gridCol w:w="541"/>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CPIX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lineRule="auto" w:line="276" w:before="0" w:after="0"/>
        <w:jc w:val="center"/>
        <w:rPr/>
      </w:pPr>
      <w:r>
        <w:rPr>
          <w:rFonts w:ascii="Times New Roman;sans-serif" w:hAnsi="Times New Roman;sans-serif"/>
          <w:b w:val="false"/>
          <w:color w:val="000000"/>
          <w:sz w:val="20"/>
        </w:rPr>
        <w:t>Securities registered pursuant to Section 12(g) of the Act:</w:t>
      </w:r>
      <w:r>
        <w:rPr>
          <w:color w:val="000000"/>
        </w:rPr>
        <w:t xml:space="preserve"> </w:t>
      </w:r>
      <w:r>
        <w:rPr>
          <w:rFonts w:ascii="Times New Roman;sans-serif" w:hAnsi="Times New Roman;sans-serif"/>
          <w:b w:val="false"/>
          <w:color w:val="000000"/>
          <w:sz w:val="20"/>
          <w:u w:val="single"/>
        </w:rPr>
        <w:t>None</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 is not a well-known seasoned issuer, as defined in Rule 405 of the Securities Act.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Cumberland Pharmaceuticals Inc. is required to file reports pursuant to Section 13 or Section 15(d) of the Act.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 (1) has filed all reports required to be filed by Section 13 or 15(d) of the Securities Exchange Act of 1934 during the preceding 12 months, and (2) has been subject to such filing requirements for the past 90 days.</w:t>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Cumberland Pharmaceuticals Inc. has submitted electronically every Interactive Data File required to be submitted and posted pursuant to Rule 405 of Regulation S-T (§232.405 of this chapter) during the preceding 12 months.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 is a non-accelerated filer and a smaller reporting company as defined in Rule 12b-2 of the Exchange Act and is not a shell company.</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 has not filed a report on and attestation to its management's assessment of the effectiveness of its internal control over financial reporting under Section 404(b) of the Sarbanes-Oxley Act (15 U.S.C. 7262(b)) by the registered public accounting firm that prepared and issued its audit report.</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common stock held by non-affiliates as of June 30, 2024 was $12,234,822. The number of shares of the registrant’s Common Stock, no par value, outstanding as of March 4, 2025 was 13,968,394.</w:t>
      </w:r>
    </w:p>
    <w:p>
      <w:pPr>
        <w:pStyle w:val="TextBody"/>
        <w:bidi w:val="0"/>
        <w:spacing w:lineRule="auto" w:line="288" w:before="160" w:after="283"/>
        <w:ind w:left="0" w:right="0" w:firstLine="720"/>
        <w:jc w:val="both"/>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160" w:after="283"/>
        <w:jc w:val="both"/>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before="0" w:after="0"/>
        <w:jc w:val="both"/>
        <w:rPr/>
      </w:pPr>
      <w:r>
        <w:rPr/>
      </w:r>
    </w:p>
    <w:p>
      <w:pPr>
        <w:pStyle w:val="TextBody"/>
        <w:bidi w:val="0"/>
        <w:spacing w:lineRule="auto" w:line="288" w:before="40" w:after="283"/>
        <w:jc w:val="both"/>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information required in Part III of Form 10-K is incorporated by reference from the registrant’s Proxy Statement for its 2025 annual meeting of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Index</w:t>
      </w:r>
    </w:p>
    <w:tbl>
      <w:tblPr>
        <w:tblW w:w="10205" w:type="dxa"/>
        <w:jc w:val="center"/>
        <w:tblInd w:w="0" w:type="dxa"/>
        <w:tblLayout w:type="fixed"/>
        <w:tblCellMar>
          <w:top w:w="28" w:type="dxa"/>
          <w:left w:w="28" w:type="dxa"/>
          <w:bottom w:w="28" w:type="dxa"/>
          <w:right w:w="28" w:type="dxa"/>
        </w:tblCellMar>
      </w:tblPr>
      <w:tblGrid>
        <w:gridCol w:w="3308"/>
        <w:gridCol w:w="2858"/>
        <w:gridCol w:w="2874"/>
        <w:gridCol w:w="340"/>
        <w:gridCol w:w="340"/>
        <w:gridCol w:w="485"/>
      </w:tblGrid>
      <w:tr>
        <w:trPr/>
        <w:tc>
          <w:tcPr>
            <w:tcW w:w="3308"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Page Number</w:t>
            </w:r>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5151bdf0354e2997b8004e987b2949_10">
              <w:r>
                <w:rPr>
                  <w:rStyle w:val="InternetLink"/>
                  <w:rFonts w:ascii="Times New Roman;sans-serif" w:hAnsi="Times New Roman;sans-serif"/>
                  <w:b w:val="false"/>
                  <w:color w:val="0000FF"/>
                  <w:sz w:val="20"/>
                  <w:u w:val="single"/>
                </w:rPr>
                <w:t>PART I</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5151bdf0354e2997b8004e987b2949_10">
              <w:r>
                <w:rPr>
                  <w:rStyle w:val="InternetLink"/>
                  <w:rFonts w:ascii="Times New Roman;sans-serif" w:hAnsi="Times New Roman;sans-serif"/>
                  <w:b w:val="false"/>
                  <w:color w:val="0000FF"/>
                  <w:sz w:val="20"/>
                  <w:u w:val="single"/>
                </w:rPr>
                <w:t>1</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1: Business</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5151bdf0354e2997b8004e987b2949_1561">
              <w:r>
                <w:rPr>
                  <w:rStyle w:val="InternetLink"/>
                  <w:rFonts w:ascii="Times New Roman;sans-serif" w:hAnsi="Times New Roman;sans-serif"/>
                  <w:b w:val="false"/>
                  <w:color w:val="0000FF"/>
                  <w:sz w:val="20"/>
                  <w:u w:val="single"/>
                </w:rPr>
                <w:t>1</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1A: Risk Factors</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5151bdf0354e2997b8004e987b2949_1209">
              <w:r>
                <w:rPr>
                  <w:rStyle w:val="InternetLink"/>
                  <w:rFonts w:ascii="Times New Roman;sans-serif" w:hAnsi="Times New Roman;sans-serif"/>
                  <w:b w:val="false"/>
                  <w:color w:val="0000FF"/>
                  <w:sz w:val="20"/>
                  <w:u w:val="single"/>
                </w:rPr>
                <w:t>34</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1B: Unresolved Staff Comments</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5151bdf0354e2997b8004e987b2949_1230">
              <w:r>
                <w:rPr>
                  <w:rStyle w:val="InternetLink"/>
                  <w:rFonts w:ascii="Times New Roman;sans-serif" w:hAnsi="Times New Roman;sans-serif"/>
                  <w:b w:val="false"/>
                  <w:color w:val="0000FF"/>
                  <w:sz w:val="20"/>
                  <w:u w:val="single"/>
                </w:rPr>
                <w:t>57</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1C. Cybersecurity</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5151bdf0354e2997b8004e987b2949_1233">
              <w:r>
                <w:rPr>
                  <w:rStyle w:val="InternetLink"/>
                  <w:rFonts w:ascii="Times New Roman;sans-serif" w:hAnsi="Times New Roman;sans-serif"/>
                  <w:b w:val="false"/>
                  <w:color w:val="0000FF"/>
                  <w:sz w:val="20"/>
                  <w:u w:val="single"/>
                </w:rPr>
                <w:t>58</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2: Properties</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5151bdf0354e2997b8004e987b2949_1236">
              <w:r>
                <w:rPr>
                  <w:rStyle w:val="InternetLink"/>
                  <w:rFonts w:ascii="Times New Roman;sans-serif" w:hAnsi="Times New Roman;sans-serif"/>
                  <w:b w:val="false"/>
                  <w:color w:val="0000FF"/>
                  <w:sz w:val="20"/>
                  <w:u w:val="single"/>
                </w:rPr>
                <w:t>59</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3: Legal Proceedings</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5151bdf0354e2997b8004e987b2949_1239">
              <w:r>
                <w:rPr>
                  <w:rStyle w:val="InternetLink"/>
                  <w:rFonts w:ascii="Times New Roman;sans-serif" w:hAnsi="Times New Roman;sans-serif"/>
                  <w:b w:val="false"/>
                  <w:color w:val="0000FF"/>
                  <w:sz w:val="20"/>
                  <w:u w:val="single"/>
                </w:rPr>
                <w:t>59</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4. Mine Safety Disclosures</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5151bdf0354e2997b8004e987b2949_1242">
              <w:r>
                <w:rPr>
                  <w:rStyle w:val="InternetLink"/>
                  <w:rFonts w:ascii="Times New Roman;sans-serif" w:hAnsi="Times New Roman;sans-serif"/>
                  <w:b w:val="false"/>
                  <w:color w:val="0000FF"/>
                  <w:sz w:val="20"/>
                  <w:u w:val="single"/>
                </w:rPr>
                <w:t>59</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5151bdf0354e2997b8004e987b2949_109">
              <w:r>
                <w:rPr>
                  <w:rStyle w:val="InternetLink"/>
                  <w:rFonts w:ascii="Times New Roman;sans-serif" w:hAnsi="Times New Roman;sans-serif"/>
                  <w:b w:val="false"/>
                  <w:color w:val="0000FF"/>
                  <w:sz w:val="20"/>
                  <w:u w:val="single"/>
                </w:rPr>
                <w:t>PART II</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5151bdf0354e2997b8004e987b2949_109">
              <w:r>
                <w:rPr>
                  <w:rStyle w:val="InternetLink"/>
                  <w:rFonts w:ascii="Times New Roman;sans-serif" w:hAnsi="Times New Roman;sans-serif"/>
                  <w:b w:val="false"/>
                  <w:color w:val="0000FF"/>
                  <w:sz w:val="20"/>
                  <w:u w:val="single"/>
                </w:rPr>
                <w:t>60</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5151bdf0354e2997b8004e987b2949_112">
              <w:r>
                <w:rPr>
                  <w:rStyle w:val="InternetLink"/>
                  <w:rFonts w:ascii="Times New Roman;sans-serif" w:hAnsi="Times New Roman;sans-serif"/>
                  <w:b w:val="false"/>
                  <w:color w:val="0000FF"/>
                  <w:sz w:val="20"/>
                  <w:u w:val="single"/>
                </w:rPr>
                <w:t>Item 5: Market for Registrant’s Common Equity, Related Stockholder Matters and Issuer Purchases of Equity Securities</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5151bdf0354e2997b8004e987b2949_112">
              <w:r>
                <w:rPr>
                  <w:rStyle w:val="InternetLink"/>
                  <w:rFonts w:ascii="Times New Roman;sans-serif" w:hAnsi="Times New Roman;sans-serif"/>
                  <w:b w:val="false"/>
                  <w:color w:val="0000FF"/>
                  <w:sz w:val="20"/>
                  <w:u w:val="single"/>
                </w:rPr>
                <w:t>60</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605151bdf0354e2997b8004e987b2949_115">
              <w:r>
                <w:rPr>
                  <w:rStyle w:val="InternetLink"/>
                  <w:rFonts w:ascii="Times New Roman;sans-serif" w:hAnsi="Times New Roman;sans-serif"/>
                  <w:b w:val="false"/>
                  <w:color w:val="0000FF"/>
                  <w:sz w:val="20"/>
                  <w:u w:val="single"/>
                </w:rPr>
                <w:t>Item 6: Reserved</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5151bdf0354e2997b8004e987b2949_115">
              <w:r>
                <w:rPr>
                  <w:rStyle w:val="InternetLink"/>
                  <w:rFonts w:ascii="Times New Roman;sans-serif" w:hAnsi="Times New Roman;sans-serif"/>
                  <w:b w:val="false"/>
                  <w:color w:val="0000FF"/>
                  <w:sz w:val="20"/>
                  <w:u w:val="single"/>
                </w:rPr>
                <w:t>61</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5151bdf0354e2997b8004e987b2949_118">
              <w:r>
                <w:rPr>
                  <w:rStyle w:val="InternetLink"/>
                  <w:rFonts w:ascii="Times New Roman;sans-serif" w:hAnsi="Times New Roman;sans-serif"/>
                  <w:b w:val="false"/>
                  <w:color w:val="0000FF"/>
                  <w:sz w:val="20"/>
                  <w:u w:val="single"/>
                </w:rPr>
                <w:t>Item 7: Management’s Discussion and Analysis of Financial Condition and Results of Operations</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5151bdf0354e2997b8004e987b2949_118">
              <w:r>
                <w:rPr>
                  <w:rStyle w:val="InternetLink"/>
                  <w:rFonts w:ascii="Times New Roman;sans-serif" w:hAnsi="Times New Roman;sans-serif"/>
                  <w:b w:val="false"/>
                  <w:color w:val="0000FF"/>
                  <w:sz w:val="20"/>
                  <w:u w:val="single"/>
                </w:rPr>
                <w:t>61</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605151bdf0354e2997b8004e987b2949_139">
              <w:r>
                <w:rPr>
                  <w:rStyle w:val="InternetLink"/>
                  <w:rFonts w:ascii="Times New Roman;sans-serif" w:hAnsi="Times New Roman;sans-serif"/>
                  <w:b w:val="false"/>
                  <w:color w:val="0000FF"/>
                  <w:sz w:val="20"/>
                  <w:u w:val="single"/>
                </w:rPr>
                <w:t>Item 7A: Quantitative and Qualitative Disclosures About Market Risk</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5151bdf0354e2997b8004e987b2949_139">
              <w:r>
                <w:rPr>
                  <w:rStyle w:val="InternetLink"/>
                  <w:rFonts w:ascii="Times New Roman;sans-serif" w:hAnsi="Times New Roman;sans-serif"/>
                  <w:b w:val="false"/>
                  <w:color w:val="0000FF"/>
                  <w:sz w:val="20"/>
                  <w:u w:val="single"/>
                </w:rPr>
                <w:t>73</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605151bdf0354e2997b8004e987b2949_142">
              <w:r>
                <w:rPr>
                  <w:rStyle w:val="InternetLink"/>
                  <w:rFonts w:ascii="Times New Roman;sans-serif" w:hAnsi="Times New Roman;sans-serif"/>
                  <w:b w:val="false"/>
                  <w:color w:val="0000FF"/>
                  <w:sz w:val="20"/>
                  <w:u w:val="single"/>
                </w:rPr>
                <w:t>Item 8: Financial Statements and Supplementary Data</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5151bdf0354e2997b8004e987b2949_142">
              <w:r>
                <w:rPr>
                  <w:rStyle w:val="InternetLink"/>
                  <w:rFonts w:ascii="Times New Roman;sans-serif" w:hAnsi="Times New Roman;sans-serif"/>
                  <w:b w:val="false"/>
                  <w:color w:val="0000FF"/>
                  <w:sz w:val="20"/>
                  <w:u w:val="single"/>
                </w:rPr>
                <w:t>74</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5151bdf0354e2997b8004e987b2949_145">
              <w:r>
                <w:rPr>
                  <w:rStyle w:val="InternetLink"/>
                  <w:rFonts w:ascii="Times New Roman;sans-serif" w:hAnsi="Times New Roman;sans-serif"/>
                  <w:b w:val="false"/>
                  <w:color w:val="0000FF"/>
                  <w:sz w:val="20"/>
                  <w:u w:val="single"/>
                </w:rPr>
                <w:t>Item 9: Changes in and Disagreements with Accountants on Accounting and Financial Disclosure</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5151bdf0354e2997b8004e987b2949_145">
              <w:r>
                <w:rPr>
                  <w:rStyle w:val="InternetLink"/>
                  <w:rFonts w:ascii="Times New Roman;sans-serif" w:hAnsi="Times New Roman;sans-serif"/>
                  <w:b w:val="false"/>
                  <w:color w:val="0000FF"/>
                  <w:sz w:val="20"/>
                  <w:u w:val="single"/>
                </w:rPr>
                <w:t>74</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605151bdf0354e2997b8004e987b2949_148">
              <w:r>
                <w:rPr>
                  <w:rStyle w:val="InternetLink"/>
                  <w:rFonts w:ascii="Times New Roman;sans-serif" w:hAnsi="Times New Roman;sans-serif"/>
                  <w:b w:val="false"/>
                  <w:color w:val="0000FF"/>
                  <w:sz w:val="20"/>
                  <w:u w:val="single"/>
                </w:rPr>
                <w:t>Item 9A: Controls and Procedures</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5151bdf0354e2997b8004e987b2949_148">
              <w:r>
                <w:rPr>
                  <w:rStyle w:val="InternetLink"/>
                  <w:rFonts w:ascii="Times New Roman;sans-serif" w:hAnsi="Times New Roman;sans-serif"/>
                  <w:b w:val="false"/>
                  <w:color w:val="0000FF"/>
                  <w:sz w:val="20"/>
                  <w:u w:val="single"/>
                </w:rPr>
                <w:t>74</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605151bdf0354e2997b8004e987b2949_151">
              <w:r>
                <w:rPr>
                  <w:rStyle w:val="InternetLink"/>
                  <w:rFonts w:ascii="Times New Roman;sans-serif" w:hAnsi="Times New Roman;sans-serif"/>
                  <w:b w:val="false"/>
                  <w:color w:val="0000FF"/>
                  <w:sz w:val="20"/>
                  <w:u w:val="single"/>
                </w:rPr>
                <w:t>Item 9B: Other Information</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5151bdf0354e2997b8004e987b2949_151">
              <w:r>
                <w:rPr>
                  <w:rStyle w:val="InternetLink"/>
                  <w:rFonts w:ascii="Times New Roman;sans-serif" w:hAnsi="Times New Roman;sans-serif"/>
                  <w:b w:val="false"/>
                  <w:color w:val="0000FF"/>
                  <w:sz w:val="20"/>
                  <w:u w:val="single"/>
                </w:rPr>
                <w:t>75</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605151bdf0354e2997b8004e987b2949_154">
              <w:r>
                <w:rPr>
                  <w:rStyle w:val="InternetLink"/>
                  <w:rFonts w:ascii="Times New Roman;sans-serif" w:hAnsi="Times New Roman;sans-serif"/>
                  <w:b w:val="false"/>
                  <w:color w:val="0000FF"/>
                  <w:sz w:val="20"/>
                  <w:u w:val="single"/>
                </w:rPr>
                <w:t>Item 9C: Disclosure Regarding Foreign Jurisdictions that Prevent Inspections</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5151bdf0354e2997b8004e987b2949_154">
              <w:r>
                <w:rPr>
                  <w:rStyle w:val="InternetLink"/>
                  <w:rFonts w:ascii="Times New Roman;sans-serif" w:hAnsi="Times New Roman;sans-serif"/>
                  <w:b w:val="false"/>
                  <w:color w:val="0000FF"/>
                  <w:sz w:val="20"/>
                  <w:u w:val="single"/>
                </w:rPr>
                <w:t>76</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5151bdf0354e2997b8004e987b2949_157">
              <w:r>
                <w:rPr>
                  <w:rStyle w:val="InternetLink"/>
                  <w:rFonts w:ascii="Times New Roman;sans-serif" w:hAnsi="Times New Roman;sans-serif"/>
                  <w:b w:val="false"/>
                  <w:color w:val="0000FF"/>
                  <w:sz w:val="20"/>
                  <w:u w:val="single"/>
                </w:rPr>
                <w:t>PART III</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5151bdf0354e2997b8004e987b2949_157">
              <w:r>
                <w:rPr>
                  <w:rStyle w:val="InternetLink"/>
                  <w:rFonts w:ascii="Times New Roman;sans-serif" w:hAnsi="Times New Roman;sans-serif"/>
                  <w:b w:val="false"/>
                  <w:color w:val="0000FF"/>
                  <w:sz w:val="20"/>
                  <w:u w:val="single"/>
                </w:rPr>
                <w:t>76</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5151bdf0354e2997b8004e987b2949_160">
              <w:r>
                <w:rPr>
                  <w:rStyle w:val="InternetLink"/>
                  <w:rFonts w:ascii="Times New Roman;sans-serif" w:hAnsi="Times New Roman;sans-serif"/>
                  <w:b w:val="false"/>
                  <w:color w:val="0000FF"/>
                  <w:sz w:val="20"/>
                  <w:u w:val="single"/>
                </w:rPr>
                <w:t>PART IV</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5151bdf0354e2997b8004e987b2949_160">
              <w:r>
                <w:rPr>
                  <w:rStyle w:val="InternetLink"/>
                  <w:rFonts w:ascii="Times New Roman;sans-serif" w:hAnsi="Times New Roman;sans-serif"/>
                  <w:b w:val="false"/>
                  <w:color w:val="0000FF"/>
                  <w:sz w:val="20"/>
                  <w:u w:val="single"/>
                </w:rPr>
                <w:t>77</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605151bdf0354e2997b8004e987b2949_163">
              <w:r>
                <w:rPr>
                  <w:rStyle w:val="InternetLink"/>
                  <w:rFonts w:ascii="Times New Roman;sans-serif" w:hAnsi="Times New Roman;sans-serif"/>
                  <w:b w:val="false"/>
                  <w:color w:val="0000FF"/>
                  <w:sz w:val="20"/>
                  <w:u w:val="single"/>
                </w:rPr>
                <w:t>Item 15: Exhibits and Financial Statement Schedules</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5151bdf0354e2997b8004e987b2949_160">
              <w:r>
                <w:rPr>
                  <w:rStyle w:val="InternetLink"/>
                  <w:rFonts w:ascii="Times New Roman;sans-serif" w:hAnsi="Times New Roman;sans-serif"/>
                  <w:b w:val="false"/>
                  <w:color w:val="0000FF"/>
                  <w:sz w:val="20"/>
                  <w:u w:val="single"/>
                </w:rPr>
                <w:t>77</w:t>
              </w:r>
            </w:hyperlink>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pPr>
            <w:hyperlink w:anchor="i605151bdf0354e2997b8004e987b2949_166">
              <w:r>
                <w:rPr>
                  <w:rStyle w:val="InternetLink"/>
                  <w:rFonts w:ascii="Times New Roman;sans-serif" w:hAnsi="Times New Roman;sans-serif"/>
                  <w:b w:val="false"/>
                  <w:color w:val="0000FF"/>
                  <w:sz w:val="20"/>
                  <w:u w:val="single"/>
                </w:rPr>
                <w:t>Item 16: Form 10-K Summary</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5151bdf0354e2997b8004e987b2949_166">
              <w:r>
                <w:rPr>
                  <w:rStyle w:val="InternetLink"/>
                  <w:rFonts w:ascii="Times New Roman;sans-serif" w:hAnsi="Times New Roman;sans-serif"/>
                  <w:b w:val="false"/>
                  <w:color w:val="0000FF"/>
                  <w:sz w:val="20"/>
                  <w:u w:val="single"/>
                </w:rPr>
                <w:t>81</w:t>
              </w:r>
            </w:hyperlink>
          </w:p>
        </w:tc>
      </w:tr>
      <w:tr>
        <w:trPr/>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5151bdf0354e2997b8004e987b2949_169">
              <w:r>
                <w:rPr>
                  <w:rStyle w:val="InternetLink"/>
                  <w:rFonts w:ascii="Times New Roman;sans-serif" w:hAnsi="Times New Roman;sans-serif"/>
                  <w:b w:val="false"/>
                  <w:color w:val="0000FF"/>
                  <w:sz w:val="20"/>
                  <w:u w:val="single"/>
                </w:rPr>
                <w:t>SIGNATURES</w:t>
              </w:r>
            </w:hyperlink>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5151bdf0354e2997b8004e987b2949_169">
              <w:r>
                <w:rPr>
                  <w:rStyle w:val="InternetLink"/>
                  <w:rFonts w:ascii="Times New Roman;sans-serif" w:hAnsi="Times New Roman;sans-serif"/>
                  <w:b w:val="false"/>
                  <w:color w:val="0000FF"/>
                  <w:sz w:val="20"/>
                  <w:u w:val="single"/>
                </w:rPr>
                <w:t>82</w:t>
              </w:r>
            </w:hyperlink>
          </w:p>
        </w:tc>
      </w:tr>
    </w:tbl>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THE COMPANY</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Cumberland Pharmaceuticals Inc. ("Cumberland," the "Company," or as used in the context of "we," "us," or "our"), is a specialty pharmaceutical company focused on the acquisition, development and commercialization of branded prescription pharmaceuticals. We are dedicated to our mission of working together to provide unique products that improve the quality of patient care.</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 xml:space="preserve">Our primary target markets are hospital acute care, gastroenterology and oncology. These medical specialties are characterized by relatively concentrated prescriber bases that we believe can be served effectively by small, targeted sales forces. We promote our approved products through our hospital, field and oncology sales divisions in the United States. </w:t>
      </w:r>
      <w:r>
        <w:rPr>
          <w:rFonts w:ascii="Times New Roman;sans-serif" w:hAnsi="Times New Roman;sans-serif"/>
          <w:b w:val="false"/>
          <w:color w:val="000000"/>
          <w:sz w:val="20"/>
        </w:rPr>
        <w:t>We continue to build a network of established international partners with the needed regulatory and commercial capabilities to register and provide our medicines to patients in their countries.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portfolio of brands approved for marketing by the U.S. Food and Drug Administration (“FDA”) includes: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Acetadote</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acetylcysteine</w:t>
      </w:r>
      <w:r>
        <w:rPr>
          <w:rFonts w:ascii="Times New Roman;sans-serif" w:hAnsi="Times New Roman;sans-serif"/>
          <w:b w:val="false"/>
          <w:color w:val="000000"/>
          <w:sz w:val="20"/>
        </w:rPr>
        <w:t xml:space="preserve">) injection, for the treatment of acetaminophen poisoning;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Caldolor</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ibuprofen</w:t>
      </w:r>
      <w:r>
        <w:rPr>
          <w:rFonts w:ascii="Times New Roman;sans-serif" w:hAnsi="Times New Roman;sans-serif"/>
          <w:b w:val="false"/>
          <w:color w:val="000000"/>
          <w:sz w:val="20"/>
        </w:rPr>
        <w:t>) injection, for the treatment of pain and fever;</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Kristalose</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lactulose</w:t>
      </w:r>
      <w:r>
        <w:rPr>
          <w:rFonts w:ascii="Times New Roman;sans-serif" w:hAnsi="Times New Roman;sans-serif"/>
          <w:b w:val="false"/>
          <w:color w:val="000000"/>
          <w:sz w:val="20"/>
        </w:rPr>
        <w:t>) for oral solution, a prescription laxative, for the treatment of constipation;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Sancuso</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granisetron)</w:t>
      </w:r>
      <w:r>
        <w:rPr>
          <w:color w:val="000000"/>
        </w:rPr>
        <w:t xml:space="preserve"> </w:t>
      </w:r>
      <w:r>
        <w:rPr>
          <w:rFonts w:ascii="Times New Roman;sans-serif" w:hAnsi="Times New Roman;sans-serif"/>
          <w:b w:val="false"/>
          <w:color w:val="000000"/>
          <w:sz w:val="20"/>
        </w:rPr>
        <w:t>transdermal, for the prevention of nausea and vomiting in patients receiving certain types of chemotherapy treatment;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Vaprisol</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conivaptan</w:t>
      </w:r>
      <w:r>
        <w:rPr>
          <w:rFonts w:ascii="Times New Roman;sans-serif" w:hAnsi="Times New Roman;sans-serif"/>
          <w:b w:val="false"/>
          <w:color w:val="000000"/>
          <w:sz w:val="20"/>
        </w:rPr>
        <w:t>) injection, to raise serum sodium levels in hospitalized patients with euvolemic and hypervolemic hyponatremia;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Vibativ</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telavancin</w:t>
      </w:r>
      <w:r>
        <w:rPr>
          <w:rFonts w:ascii="Times New Roman;sans-serif" w:hAnsi="Times New Roman;sans-serif"/>
          <w:b w:val="false"/>
          <w:color w:val="000000"/>
          <w:sz w:val="20"/>
        </w:rPr>
        <w:t>) injection, for the treatment of certain serious bacterial infections including hospital-acquired and ventilator-associated bacterial pneumonia, as well as complicated skin and skin structure infections.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these commercial brands, we have Phase II clinical programs underway evaluating our ifetroban product candidate in patients with 1) Systemic Sclerosis (“SSc”) or scleroderma, a debilitating autoimmune disorder characterized by diffuse fibrosis of the skin and internal organs and 2) Idiopathic Pulmonary Fibrosis (“IPF”), the most common form of progressive fibrosing interstitial lung disease. Investigational new study applications have been cleared by the FDA enabling us to launch clinical studies in each of these areas. </w:t>
      </w:r>
    </w:p>
    <w:p>
      <w:pPr>
        <w:pStyle w:val="TextBody"/>
        <w:bidi w:val="0"/>
        <w:spacing w:lineRule="auto" w:line="288" w:before="160" w:after="283"/>
        <w:jc w:val="both"/>
        <w:rPr/>
      </w:pPr>
      <w:r>
        <w:rPr>
          <w:rFonts w:ascii="Times New Roman;sans-serif" w:hAnsi="Times New Roman;sans-serif"/>
          <w:b w:val="false"/>
          <w:color w:val="000000"/>
          <w:sz w:val="20"/>
        </w:rPr>
        <w:t xml:space="preserve">Additionally, we recently completed a Phase II study in patients with cardiomyopathy associated with </w:t>
      </w:r>
      <w:r>
        <w:rPr>
          <w:rFonts w:ascii="Times New Roman;sans-serif" w:hAnsi="Times New Roman;sans-serif"/>
          <w:b w:val="false"/>
          <w:i/>
          <w:color w:val="000000"/>
          <w:sz w:val="20"/>
        </w:rPr>
        <w:t xml:space="preserve">Duchenne muscular dystrophy </w:t>
      </w:r>
      <w:r>
        <w:rPr>
          <w:rFonts w:ascii="Times New Roman;sans-serif" w:hAnsi="Times New Roman;sans-serif"/>
          <w:b w:val="false"/>
          <w:color w:val="000000"/>
          <w:sz w:val="20"/>
        </w:rPr>
        <w:t>(“DMD”), a rare, fatal, genetic neuromuscular disease results in deterioration of the skeletal, heart and lung muscles. Next steps for this DMD Program include further data analysis and completion of a full study report in preparation for an end-of-Phase-II meeting with the FDA to determine next steps associated with the product’s development and commercialization.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has built core competencies for the acquisition, development and commercialization of pharmaceutical products in the U.S. and we believe we can leverage this existing infrastructure to support our continued growth. Our management team consists of pharmaceutical industry veterans with experience in business development, product development, regulatory, manufacturing, sales, marketing and finance.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development team identifies, evaluates, and negotiates product acquisition, licensing and co-promotion agreements. Our product development team creates proprietary formulations, manages our clinical studies, prepares our FDA submissions and staffs our medical call center. Our quality and manufacturing professionals oversee the manufacturing, release and shipment of our brands. Our marketing and sales organization is responsible for our commercial activities, and we work closely with our distribution partners to ensure the availability and delivery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pPr>
      <w:r>
        <w:rPr>
          <w:rFonts w:ascii="Times New Roman;sans-serif" w:hAnsi="Times New Roman;sans-serif"/>
          <w:b/>
          <w:color w:val="000000"/>
          <w:sz w:val="20"/>
        </w:rPr>
        <w:t>Sustainability</w:t>
      </w:r>
      <w:r>
        <w:rPr>
          <w:color w:val="000000"/>
        </w:rPr>
        <w:t xml:space="preserve"> </w:t>
      </w:r>
      <w:r>
        <w:rPr>
          <w:rFonts w:ascii="Times New Roman;sans-serif" w:hAnsi="Times New Roman;sans-serif"/>
          <w:b/>
          <w:color w:val="000000"/>
          <w:sz w:val="20"/>
        </w:rPr>
        <w:t>Metrics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issued our inaugural Sustainability Report in 2019, detailing Cumberland’s activities pertaining to our environmental, social and governance matters, and we remain committed to sustainability and to maintaining transparency of our corporate operations. As one of the largest biopharmaceutical companies founded and headquartered in the Mid-South, we hold ourselves to the highest standards of ethical practices and understand the importance of recognizing and addressing our impact on our constituents, our community and the environment.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2024 sustainability metrics noted that during that year we provided 3.9 million patient doses of our brands, while safely disposing of nearly 12,480 pounds of expired and damaged goods. We had no product recalls and no clinical trials terminated due to failure to practice good clinical standards.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2024, we also highlighted our investment in our employees through our continuing education programs, employee development initiatives and employee recognition awards. We reported that women represented 49% of Cumberland’s workforce and 27% of our employees were minorities.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sustainability initiatives, we will continue to identify and address critical industry issues, monitor relevant guidelines and utilize best practices.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bidi w:val="0"/>
        <w:spacing w:lineRule="auto" w:line="288" w:before="160" w:after="283"/>
        <w:jc w:val="both"/>
        <w:rPr/>
      </w:pPr>
      <w:r>
        <w:rPr>
          <w:rFonts w:ascii="Times New Roman;sans-serif" w:hAnsi="Times New Roman;sans-serif"/>
          <w:b w:val="false"/>
          <w:color w:val="000000"/>
          <w:sz w:val="20"/>
        </w:rPr>
        <w:t xml:space="preserve">We were incorporated as a Tennessee corporation in 1999 and have been headquartered in Nashville, Tennessee since inception. During 2009, we completed an initial public offering of our common shares and listing on the Nasdaq stock exchange. Our website address is </w:t>
      </w:r>
      <w:r>
        <w:rPr>
          <w:rFonts w:ascii="Times New Roman;sans-serif" w:hAnsi="Times New Roman;sans-serif"/>
          <w:b w:val="false"/>
          <w:i/>
          <w:color w:val="0000FF"/>
          <w:sz w:val="20"/>
        </w:rPr>
        <w:t>www.cumberlandpharma.com</w:t>
      </w:r>
      <w:r>
        <w:rPr>
          <w:rFonts w:ascii="Times New Roman;sans-serif" w:hAnsi="Times New Roman;sans-serif"/>
          <w:b w:val="false"/>
          <w:color w:val="0000FF"/>
          <w:sz w:val="20"/>
        </w:rPr>
        <w:t xml:space="preserve">. </w:t>
      </w:r>
      <w:r>
        <w:rPr>
          <w:rFonts w:ascii="Times New Roman;sans-serif" w:hAnsi="Times New Roman;sans-serif"/>
          <w:b w:val="false"/>
          <w:color w:val="000000"/>
          <w:sz w:val="20"/>
        </w:rPr>
        <w:t xml:space="preserve">Our Annual Reports (on Form 10-K), Quarterly Reports (on Form 10-Q), Current Reports (on Form 8-K) and all material press releases are available on our website as soon as reasonably practicable after their filing with the U.S. Securities and Exchange Commission (“SEC”). These filings are also available to the public at </w:t>
      </w:r>
      <w:r>
        <w:rPr>
          <w:rFonts w:ascii="Times New Roman;sans-serif" w:hAnsi="Times New Roman;sans-serif"/>
          <w:b w:val="false"/>
          <w:i/>
          <w:color w:val="0000FF"/>
          <w:sz w:val="20"/>
        </w:rPr>
        <w:t>www.sec.gov.</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PRODUCTS</w:t>
      </w:r>
    </w:p>
    <w:tbl>
      <w:tblPr>
        <w:tblW w:w="7104" w:type="dxa"/>
        <w:jc w:val="left"/>
        <w:tblInd w:w="0" w:type="dxa"/>
        <w:tblLayout w:type="fixed"/>
        <w:tblCellMar>
          <w:top w:w="28" w:type="dxa"/>
          <w:left w:w="28" w:type="dxa"/>
          <w:bottom w:w="28" w:type="dxa"/>
          <w:right w:w="28" w:type="dxa"/>
        </w:tblCellMar>
      </w:tblPr>
      <w:tblGrid>
        <w:gridCol w:w="379"/>
        <w:gridCol w:w="333"/>
        <w:gridCol w:w="337"/>
        <w:gridCol w:w="109"/>
        <w:gridCol w:w="109"/>
        <w:gridCol w:w="109"/>
        <w:gridCol w:w="1476"/>
        <w:gridCol w:w="1476"/>
        <w:gridCol w:w="1488"/>
        <w:gridCol w:w="109"/>
        <w:gridCol w:w="109"/>
        <w:gridCol w:w="109"/>
        <w:gridCol w:w="279"/>
        <w:gridCol w:w="279"/>
        <w:gridCol w:w="403"/>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Indication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Status</w:t>
            </w:r>
          </w:p>
        </w:tc>
      </w:tr>
      <w:tr>
        <w:trPr/>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Acetadote</w:t>
            </w:r>
            <w:r>
              <w:rPr>
                <w:rFonts w:ascii="Times New Roman;sans-serif" w:hAnsi="Times New Roman;sans-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Acetaminophen Poisoning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Marketed</w:t>
            </w:r>
          </w:p>
        </w:tc>
      </w:tr>
      <w:tr>
        <w:trPr/>
        <w:tc>
          <w:tcPr>
            <w:tcW w:w="10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Caldolor</w:t>
            </w:r>
            <w:r>
              <w:rPr>
                <w:rFonts w:ascii="Times New Roman;sans-serif" w:hAnsi="Times New Roman;sans-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Pain and Fever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Marketed</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Kristalose</w:t>
            </w:r>
            <w:r>
              <w:rPr>
                <w:rFonts w:ascii="Times New Roman;sans-serif" w:hAnsi="Times New Roman;sans-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Chronic and Acute Constipation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Marketed</w:t>
            </w:r>
          </w:p>
        </w:tc>
      </w:tr>
      <w:tr>
        <w:trPr/>
        <w:tc>
          <w:tcPr>
            <w:tcW w:w="10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Sancuso</w:t>
            </w:r>
            <w:r>
              <w:rPr>
                <w:rFonts w:ascii="Times New Roman;sans-serif" w:hAnsi="Times New Roman;sans-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Nausea and Vomiting Associated with Chemotherapy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Marketed</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Vaprisol</w:t>
            </w:r>
            <w:r>
              <w:rPr>
                <w:rFonts w:ascii="Times New Roman;sans-serif" w:hAnsi="Times New Roman;sans-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Euvolemic and Hypervolemic Hyponatremia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Approved</w:t>
            </w:r>
          </w:p>
        </w:tc>
      </w:tr>
      <w:tr>
        <w:trPr/>
        <w:tc>
          <w:tcPr>
            <w:tcW w:w="10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Vibativ</w:t>
            </w:r>
            <w:r>
              <w:rPr>
                <w:rFonts w:ascii="Times New Roman;sans-serif" w:hAnsi="Times New Roman;sans-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Serious Bacterial Infections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Marketed</w:t>
            </w:r>
          </w:p>
        </w:tc>
      </w:tr>
    </w:tbl>
    <w:p>
      <w:pPr>
        <w:pStyle w:val="TextBody"/>
        <w:bidi w:val="0"/>
        <w:spacing w:lineRule="auto" w:line="288" w:before="160" w:after="283"/>
        <w:jc w:val="both"/>
        <w:rPr/>
      </w:pPr>
      <w:r>
        <w:rPr>
          <w:rFonts w:ascii="Times New Roman;sans-serif" w:hAnsi="Times New Roman;sans-serif"/>
          <w:b/>
          <w:i/>
          <w:color w:val="000000"/>
          <w:sz w:val="20"/>
        </w:rPr>
        <w:t>Acetadote</w:t>
      </w:r>
      <w:r>
        <w:rPr>
          <w:rFonts w:ascii="Times New Roman;sans-serif" w:hAnsi="Times New Roman;sans-serif"/>
          <w:b w:val="false"/>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Acetadote is an intravenous formulation of N-acetylcysteine, indicated for the treatment of liver toxicity associated with acetaminophen poisoning. Cumberland developed and obtained U.S. FDA approval for Acetadote, and then introduced the product through our hospital sales force.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Acetadote is typically used in hospital emergency departments to prevent or lessen potential liver damage resulting from an overdose of acetaminophen, a common ingredient in many over-the-counter and prescription pain-relieving and fever-reducing products. Acetaminophen overdose continues to be a leading cause of poisonings reported by hospital emergency departments in the U.S., and Acetadote became a standard of care for treating this potentially life-threatening condition.</w:t>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Acetadote received U.S. FDA approval as an orphan drug, which provided seven years of marketing exclusivity from the date of approval. That exclusivity has since expired. In connection with the FDA’s approval of Acetadote, we committed to certain post-marketing activities for the product. Completion of our first Phase IV commitment resulted in the FDA’s approval of expanded labeling for the product for use in pediatric patients. Completion of our second Phase IV commitment resulted in further revised labeling for the product with FDA approval of additional safety data.</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Completion of our third and final Phase IV commitment culminated in the FDA’s approval of a new formulation for the product. The next generation formulation contains no ethylene diamine tetracetic acid (“EDTA”) or other stabilization agent, chelating agent or preservative. Cumberland introduced this new Acetadote formulation replacing the original form of the product which we no longer manufacture.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FDA subsequently approved updated labeling for Acetadote revising the product’s indication and providing new dosing guidance for specific patient populations. As a result, dosing guidance was included for patients weighing over 100 kg, and new language was added to alert health care providers that, in certain clinical situations, therapy should be extended for some patients.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2024, the FDA approved a supplemental New Drug Application for Acetadote, adding a simplified dosing regimen for the product prescribing information. This newly approved dosing regimen simplifies the administration of Acetadote by combining the first two bags of the standard regimen into a single, slower infusion. This streamlined approach has been implemented in hospitals across multiple countries and demonstrated to reduce the frequency of medication errors and potentially serious non-allergic anaphylactoid reactions without compromising the effectiveness of Acetadote.</w:t>
      </w:r>
    </w:p>
    <w:p>
      <w:pPr>
        <w:pStyle w:val="TextBody"/>
        <w:bidi w:val="0"/>
        <w:spacing w:lineRule="auto" w:line="288" w:before="160" w:after="283"/>
        <w:jc w:val="both"/>
        <w:rPr/>
      </w:pPr>
      <w:r>
        <w:rPr>
          <w:rFonts w:ascii="Times New Roman;sans-serif" w:hAnsi="Times New Roman;sans-serif"/>
          <w:b w:val="false"/>
          <w:color w:val="000000"/>
          <w:sz w:val="20"/>
        </w:rPr>
        <w:t>The United States Patent and Trademark Office (the “USPTO”) issued us a series of patents associated with our Acetadote product. These patents are discussed in Part I, Item I – “</w:t>
      </w:r>
      <w:r>
        <w:rPr>
          <w:rFonts w:ascii="Times New Roman;sans-serif" w:hAnsi="Times New Roman;sans-serif"/>
          <w:b w:val="false"/>
          <w:i/>
          <w:color w:val="000000"/>
          <w:sz w:val="20"/>
        </w:rPr>
        <w:t>Business - Trademarks and Patents</w:t>
      </w:r>
      <w:r>
        <w:rPr>
          <w:color w:val="000000"/>
        </w:rPr>
        <w:t xml:space="preserve">” – </w:t>
      </w:r>
      <w:r>
        <w:rPr>
          <w:rFonts w:ascii="Times New Roman;sans-serif" w:hAnsi="Times New Roman;sans-serif"/>
          <w:b w:val="false"/>
          <w:color w:val="000000"/>
          <w:sz w:val="20"/>
        </w:rPr>
        <w:t>of this Form 10-K. The FDA has approved several abbreviated new drug applications (“ANDA”) filed by various generics companies referencing Acetadote. Those products all possess the old formulation containing EDTA.</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entered into an agreement with Perrigo Company resulting in the distribution of our Authorized Generic acetylcysteine injection (our “Authorized Generic”) product. Both Acetadote and our Authorized Generic utilize the new, EDTA-free formulation.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Illinois judge issued a final ruling in favor of Cumberland Pharmaceuticals Inc. in a patent case associated with Acetadote. By ruling in Cumberland’s favor, the court upheld the validity of the patent that encompasses our EDTA-free formulation. The court also granted a permanent injunction preventing challengers from marketing a generic version of our proprietary Acetadote product formulation before the expiration of one of Cumberland’s patents in August 2025. An Appeals Court affirmed the District Court ruling in the Company’s favor upholding Cumberland’s Acetadote patent and expressly rejected the validity challenge.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we continued to distribute our Acetadote brand, however our Authorized Generic product is now distributed through Padagis US LLC (formerly a division of Perrigo Company).</w:t>
      </w:r>
    </w:p>
    <w:p>
      <w:pPr>
        <w:pStyle w:val="TextBody"/>
        <w:bidi w:val="0"/>
        <w:spacing w:lineRule="auto" w:line="288" w:before="160" w:after="283"/>
        <w:jc w:val="left"/>
        <w:rPr/>
      </w:pPr>
      <w:r>
        <w:rPr>
          <w:rFonts w:ascii="Times New Roman;sans-serif" w:hAnsi="Times New Roman;sans-serif"/>
          <w:b/>
          <w:i/>
          <w:color w:val="000000"/>
          <w:sz w:val="20"/>
        </w:rPr>
        <w:t>Caldolor</w:t>
      </w:r>
      <w:r>
        <w:rPr>
          <w:rFonts w:ascii="Times New Roman;sans-serif" w:hAnsi="Times New Roman;sans-serif"/>
          <w:b/>
          <w:i/>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Caldolor, our intravenous formulation of ibuprofen, was the first injectable product approved in the U.S. for the treatment of both pain and fever. We conducted a series of clinical studies in over 900 adult patients to develop the data to support our FDA submission for the product’s registration. Following a priority review, the FDA approved Caldolor for marketing in the U.S.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non-steroidal anti-inflammatory drug (“NSAID”), the product was indicated for use in adults as a sole treatment for the management of mild to moderate pain and for the management of moderate to severe pain as an adjunct to opioid analgesics. It was also the first FDA-approved intravenous therapy for treating fever.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then launched Caldolor and continue to promote the product in the U.S. through our hospital sales force.</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completed a series of Phase IV studies to gather additional data to support our Caldolor product. Those clinical trials involved another 1,000 adult and pediatric patients. These studies included data on a shortened infusion time and pre-surgical administration of the product. To address our Phase IV commitment to the FDA, these studies also included evaluation of the product for the reduction of fever in hospitalized children and the treatment of pain in children undergoing tonsillectomy surgeries.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then received FDA approval for the use of Caldolor in pediatric patients 6 months of age and older.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early 2018, we completed and filed the application for FDA approval of a next generation Caldolor product featuring an improved presentation and formulation which was approved in January 2019. The new, premixed presentation provides health care professionals with a formulation that is easy to administer, helping manage the treatment of patient pain and fever, while reducing opioid consumption. It is provided in a pre-mixed bag containing 800 mg of ibuprofen in a 200 mL patented low sodium formulation for injection that is ready to use. It is the first and only FDA-approved pre-mixed bag of ibuprofen. Caldolor is still available as an 800 mg/8mL single–dose vial for dilution in addition to the ready-to-use bag.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the FDA approved our submission to expand the labeling for Caldolor to include administration of the product prior to surgery. During our clinical studies we found that the product delivered its best results when dosed prior to surgery, reducing both patients’ pain as well as their need for opiates.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announced an agreement with PiSA Pharmaceutical for the registration and commercialization of Caldolor in Mexico. Under the terms of the agreement, Cumberland will be responsible for providing the product dossier and supplies. PiSA will be responsible for obtaining regulatory approval for the product in Mexico and introducing it to the new market. PiSA expects to provide the product in both 400- and 800-milligram vials.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2023, the FDA approved expanded labeling for Caldolor to include use in infants 3 to 6 months old. The safety and efficacy of Caldolor has now been established for the treatment of pain and fever in pediatric patients aged 3 months and older. With this newly approved labeling, Caldolor is the only non-opioid product approved to treat pain in infants that is delivered through injection.</w:t>
      </w:r>
    </w:p>
    <w:p>
      <w:pPr>
        <w:pStyle w:val="TextBody"/>
        <w:bidi w:val="0"/>
        <w:spacing w:lineRule="auto" w:line="288" w:before="160" w:after="283"/>
        <w:jc w:val="both"/>
        <w:rPr/>
      </w:pPr>
      <w:r>
        <w:rPr>
          <w:rFonts w:ascii="Times New Roman;sans-serif" w:hAnsi="Times New Roman;sans-serif"/>
          <w:b w:val="false"/>
          <w:color w:val="000000"/>
          <w:sz w:val="20"/>
        </w:rPr>
        <w:t xml:space="preserve">Also in 2023, we announced the publication of positive results from a clinical study investigating the safety and pharmacokinetics of Caldolor in infants. Published in the journal </w:t>
      </w:r>
      <w:r>
        <w:rPr>
          <w:rFonts w:ascii="Times New Roman;sans-serif" w:hAnsi="Times New Roman;sans-serif"/>
          <w:b w:val="false"/>
          <w:i/>
          <w:color w:val="000000"/>
          <w:sz w:val="20"/>
        </w:rPr>
        <w:t>Pediatric Drugs</w:t>
      </w:r>
      <w:r>
        <w:rPr>
          <w:rFonts w:ascii="Times New Roman;sans-serif" w:hAnsi="Times New Roman;sans-serif"/>
          <w:b w:val="false"/>
          <w:color w:val="000000"/>
          <w:sz w:val="20"/>
        </w:rPr>
        <w:t xml:space="preserve">, the results support the FDA’s approval of Caldolor in patients 3 to 6 months of age.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2024, we announced the release of a Special Report evaluating the growing amount of current data supporting the use of Caldolor as a standard of care for the treatment of pain and fever in adults, children and infants. The results demonstrated that the product is a safe and effective treatment for pain and fever in adults, children and infants as young as 3 months of age.</w:t>
      </w:r>
    </w:p>
    <w:p>
      <w:pPr>
        <w:pStyle w:val="TextBody"/>
        <w:bidi w:val="0"/>
        <w:spacing w:lineRule="auto" w:line="288" w:before="160" w:after="283"/>
        <w:jc w:val="both"/>
        <w:rPr/>
      </w:pPr>
      <w:r>
        <w:rPr>
          <w:rFonts w:ascii="Times New Roman;sans-serif" w:hAnsi="Times New Roman;sans-serif"/>
          <w:b w:val="false"/>
          <w:color w:val="000000"/>
          <w:sz w:val="20"/>
        </w:rPr>
        <w:t xml:space="preserve">Additionally in 2024, we announced the publication of new real-world outcomes research comparing Caldolor to its key competitor – ketorolac – in 150,000 patients. Published in </w:t>
      </w:r>
      <w:r>
        <w:rPr>
          <w:rFonts w:ascii="Times New Roman;sans-serif" w:hAnsi="Times New Roman;sans-serif"/>
          <w:b w:val="false"/>
          <w:i/>
          <w:color w:val="000000"/>
          <w:sz w:val="20"/>
        </w:rPr>
        <w:t>Frontiers of Pain Research</w:t>
      </w:r>
      <w:r>
        <w:rPr>
          <w:rFonts w:ascii="Times New Roman;sans-serif" w:hAnsi="Times New Roman;sans-serif"/>
          <w:b w:val="false"/>
          <w:color w:val="000000"/>
          <w:sz w:val="20"/>
        </w:rPr>
        <w:t>, the results provided compelling evidence that Caldolor is associated with a significantly reduced incidence of adverse drug reactions and also improved healthcare utilization.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we distributed both the vial and the ready-to-use premixed bag presentations of Caldolor. </w:t>
      </w:r>
    </w:p>
    <w:p>
      <w:pPr>
        <w:pStyle w:val="TextBody"/>
        <w:bidi w:val="0"/>
        <w:spacing w:lineRule="auto" w:line="288" w:before="160" w:after="283"/>
        <w:jc w:val="left"/>
        <w:rPr/>
      </w:pPr>
      <w:r>
        <w:rPr>
          <w:rFonts w:ascii="Times New Roman;sans-serif" w:hAnsi="Times New Roman;sans-serif"/>
          <w:b/>
          <w:i/>
          <w:color w:val="000000"/>
          <w:sz w:val="20"/>
        </w:rPr>
        <w:t>Kristalose</w:t>
      </w:r>
      <w:r>
        <w:rPr>
          <w:rFonts w:ascii="Times New Roman;sans-serif" w:hAnsi="Times New Roman;sans-serif"/>
          <w:b/>
          <w:i/>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Kristalose is a prescription laxative administered orally for the treatment of acute and chronic constipation. An innovative, dry powder crystalline formulation of lactulose, Kristalose is designed to enhance patient acceptance and compliance. It is the only prescription laxative available in pre-measured powder packets.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Kristalose dissolves easily in 4 ounces of water, offering patients a virtually taste-free, grit-free and essentially calorie-free alternative to lactulose syrups. We conducted a preference study which indicated that 77% of patients surveyed prefer the taste, consistency and portability of Kristalose over similar products in syrup forms.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acquired the assets and exclusive rights to Kristalose through a series of transactions, then assembled a dedicated field sales force which re-launched the product as a Cumberland brand. We directed our sales efforts to physicians who are the most prolific writers of prescription laxatives, including gastroenterologists and internists. We supplemented this personal promotion with telemarketing campaigns to expand our reach and support of the product. Using preference data as a cornerstone of our marketing efforts, we repositioned the brand, enhancing patient affordability through a coupon program and expanded managed care coverage for the product.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added a co-promotion partner, Poly Pharmaceuticals, who is promoting Kristalose to physician targets not covered by our field sales forces. We then added another partner, Foxland Pharmaceuticals, Inc., who is repackaging Kristalose and featuring it with additional new physician targets.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Kristalose award-winning marketing campaign was refreshed for 2022 to support increased engagement with our customers. We also expanded patient support for the brand – and it was added to the GoodRx platform in 2022.</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we continued to support Kristalose through our field sales force as well as our partnerships with Poly Pharmaceuticals and Foxland Pharmaceuticals, Inc.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found that the brand performs best in states where we have Medicaid coverage, such as Texas, New York and Wisconsin. We also learned that Kristalose is now covered on certain Virginia, Louisiana and Maine Medicaid plans. We are implementing a special initiative to increase our presence and share of voice in these states and believe that this new coverage is contributing to the growth of the product.</w:t>
      </w:r>
    </w:p>
    <w:p>
      <w:pPr>
        <w:pStyle w:val="TextBody"/>
        <w:bidi w:val="0"/>
        <w:spacing w:lineRule="auto" w:line="288" w:before="160" w:after="283"/>
        <w:jc w:val="left"/>
        <w:rPr/>
      </w:pPr>
      <w:r>
        <w:rPr>
          <w:rFonts w:ascii="Times New Roman;sans-serif" w:hAnsi="Times New Roman;sans-serif"/>
          <w:b/>
          <w:i/>
          <w:color w:val="000000"/>
          <w:sz w:val="20"/>
        </w:rPr>
        <w:t>Sancuso</w:t>
      </w:r>
      <w:r>
        <w:rPr>
          <w:rFonts w:ascii="Times New Roman;sans-serif" w:hAnsi="Times New Roman;sans-serif"/>
          <w:b/>
          <w:i/>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the end of 2021, we entered into an agreement with Kyowa Kirin to acquire the U.S. assets and rights to Sancuso (granisetron transdermal system), an FDA-approved oncology supportive care medicine. This transaction closed in January 2022.</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Sancuso is the first and only FDA-approved prescription patch for the prevention of nausea and vomiting in patients receiving certain types of chemotherapy treatment for their cancer.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early 2022, we assumed full commercial responsibility for the product in the U.S. – including its marketing, promotion, distribution, manufacturing and medical support activities. Kyowa Kirin retained international rights, continuing to deliver the product to address oncology patients’ needs throughout the rest of the world. In January 2022, we began shipments of the product and formed a new sales force, Cumberland Oncology, to support the brand. During 2023, we completed the transition of Sancuso from Kyowa Kirin to Cumberland, including the NDA transfer, and expanded our oncology sales division to further support the brand. We also successfully transferred manufacture of the product to a new facility. Following FDA approval of that site, we introduced our newly Cumberland-packaged product in 2024, supported by our expanded oncology sales division. </w:t>
      </w:r>
    </w:p>
    <w:p>
      <w:pPr>
        <w:pStyle w:val="TextBody"/>
        <w:bidi w:val="0"/>
        <w:spacing w:lineRule="auto" w:line="288" w:before="160" w:after="283"/>
        <w:jc w:val="left"/>
        <w:rPr/>
      </w:pPr>
      <w:r>
        <w:rPr>
          <w:rFonts w:ascii="Times New Roman;sans-serif" w:hAnsi="Times New Roman;sans-serif"/>
          <w:b/>
          <w:i/>
          <w:color w:val="000000"/>
          <w:sz w:val="20"/>
        </w:rPr>
        <w:t>Vaprisol</w:t>
      </w:r>
      <w:r>
        <w:rPr>
          <w:rFonts w:ascii="Times New Roman;sans-serif" w:hAnsi="Times New Roman;sans-serif"/>
          <w:b/>
          <w:i/>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acquired the assets and rights to Vaprisol, a prescription brand indicated to raise serum sodium levels in hospitalized patients with euvolemic and hypervolemic hyponatremia. It is one of two branded prescription products indicated for the treatment of hyponatremia, and the only intravenously administered branded treatment.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Hyponatremia, an imbalance of serum sodium to body water, is the most common electrolyte disorder among hospitalized patients. These electrolyte disturbances occur when the sodium ion concentration in the plasma is lower than normal and are often associated with a variety of critical care conditions including congestive heart failure, liver failure, kidney failure and pneumonia. Vaprisol raises serum sodium to appropriate levels and promotes free water secretion. Our Vaprisol product has a proven day-one response rate to normalize serum sodium levels in hyponatremic patients and move them out of the Intensive Care Unit as efficiently as possible.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Vaprisol is supported by our hospital sales division. Demand for the product increased in 2020 during the pandemic, and we worked to support the expanded use of the product in hospitals and clinics during the health care crisis. During 2021, we shipped all remaining inventory of the product and notified the FDA that supplies of the product are not currently available. We have since transferred the product’s manufacturing to a new facility. Our new manufacturing partner is working with the FDA to address several Form 483 and warning letter issues in a timely manner. We next expect to file for the approval to manufacture branded Vaprisol once all FDA issues at the new site are resolved.</w:t>
      </w:r>
    </w:p>
    <w:p>
      <w:pPr>
        <w:pStyle w:val="TextBody"/>
        <w:bidi w:val="0"/>
        <w:spacing w:lineRule="auto" w:line="288" w:before="160" w:after="283"/>
        <w:jc w:val="left"/>
        <w:rPr/>
      </w:pPr>
      <w:r>
        <w:rPr>
          <w:rFonts w:ascii="Times New Roman;sans-serif" w:hAnsi="Times New Roman;sans-serif"/>
          <w:b/>
          <w:i/>
          <w:color w:val="000000"/>
          <w:sz w:val="20"/>
        </w:rPr>
        <w:t>Vibativ</w:t>
      </w:r>
      <w:r>
        <w:rPr>
          <w:rFonts w:ascii="Times New Roman;sans-serif" w:hAnsi="Times New Roman;sans-serif"/>
          <w:b/>
          <w:i/>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2018, the Company announced an agreement to acquire the Vibativ assets and assume global responsibility for the brand including the related marketing, distribution, manufacturing and regulatory activities. In early 2021, we introduced the Cumberland-packaged product, which is supported by our hospital sales force.</w:t>
      </w:r>
    </w:p>
    <w:p>
      <w:pPr>
        <w:pStyle w:val="TextBody"/>
        <w:bidi w:val="0"/>
        <w:spacing w:lineRule="auto" w:line="288" w:before="160" w:after="283"/>
        <w:jc w:val="both"/>
        <w:rPr/>
      </w:pPr>
      <w:r>
        <w:rPr>
          <w:rFonts w:ascii="Times New Roman;sans-serif" w:hAnsi="Times New Roman;sans-serif"/>
          <w:b w:val="false"/>
          <w:color w:val="000000"/>
          <w:sz w:val="20"/>
        </w:rPr>
        <w:t xml:space="preserve">Vibativ is a patented, FDA-approved injectable anti-infective. It is designed to treat serious infections due to </w:t>
      </w:r>
      <w:r>
        <w:rPr>
          <w:rFonts w:ascii="Times New Roman;sans-serif" w:hAnsi="Times New Roman;sans-serif"/>
          <w:b w:val="false"/>
          <w:i/>
          <w:color w:val="000000"/>
          <w:sz w:val="20"/>
        </w:rPr>
        <w:t xml:space="preserve">Staphylococcus aureus (“S. Aureus") </w:t>
      </w:r>
      <w:r>
        <w:rPr>
          <w:rFonts w:ascii="Times New Roman;sans-serif" w:hAnsi="Times New Roman;sans-serif"/>
          <w:b w:val="false"/>
          <w:color w:val="000000"/>
          <w:sz w:val="20"/>
        </w:rPr>
        <w:t xml:space="preserve">and other Gram-positive bacteria, including </w:t>
      </w:r>
      <w:r>
        <w:rPr>
          <w:rFonts w:ascii="Times New Roman;sans-serif" w:hAnsi="Times New Roman;sans-serif"/>
          <w:b w:val="false"/>
          <w:i/>
          <w:color w:val="000000"/>
          <w:sz w:val="20"/>
        </w:rPr>
        <w:t xml:space="preserve">Methicillin-resistant Staphylococcus aureus (“MRSA”)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Methicillin-sensitive Staphylococcus aureus (“MSSA”</w:t>
      </w:r>
      <w:r>
        <w:rPr>
          <w:rFonts w:ascii="Times New Roman;sans-serif" w:hAnsi="Times New Roman;sans-serif"/>
          <w:b w:val="false"/>
          <w:color w:val="000000"/>
          <w:sz w:val="20"/>
        </w:rPr>
        <w:t>). Vibativ addresses a range of Gram-positive bacterial pathogens, including those that are considered difficult-to-treat and multidrug-resistant.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Vibativ can serve as a potentially life-saving treatment in patients with hospital-acquired and ventilator-associated pneumonia resulting from infections including the flu, RSV and COVID-19.</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Pneumonia caused by secondary bacterial infections is common among patients with viral respiratory infections. Research shows that hospital-acquired pneumonia (“HAP”) and ventilator-associated pneumonia (“VAP”) have historically accounted for 22% of common hospital-acquired infections. MSSA and MRSA are important disease-causing pathogens in these cases.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many recently introduced antibiotics are quickly losing the battle to fight the bacteria they were designed to kill because those bacteria have become drug-resistant, Vibativ was specifically designed to kill drug-resistant bacteria.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molecule of an existing antibiotic to which bacteria had developed a resistance, vancomycin, was altered by adding a lipophilic (fat-loving) component and a hydrophilic (water-loving) component. The lipophilic addition increases Vibativ’s ability to penetrate the cell wall and inhibits the formation of new cell walls (the development of new and/or additional cell walls is the most common way that bacteria become resistant to drugs). The hydrophilic addition increases Vibativ’s penetration into tissue – so it is able to attack infections that are not reachable by other antibiotics. In comparison to vancomycin, Vibativ is 32 times more potent against MRSA strains when tested under in vitro conditions. Further, in clinical trials, Vibativ demonstrated superior cure rates of patients with hospital-acquired bacterial pneumonia.</w:t>
      </w:r>
    </w:p>
    <w:p>
      <w:pPr>
        <w:pStyle w:val="TextBody"/>
        <w:bidi w:val="0"/>
        <w:spacing w:lineRule="auto" w:line="288" w:before="160" w:after="283"/>
        <w:jc w:val="both"/>
        <w:rPr/>
      </w:pPr>
      <w:r>
        <w:rPr>
          <w:rFonts w:ascii="Times New Roman;sans-serif" w:hAnsi="Times New Roman;sans-serif"/>
          <w:b w:val="false"/>
          <w:color w:val="000000"/>
          <w:sz w:val="20"/>
        </w:rPr>
        <w:t xml:space="preserve">In 2023, we announced a new publication in </w:t>
      </w:r>
      <w:r>
        <w:rPr>
          <w:rFonts w:ascii="Times New Roman;sans-serif" w:hAnsi="Times New Roman;sans-serif"/>
          <w:b w:val="false"/>
          <w:i/>
          <w:color w:val="000000"/>
          <w:sz w:val="20"/>
        </w:rPr>
        <w:t>Antimicrobial Agents and Chemotherapy</w:t>
      </w:r>
      <w:r>
        <w:rPr>
          <w:color w:val="000000"/>
        </w:rPr>
        <w:t xml:space="preserve"> </w:t>
      </w:r>
      <w:r>
        <w:rPr>
          <w:rFonts w:ascii="Times New Roman;sans-serif" w:hAnsi="Times New Roman;sans-serif"/>
          <w:b w:val="false"/>
          <w:color w:val="000000"/>
          <w:sz w:val="20"/>
        </w:rPr>
        <w:t>detailing the results of the first clinical study investigating the safety and pharmacokinetics of our Vibativ product in children 2 to 17 years of age. The results of the study suggest that a single dose of Vibativ is safe in children and they experience reduced exposure to Vibativ, compared with the same body weight-based dosing in adults.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we remain focused on promoting Vibativ in the U.S. market, we are building a network of other established companies to bring Vibativ to patients in their countries and territories. In 2022, we announced a new partnership with Saudi Arabia-based Tabuk Pharmaceutical to introduce Vibativ into the Middle East. The arrangement provides Tabuk exclusive rights to distribute Vibativ in Saudi Arabia and Jordan, with the option to expand into other countries in the region. We recently began shipping Vibativ to Tabuk in preparation for their launch of the product in Saudi Arabia. Additionally, D.B. Pharm, our partner in South Korea who also distributes Caldolor, is awaiting the approval of Vibativ in their country.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Meanwhile, our Vibativ partner for the Chinese market, SciClone Pharmaceuticals, had their approval application in China accepted for review in September 2021. We have since been supporting SciClone and their requests associated with review of that submission. They recently obtained that approval and believe that there is significant potential for Vibativ in their country.</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PIPELINE</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Ifetroban Clinical Studies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Ifetroban is a selective thromboxane-prostanoid receptor (“TPr”) antagonist that has been dosed in over 1,400 subjects, demonstrating safety and well-tolerated profiles in both healthy volunteers and various patient populations. We are currently advancing two Phase II clinical programs evaluating ifetroban:1) treatment of Systemic Sclerosis (scleroderma), a debilitating autoimmune disorder characterized by diffuse fibrosis of the skin and internal organs, and 2) treatment of Idiopathic Pulmonary Fibrosis (IPF), the most common form of progressive fibrosing interstitial lung disease (PF-ILD). The FDA has cleared investigational new study applications for both indications, enabling the launch of clinical studies in each area.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recently completed a Phase II study in patients with cardiomyopathy associated with Duchenne muscular dystrophy, a rare, fatal genetic neuromuscular disease that results in deterioration of skeletal, heart and lung muscles. Next steps include further data analysis and completion of a full study report in preparation for an end-of-Phase-II meeting with the FDA to determine the development and commercialization pathway.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completed pilot Phase II studies in patients with 1) Hepatorenal Syndrome, a life-threatening condition involving liver and kidney failure, 2) Portal Hypertension associated with chronic liver disease and 3) Aspirin-Exacerbated Respiratory Disease, a severe form of asthma. No significant safety issues were identified with ifetroban use in these patient populations.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Multiple additional pilot studies of ifetroban are also currently in progress, including several investigator-initiated preclinical and clinical trials.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Following is detailed information about our clinical programs evaluating ifetroban:</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Duchenne Muscular Dystrophy (“DMD”)</w:t>
      </w:r>
    </w:p>
    <w:p>
      <w:pPr>
        <w:pStyle w:val="TextBody"/>
        <w:bidi w:val="0"/>
        <w:spacing w:lineRule="auto" w:line="288" w:before="160" w:after="283"/>
        <w:jc w:val="both"/>
        <w:rPr/>
      </w:pPr>
      <w:r>
        <w:rPr>
          <w:rFonts w:ascii="Times New Roman;sans-serif" w:hAnsi="Times New Roman;sans-serif"/>
          <w:b w:val="false"/>
          <w:color w:val="000000"/>
          <w:sz w:val="20"/>
        </w:rPr>
        <w:t>In February of 2025, we announced positive top-line results from our Phase II study of oral ifetroban</w:t>
      </w:r>
      <w:r>
        <w:rPr>
          <w:color w:val="000000"/>
        </w:rPr>
        <w:t xml:space="preserve"> </w:t>
      </w:r>
      <w:r>
        <w:rPr>
          <w:rFonts w:ascii="Times New Roman;sans-serif" w:hAnsi="Times New Roman;sans-serif"/>
          <w:b w:val="false"/>
          <w:color w:val="000000"/>
          <w:sz w:val="20"/>
        </w:rPr>
        <w:t>(Dyscorban</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for treating cardiomyopathy associated with DMD. The study marks a breakthrough as the first successful Phase II study specifically targeting the cardiac complications in DMD patients. Cardiomyopathy is the leading cause of death in DMD patients, and elevated levels of TPr and its ligand, isoprostanes, are found in these patients.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trial enrolled 41 DMD patients who received either low-dose ifetroban (100 mg per day), high-dose ifetroban (300 mg per day) or placebo. The study’s primary endpoint was improvement in left ventricular ejection fraction (“LVEF”). Key findings include: 1) high-dose ifetroban treatment resulted in an overall 3.3% improvement in LVEF; 2) the high-dose ifetroban group showed a 1.8% increase in LVEF, while the placebo group showed an expected decline of 1.5%; 3) compared with propensity-matched natural history controls, the difference was more pronounced, with high-dose treatment providing a significant 5.4% overall improvement in LVEF, as control patients experienced a 3.6% decline and 4) both doses were well-tolerated, with no serious drug-related events.</w:t>
      </w:r>
    </w:p>
    <w:p>
      <w:pPr>
        <w:pStyle w:val="TextBody"/>
        <w:bidi w:val="0"/>
        <w:spacing w:lineRule="auto" w:line="288" w:before="160" w:after="283"/>
        <w:jc w:val="both"/>
        <w:rPr/>
      </w:pPr>
      <w:r>
        <w:rPr>
          <w:rFonts w:ascii="Times New Roman;sans-serif" w:hAnsi="Times New Roman;sans-serif"/>
          <w:b w:val="false"/>
          <w:color w:val="000000"/>
          <w:sz w:val="20"/>
        </w:rPr>
        <w:t xml:space="preserve">Preclinical studies by our Vanderbilt collaborators demonstrated TPr blockade by ifetroban prevented cardiac dysfunction and improved mortality in several animal models of muscular dystrophy. These results, published in the </w:t>
      </w:r>
      <w:r>
        <w:rPr>
          <w:rFonts w:ascii="Times New Roman;sans-serif" w:hAnsi="Times New Roman;sans-serif"/>
          <w:b w:val="false"/>
          <w:i/>
          <w:color w:val="000000"/>
          <w:sz w:val="20"/>
        </w:rPr>
        <w:t xml:space="preserve">Journal of the American Heart Association, </w:t>
      </w:r>
      <w:r>
        <w:rPr>
          <w:rFonts w:ascii="Times New Roman;sans-serif" w:hAnsi="Times New Roman;sans-serif"/>
          <w:b w:val="false"/>
          <w:color w:val="000000"/>
          <w:sz w:val="20"/>
        </w:rPr>
        <w:t>suggest TPr activation contributes to DMD cardiomyopathy and blockade with ifetroban may serve as a novel therapeutic for DMD patients.</w:t>
      </w:r>
    </w:p>
    <w:p>
      <w:pPr>
        <w:pStyle w:val="TextBody"/>
        <w:bidi w:val="0"/>
        <w:spacing w:lineRule="auto" w:line="288" w:before="160" w:after="283"/>
        <w:jc w:val="both"/>
        <w:rPr/>
      </w:pPr>
      <w:r>
        <w:rPr>
          <w:rFonts w:ascii="Times New Roman;sans-serif" w:hAnsi="Times New Roman;sans-serif"/>
          <w:b w:val="false"/>
          <w:color w:val="000000"/>
          <w:sz w:val="20"/>
        </w:rPr>
        <w:t xml:space="preserve">The FDA has granted both </w:t>
      </w:r>
      <w:r>
        <w:rPr>
          <w:rFonts w:ascii="Times New Roman;sans-serif" w:hAnsi="Times New Roman;sans-serif"/>
          <w:b w:val="false"/>
          <w:i/>
          <w:color w:val="000000"/>
          <w:sz w:val="20"/>
        </w:rPr>
        <w:t>Orphan Drug Designation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Rare Pediatric Disease Designation</w:t>
      </w:r>
      <w:r>
        <w:rPr>
          <w:color w:val="000000"/>
        </w:rPr>
        <w:t xml:space="preserve"> </w:t>
      </w:r>
      <w:r>
        <w:rPr>
          <w:rFonts w:ascii="Times New Roman;sans-serif" w:hAnsi="Times New Roman;sans-serif"/>
          <w:b w:val="false"/>
          <w:color w:val="000000"/>
          <w:sz w:val="20"/>
        </w:rPr>
        <w:t xml:space="preserve">for ifetroban for the treatment of cardiomyopathy associated with DMD. If approved, it would be the first therapy specifically indicated for the heart disease associated with DMD.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was awarded over $1 million in federal funding to support this clinical trial, the first DMD study awarded FDA Orphan Product Development funding. Due to the COVID-19 pandemic’s impact on clinical research in 2020, the FDA awarded a supplemental grant to support the study.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Systemic Sclerosis (“SSc”)</w:t>
      </w:r>
    </w:p>
    <w:p>
      <w:pPr>
        <w:pStyle w:val="TextBody"/>
        <w:bidi w:val="0"/>
        <w:spacing w:lineRule="auto" w:line="288" w:before="160" w:after="283"/>
        <w:jc w:val="both"/>
        <w:rPr/>
      </w:pPr>
      <w:r>
        <w:rPr>
          <w:rFonts w:ascii="Times New Roman;sans-serif" w:hAnsi="Times New Roman;sans-serif"/>
          <w:b w:val="false"/>
          <w:color w:val="000000"/>
          <w:sz w:val="20"/>
        </w:rPr>
        <w:t>We are developing ifetroban oral capsules under the brand name Vasculan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for treating Systemic sclerosis. SSc has the highest case-specific mortality of any rheumatic disorder, with 50% of patients dying or developing major internal organ complications within three years of diagnosis. While several medications treat SSc-associated skin disease, no universally effective treatment exists for improving affected internal organ function, including the cardiovascular system.</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Cardiac involvement in SSc is often underestimated due to its subtle and atypical presentation. Despite cardiovascular events contributing to elevated mortality in later disease stages, overt signs typically indicate advanced disease, including myocardial or pericardial inflammation, heart failure and pulmonary arterial hypertension (“PAH”).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Vanderbilt collaborators completed preclinical studies demonstrating that TPr blockade with ifetroban prevents cardiac fibrosis and can restore cardiac function in PAH animal models.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FDA cleared our IND application for a 34-subject Phase II trial evaluating 12 months of oral ifetroban (Vasculan) in patients with diffuse cutaneous SSc, and those with SSc-associated PAH. The study is currently enrolling patients.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Idiopathic Pulmonary Fibrosis (“IPF”)</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we launched our FIGHTING FIBROSIS trial, a Phase II clinical study evaluating ifetroban for Progressive Fibrosing Interstitial Lung Diseases (“PF-ILDs”). The study is designed to enroll approximately 128 patients across more than 20 U.S. medical centers of excellence to evaluate the safety, tolerability and efficacy of oral ifetroban in IPF patients, the most common form of PF-ILD. This program is supported by studies published by our Vanderbilt collaborators which demonstrated ifetroban could both prevent and enhance resolution of lung fibrosis in multiple preclinical models.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Future Development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immediate focus is completing the Company-sponsored studies, analyzing their final data, and announcing top-line results. The comprehensive evaluation will inform our strategy for the registration pathway for ifetroban, Cumberland’s first new chemical entity. We continue to believe ifetroban has significant potential to benefit patients with orphan diseases representing substantial unmet medical needs.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GROWTH STRATEGY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Cumberland’s growth strategy involves maximizing the potential of our existing brands, while continuing to build a portfolio of differentiated products. We currently own six products approved by the FDA in the United States. We are also building international partnerships to bring our medicines to patients in other countries. Additionally, we look for opportunities to expand our brands into new patient populations through clinical trials, new product presentations and our support of select, investigator-initiated studies. Meanwhile, our clinical team is developing a pipeline of new product candidates to address poorly met medical needs. We also pursue opportunities to acquire additional marketed brands, as well as late-stage development product candidates in our target medical specialties. </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supplementing these activities with the earlier-stage product development at Cumberland Emerging Technologies ("CET"), our majority-owned subsidiary. CET partners with academic research institutions to identify and support the progress of promising new product candidates, which Cumberland can further develop and commercialize.</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Specifically, we are seeking long-term, sustainable growth by: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shd w:fill="FFFFFF" w:val="clear"/>
        </w:rPr>
        <w:t xml:space="preserve">Supporting and expanding the use of our marketed products. </w:t>
      </w:r>
      <w:r>
        <w:rPr>
          <w:rFonts w:ascii="Times New Roman;sans-serif" w:hAnsi="Times New Roman;sans-serif"/>
          <w:b w:val="false"/>
          <w:color w:val="000000"/>
          <w:sz w:val="20"/>
          <w:shd w:fill="FFFFFF" w:val="clear"/>
        </w:rPr>
        <w:t>We continue to evaluate our products following their FDA approval to determine if additional clinical data could expand their market and use. For example, we have secured pediatric approval of Acetadote and Caldolor and expanded the labeling for both brands accordingly. We also added pre-surgery dosing for Caldolor, and recently included newborns to the patients who can benefit from the product.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shd w:fill="FFFFFF" w:val="clear"/>
        </w:rPr>
        <w:t>Selectively adding complementary brands.</w:t>
      </w:r>
      <w:r>
        <w:rPr>
          <w:color w:val="000000"/>
          <w:shd w:fill="FFFFFF" w:val="clear"/>
        </w:rPr>
        <w:t xml:space="preserve"> </w:t>
      </w:r>
      <w:r>
        <w:rPr>
          <w:rFonts w:ascii="Times New Roman;sans-serif" w:hAnsi="Times New Roman;sans-serif"/>
          <w:b w:val="false"/>
          <w:color w:val="000000"/>
          <w:sz w:val="20"/>
          <w:shd w:fill="FFFFFF" w:val="clear"/>
        </w:rPr>
        <w:t>In addition to our product development activities, we are also seeking to acquire approved brands or late-stage development product candidates to continue to build our portfolio. We seek under-promoted, FDA-approved drugs as well as late-stage development products that can improve patient care. We will continue to target product acquisition candidates that are competitively differentiated and have valuable intellectual property or other protective features. Our acquisitions of Vibativ and Sancuso are examples of the implementation of this strategy.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shd w:fill="FFFFFF" w:val="clear"/>
        </w:rPr>
        <w:t>Progressing our clinical pipeline and incubating future product opportunities at CET.</w:t>
      </w:r>
      <w:r>
        <w:rPr>
          <w:color w:val="000000"/>
          <w:shd w:fill="FFFFFF" w:val="clear"/>
        </w:rPr>
        <w:t xml:space="preserve"> </w:t>
      </w:r>
      <w:r>
        <w:rPr>
          <w:rFonts w:ascii="Times New Roman;sans-serif" w:hAnsi="Times New Roman;sans-serif"/>
          <w:b w:val="false"/>
          <w:color w:val="000000"/>
          <w:sz w:val="20"/>
          <w:shd w:fill="FFFFFF" w:val="clear"/>
        </w:rPr>
        <w:t>We believe it is important to build a pipeline of innovative new product opportunities, as we are doing through our ifetroban Phase II development programs. We are also supplementing our acquisitions and late-stage development activities with the early-stage product development activities at CET.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shd w:fill="FFFFFF" w:val="clear"/>
        </w:rPr>
        <w:t>Leveraging our infrastructure through co-promotion partnerships.</w:t>
      </w:r>
      <w:r>
        <w:rPr>
          <w:color w:val="000000"/>
          <w:shd w:fill="FFFFFF" w:val="clear"/>
        </w:rPr>
        <w:t xml:space="preserve"> </w:t>
      </w:r>
      <w:r>
        <w:rPr>
          <w:rFonts w:ascii="Times New Roman;sans-serif" w:hAnsi="Times New Roman;sans-serif"/>
          <w:b w:val="false"/>
          <w:color w:val="000000"/>
          <w:sz w:val="20"/>
          <w:shd w:fill="FFFFFF" w:val="clear"/>
        </w:rPr>
        <w:t>We believe that our commercial infrastructure can help drive prescription volume and product sales. We also look for strategic partners that can complement our capabilities and enhance opportunities for our brands. For example, our co-promotion partnerships have allowed us to expand the support for Kristalose across the United States.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shd w:fill="FFFFFF" w:val="clear"/>
        </w:rPr>
        <w:t xml:space="preserve">Building an international contribution to our business. </w:t>
      </w:r>
      <w:r>
        <w:rPr>
          <w:rFonts w:ascii="Times New Roman;sans-serif" w:hAnsi="Times New Roman;sans-serif"/>
          <w:b w:val="false"/>
          <w:color w:val="000000"/>
          <w:sz w:val="20"/>
          <w:shd w:fill="FFFFFF" w:val="clear"/>
        </w:rPr>
        <w:t>We have established our own commercial capabilities, including three sales divisions, that focus on the U.S. market for our products. We are also working with a network of select international partners to register our products and make them available to patients in their countries. We will continue to support our partners’ registration and commercialization efforts in their respective territories. The acquisition of Vibativ resulted in several new international partners and market opportunities.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shd w:fill="FFFFFF" w:val="clear"/>
        </w:rPr>
        <w:t>Managing our operations with financial discipline.</w:t>
      </w:r>
      <w:r>
        <w:rPr>
          <w:color w:val="000000"/>
          <w:shd w:fill="FFFFFF" w:val="clear"/>
        </w:rPr>
        <w:t xml:space="preserve"> </w:t>
      </w:r>
      <w:r>
        <w:rPr>
          <w:rFonts w:ascii="Times New Roman;sans-serif" w:hAnsi="Times New Roman;sans-serif"/>
          <w:b w:val="false"/>
          <w:color w:val="000000"/>
          <w:sz w:val="20"/>
          <w:shd w:fill="FFFFFF" w:val="clear"/>
        </w:rPr>
        <w:t>We continually work to manage our expenses in line with our revenues, to deliver positive cash flow from operations. We seek to maintain favorable gross margins and a strong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Cumberland’s sales and marketing team has broad industry experience in selling branded pharmaceuticals. Our sales and marketing executives direct our national marketing campaigns and maintain key national account relationships. They also manage our dedicated hospital, field and oncology sales forces, which are comprised of approximately 60 sales professionals.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i/>
          <w:color w:val="000000"/>
          <w:sz w:val="20"/>
        </w:rPr>
        <w:t>Hospital market:</w:t>
      </w:r>
      <w:r>
        <w:rPr>
          <w:color w:val="000000"/>
        </w:rPr>
        <w:t xml:space="preserve"> </w:t>
      </w:r>
      <w:r>
        <w:rPr>
          <w:rFonts w:ascii="Times New Roman;sans-serif" w:hAnsi="Times New Roman;sans-serif"/>
          <w:b w:val="false"/>
          <w:color w:val="000000"/>
          <w:sz w:val="20"/>
        </w:rPr>
        <w:t xml:space="preserve">We promote Caldolor and Vibativ through our dedicated hospital sales division. This organization targets key hospitals across the U.S. and is comprised of sales professionals with substantial experience in the hospital market. Independent market data continues to indicate that the majority of pharmaceutical promotional spending is directed toward large, outpatient markets on drugs intended for chronic use rather than short-term, hospital use.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hospital market is underserved and highly concentrated, and that it can be penetrated effectively by a small, dedicated sales force without large-scale promotional activity. Our established position in the hospital market provided the rationale for adding Vibativ as our first infectious disease product that complements our hospital product line. Our strategy has been to focus our hospital sales team on select, high-priority accounts.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hanging="360"/>
        <w:jc w:val="both"/>
        <w:rPr/>
      </w:pPr>
      <w:r>
        <w:rPr>
          <w:color w:val="000000"/>
        </w:rPr>
        <w:t>•</w:t>
      </w:r>
      <w:r>
        <w:rPr>
          <w:rFonts w:ascii="Times New Roman;sans-serif" w:hAnsi="Times New Roman;sans-serif"/>
          <w:b/>
          <w:i/>
          <w:color w:val="000000"/>
          <w:sz w:val="20"/>
        </w:rPr>
        <w:t>Gastroenterology market:</w:t>
      </w:r>
      <w:r>
        <w:rPr>
          <w:color w:val="000000"/>
        </w:rPr>
        <w:t xml:space="preserve"> </w:t>
      </w:r>
      <w:r>
        <w:rPr>
          <w:rFonts w:ascii="Times New Roman;sans-serif" w:hAnsi="Times New Roman;sans-serif"/>
          <w:b w:val="false"/>
          <w:color w:val="000000"/>
          <w:sz w:val="20"/>
        </w:rPr>
        <w:t>We promote Kristalose through a dedicated field sales team addressing a targeted group of physicians who are existing and potential large prescribers of the product. Because the market for gastrointestinal diseases is broad in patient scope, yet relatively narrow in physician base, we believe it provides opportunities that can be penetrated with a modest-sized sales force. We also believe that we can increase market share for Kristalose through our co-promotion and marketing initiatives.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i/>
          <w:color w:val="000000"/>
          <w:sz w:val="20"/>
        </w:rPr>
        <w:t xml:space="preserve">Oncology market: </w:t>
      </w:r>
      <w:r>
        <w:rPr>
          <w:rFonts w:ascii="Times New Roman;sans-serif" w:hAnsi="Times New Roman;sans-serif"/>
          <w:b w:val="false"/>
          <w:color w:val="000000"/>
          <w:sz w:val="20"/>
        </w:rPr>
        <w:t xml:space="preserve">In early 2022, we formed a new oncology sales force to promote our Sancuso brand. This organization targets key oncologists and clinics across the U.S. and is comprised of both inside and field-based sales professionals. During 2023, we expanded the sales division as we work to deliver Sancuso to more cancer patients, helping them tolerate their chemotherapy treatments.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executives conduct ongoing analyses to evaluate marketing campaigns and promotional programs in support of our brands. The evaluations include development of product profiles, testing of the profiles against the needs of the market, determining what additional product information or development work is needed to effectively market the products and preparing financial forecasts. We utilize professional branding and packaging as well as promotional items to support our products, including direct mail, promotional aides, journal advertising, educational and reminder leave-behinds, patient educational pieces, coupons and product sampling. We also regularly attend select medical meetings and trade shows to expand the awareness of our products.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national accounts team is responsible for key large buyers and related marketing programs. We also maintain relationships with our wholesaler customers, third-party payors, group purchasing organizations, pharmacy benefit managers, hospital buying groups, outpatient centers, state and federal government purchasers, and health insurance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MATERIAL CUSTOMERS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customers are wholesale pharmaceutical distributors in the United States. Total revenue by customer for each customer representing 10% or more of consolidated gross revenues are summarized below for the year ended December 31, 2024:</w:t>
      </w:r>
    </w:p>
    <w:tbl>
      <w:tblPr>
        <w:tblW w:w="2554" w:type="dxa"/>
        <w:jc w:val="center"/>
        <w:tblInd w:w="0" w:type="dxa"/>
        <w:tblLayout w:type="fixed"/>
        <w:tblCellMar>
          <w:top w:w="28" w:type="dxa"/>
          <w:left w:w="28" w:type="dxa"/>
          <w:bottom w:w="28" w:type="dxa"/>
          <w:right w:w="28" w:type="dxa"/>
        </w:tblCellMar>
      </w:tblPr>
      <w:tblGrid>
        <w:gridCol w:w="380"/>
        <w:gridCol w:w="334"/>
        <w:gridCol w:w="335"/>
        <w:gridCol w:w="109"/>
        <w:gridCol w:w="109"/>
        <w:gridCol w:w="109"/>
        <w:gridCol w:w="159"/>
        <w:gridCol w:w="159"/>
        <w:gridCol w:w="161"/>
        <w:gridCol w:w="109"/>
        <w:gridCol w:w="109"/>
        <w:gridCol w:w="109"/>
        <w:gridCol w:w="109"/>
        <w:gridCol w:w="109"/>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INTERNATIONAL PARTNERSHIPS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our own capabilities to support the commercialization of our products in the U.S. Our international strategy is to identify and partner with other companies that have the appropriate capabilities to support our products in their respective countries. We have entered into a series of agreements to establish an international network, which is summarized in the table below and includes information on our primary partners:</w:t>
      </w:r>
    </w:p>
    <w:tbl>
      <w:tblPr>
        <w:tblW w:w="9152" w:type="dxa"/>
        <w:jc w:val="center"/>
        <w:tblInd w:w="0" w:type="dxa"/>
        <w:tblLayout w:type="fixed"/>
        <w:tblCellMar>
          <w:top w:w="28" w:type="dxa"/>
          <w:left w:w="28" w:type="dxa"/>
          <w:bottom w:w="28" w:type="dxa"/>
          <w:right w:w="28" w:type="dxa"/>
        </w:tblCellMar>
      </w:tblPr>
      <w:tblGrid>
        <w:gridCol w:w="950"/>
        <w:gridCol w:w="835"/>
        <w:gridCol w:w="839"/>
        <w:gridCol w:w="109"/>
        <w:gridCol w:w="109"/>
        <w:gridCol w:w="109"/>
        <w:gridCol w:w="627"/>
        <w:gridCol w:w="627"/>
        <w:gridCol w:w="635"/>
        <w:gridCol w:w="109"/>
        <w:gridCol w:w="109"/>
        <w:gridCol w:w="109"/>
        <w:gridCol w:w="694"/>
        <w:gridCol w:w="694"/>
        <w:gridCol w:w="697"/>
        <w:gridCol w:w="109"/>
        <w:gridCol w:w="109"/>
        <w:gridCol w:w="109"/>
        <w:gridCol w:w="397"/>
        <w:gridCol w:w="397"/>
        <w:gridCol w:w="407"/>
        <w:gridCol w:w="109"/>
        <w:gridCol w:w="109"/>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International 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Territory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Phebra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Acetadote &amp; Caldolor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D.B. Pharm Korea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Caldolor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Korea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R-Pharm JSC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Vibativ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 and CIS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Marketed</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Tabuk Pharmaceuticals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Vibativ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Saudi Arabia and Jordan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PiSA Pharmaceutical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Caldolor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SciClone Pharmaceuticals,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Vibativ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and Hong Kong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D.B. Pharm Korea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Vaprisol &amp; Vibativ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Korea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WinHealth Pharma Group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Acetadote &amp; Caldolor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and Hong Kong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international commercialization agreements include a license to one or more Cumberland products for a specific territory as noted in the table above. We seek partners who have the local infrastructure to support the registration and commercialization of our products in their territory.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Under the terms of our agreements our partners are responsible for:</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Seeking regulatory approvals for the products;</w:t>
      </w:r>
    </w:p>
    <w:p>
      <w:pPr>
        <w:pStyle w:val="TextBody"/>
        <w:bidi w:val="0"/>
        <w:spacing w:lineRule="auto" w:line="288" w:before="160" w:after="283"/>
        <w:ind w:left="0" w:right="0" w:hanging="446"/>
        <w:jc w:val="left"/>
        <w:rPr/>
      </w:pPr>
      <w:r>
        <w:rPr>
          <w:color w:val="000000"/>
        </w:rPr>
        <w:t>•</w:t>
      </w:r>
      <w:r>
        <w:rPr>
          <w:rFonts w:ascii="Times New Roman;sans-serif" w:hAnsi="Times New Roman;sans-serif"/>
          <w:b w:val="false"/>
          <w:color w:val="000000"/>
          <w:sz w:val="20"/>
        </w:rPr>
        <w:t>Launching the brand;</w:t>
      </w:r>
    </w:p>
    <w:p>
      <w:pPr>
        <w:pStyle w:val="TextBody"/>
        <w:bidi w:val="0"/>
        <w:spacing w:lineRule="auto" w:line="288" w:before="160" w:after="283"/>
        <w:ind w:left="0" w:right="0" w:hanging="450"/>
        <w:jc w:val="left"/>
        <w:rPr/>
      </w:pPr>
      <w:r>
        <w:rPr>
          <w:color w:val="000000"/>
        </w:rPr>
        <w:t>•</w:t>
      </w:r>
      <w:r>
        <w:rPr>
          <w:rFonts w:ascii="Times New Roman;sans-serif" w:hAnsi="Times New Roman;sans-serif"/>
          <w:b w:val="false"/>
          <w:color w:val="000000"/>
          <w:sz w:val="20"/>
        </w:rPr>
        <w:t xml:space="preserve">Managing the ongoing marketing, sales and product distribution; </w:t>
      </w:r>
    </w:p>
    <w:p>
      <w:pPr>
        <w:pStyle w:val="TextBody"/>
        <w:bidi w:val="0"/>
        <w:spacing w:lineRule="auto" w:line="288" w:before="160" w:after="283"/>
        <w:ind w:left="0" w:right="0" w:hanging="450"/>
        <w:jc w:val="left"/>
        <w:rPr/>
      </w:pPr>
      <w:r>
        <w:rPr>
          <w:color w:val="000000"/>
        </w:rPr>
        <w:t>•</w:t>
      </w:r>
      <w:r>
        <w:rPr>
          <w:rFonts w:ascii="Times New Roman;sans-serif" w:hAnsi="Times New Roman;sans-serif"/>
          <w:b w:val="false"/>
          <w:color w:val="000000"/>
          <w:sz w:val="20"/>
        </w:rPr>
        <w:t>Addressing the ongoing regulatory requirements in the international territories;</w:t>
      </w:r>
    </w:p>
    <w:p>
      <w:pPr>
        <w:pStyle w:val="TextBody"/>
        <w:bidi w:val="0"/>
        <w:spacing w:lineRule="auto" w:line="288" w:before="160" w:after="283"/>
        <w:ind w:left="0" w:right="0" w:hanging="450"/>
        <w:jc w:val="left"/>
        <w:rPr/>
      </w:pPr>
      <w:r>
        <w:rPr>
          <w:color w:val="000000"/>
        </w:rPr>
        <w:t>•</w:t>
      </w:r>
      <w:r>
        <w:rPr>
          <w:rFonts w:ascii="Times New Roman;sans-serif" w:hAnsi="Times New Roman;sans-serif"/>
          <w:b w:val="false"/>
          <w:color w:val="000000"/>
          <w:sz w:val="20"/>
        </w:rPr>
        <w:t xml:space="preserve">Remitting any upfront, regulatory and sales milestone payments; </w:t>
      </w:r>
    </w:p>
    <w:p>
      <w:pPr>
        <w:pStyle w:val="TextBody"/>
        <w:bidi w:val="0"/>
        <w:spacing w:lineRule="auto" w:line="288" w:before="160" w:after="283"/>
        <w:ind w:left="0" w:right="0" w:hanging="450"/>
        <w:jc w:val="left"/>
        <w:rPr/>
      </w:pPr>
      <w:r>
        <w:rPr>
          <w:color w:val="000000"/>
        </w:rPr>
        <w:t>•</w:t>
      </w:r>
      <w:r>
        <w:rPr>
          <w:rFonts w:ascii="Times New Roman;sans-serif" w:hAnsi="Times New Roman;sans-serif"/>
          <w:b w:val="false"/>
          <w:color w:val="000000"/>
          <w:sz w:val="20"/>
        </w:rPr>
        <w:t>Providing the transfer price for supplies of the product; and</w:t>
      </w:r>
    </w:p>
    <w:p>
      <w:pPr>
        <w:pStyle w:val="TextBody"/>
        <w:bidi w:val="0"/>
        <w:spacing w:lineRule="auto" w:line="288" w:before="160" w:after="283"/>
        <w:ind w:left="0" w:right="0" w:hanging="450"/>
        <w:jc w:val="left"/>
        <w:rPr/>
      </w:pPr>
      <w:r>
        <w:rPr>
          <w:color w:val="000000"/>
        </w:rPr>
        <w:t>•</w:t>
      </w:r>
      <w:r>
        <w:rPr>
          <w:rFonts w:ascii="Times New Roman;sans-serif" w:hAnsi="Times New Roman;sans-serif"/>
          <w:b w:val="false"/>
          <w:color w:val="000000"/>
          <w:sz w:val="20"/>
        </w:rPr>
        <w:t xml:space="preserve">Calculating and paying any royalties, as applicable. </w:t>
      </w:r>
    </w:p>
    <w:p>
      <w:pPr>
        <w:pStyle w:val="TextBody"/>
        <w:bidi w:val="0"/>
        <w:spacing w:lineRule="auto" w:line="288" w:before="160" w:after="283"/>
        <w:ind w:left="0" w:right="0" w:hanging="90"/>
        <w:jc w:val="left"/>
        <w:rPr>
          <w:rFonts w:ascii="Times New Roman;sans-serif" w:hAnsi="Times New Roman;sans-serif"/>
          <w:b w:val="false"/>
          <w:i/>
          <w:color w:val="000000"/>
          <w:sz w:val="20"/>
        </w:rPr>
      </w:pPr>
      <w:r>
        <w:rPr>
          <w:rFonts w:ascii="Times New Roman;sans-serif" w:hAnsi="Times New Roman;sans-serif"/>
          <w:b w:val="false"/>
          <w:i/>
          <w:color w:val="000000"/>
          <w:sz w:val="20"/>
        </w:rPr>
        <w:t>Our responsibilities include:</w:t>
      </w:r>
    </w:p>
    <w:p>
      <w:pPr>
        <w:pStyle w:val="TextBody"/>
        <w:bidi w:val="0"/>
        <w:spacing w:lineRule="auto" w:line="288" w:before="160" w:after="283"/>
        <w:ind w:left="0" w:right="0" w:hanging="446"/>
        <w:jc w:val="left"/>
        <w:rPr/>
      </w:pPr>
      <w:r>
        <w:rPr>
          <w:color w:val="000000"/>
        </w:rPr>
        <w:t>•</w:t>
      </w:r>
      <w:r>
        <w:rPr>
          <w:rFonts w:ascii="Times New Roman;sans-serif" w:hAnsi="Times New Roman;sans-serif"/>
          <w:b w:val="false"/>
          <w:color w:val="000000"/>
          <w:sz w:val="20"/>
        </w:rPr>
        <w:t>Providing a dossier of relevant information to support product registration;</w:t>
      </w:r>
    </w:p>
    <w:p>
      <w:pPr>
        <w:pStyle w:val="TextBody"/>
        <w:bidi w:val="0"/>
        <w:spacing w:lineRule="auto" w:line="288" w:before="160" w:after="283"/>
        <w:ind w:left="0" w:right="0" w:hanging="446"/>
        <w:jc w:val="left"/>
        <w:rPr/>
      </w:pPr>
      <w:r>
        <w:rPr>
          <w:color w:val="000000"/>
        </w:rPr>
        <w:t>•</w:t>
      </w:r>
      <w:r>
        <w:rPr>
          <w:rFonts w:ascii="Times New Roman;sans-serif" w:hAnsi="Times New Roman;sans-serif"/>
          <w:b w:val="false"/>
          <w:color w:val="000000"/>
          <w:sz w:val="20"/>
        </w:rPr>
        <w:t>Maintaining our intellectual property associated with the product;</w:t>
      </w:r>
    </w:p>
    <w:p>
      <w:pPr>
        <w:pStyle w:val="TextBody"/>
        <w:bidi w:val="0"/>
        <w:spacing w:lineRule="auto" w:line="288" w:before="160" w:after="283"/>
        <w:ind w:left="0" w:right="0" w:hanging="446"/>
        <w:jc w:val="left"/>
        <w:rPr/>
      </w:pPr>
      <w:r>
        <w:rPr>
          <w:color w:val="000000"/>
        </w:rPr>
        <w:t>•</w:t>
      </w:r>
      <w:r>
        <w:rPr>
          <w:rFonts w:ascii="Times New Roman;sans-serif" w:hAnsi="Times New Roman;sans-serif"/>
          <w:b w:val="false"/>
          <w:color w:val="000000"/>
          <w:sz w:val="20"/>
        </w:rPr>
        <w:t>Sharing our marketing strategy, experience and materials for the brand; and</w:t>
      </w:r>
    </w:p>
    <w:p>
      <w:pPr>
        <w:pStyle w:val="TextBody"/>
        <w:bidi w:val="0"/>
        <w:spacing w:lineRule="auto" w:line="288" w:before="160" w:after="120"/>
        <w:ind w:left="0" w:right="0" w:hanging="446"/>
        <w:jc w:val="left"/>
        <w:rPr/>
      </w:pPr>
      <w:r>
        <w:rPr>
          <w:color w:val="000000"/>
        </w:rPr>
        <w:t>•</w:t>
      </w:r>
      <w:r>
        <w:rPr>
          <w:rFonts w:ascii="Times New Roman;sans-serif" w:hAnsi="Times New Roman;sans-serif"/>
          <w:b w:val="false"/>
          <w:color w:val="000000"/>
          <w:sz w:val="20"/>
        </w:rPr>
        <w:t>Manufacturing and providing the finished product for sale.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we worked to support our existing international partners, conclude unproductive arrangements and identify new companies to represent our products in select additional territories.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BUSINESS DEVELOPMENT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inception, we have had an active business development initiative focused on acquiring rights to marketed products and product candidates that fit our strategy and target markets. We source business development opportunities through our international network of advisory firms and individual pharmaceutical industry and medical advisors. A multi-disciplinary internal management team reviews these opportunities on a regular basis using a group of selection criteria. We have historically focused on product opportunities that are a strategic fit with our commercial organization, development expertise and medical focus, employing a variety of transaction structures.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continued to build our product portfolio of complementary, niche brands largely through product acquisitions and late-stage development of product candidates.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targets are under-promoted, FDA-approved drugs with existing brand recognition and late-stage development product candidates that address unmet or poorly met medical needs in the hospital acute care, gastroenterology and oncology markets. We believe that by focusing mainly on approved or late-stage products, we can minimize the significant risk, cost and time associated with drug development.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strategically review our brands, pipeline and capabilities, as well as our international partners. We believe that it is prudent to continually evaluate our product portfolio, partners, and organization in order to ensure a proper focus and the needed supporting capabilities.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International Partners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D.B. Pharm Korea Co., Ltd. (“D.B. Pharm”) has licensed our Caldolor product for the South Korean market, and they obtained regulatory approval for Caldolor in their country. During 2024, D.B. Pharm continued to purchase supplies of Caldolor and distributed the brand in South Korea. We have also entered into agreements with D.B. Pharm to register and commercialize our Vaprisol and Vibativ brands in their country. During 2024, we worked with them to prepare the submissions for the approval of each brand there. They are currently pursuing the approval of Vibativ in their country.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executed a license and distribution agreement with HongKong WinHealth Pharma Group Co. Limited (“WinHealth”) for our Caldolor and Acetadote brands in China and Hong Kong. Under the terms of the agreement, WinHealth will provide development milestone payments and purchase supplies of the products following their registration in China.</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entered into a strategic alliance agreement with WinHealth to explore future business opportunities that will further the mission and goals of each organization. Founded in Hangzhou, China and currently headquartered in Hong Kong, WinHealth has developed a wide breadth of capabilities, including drug licensing, product development and registration, and has established a strong network of distribution and sales promotional capabilities for the Chinese market. WinHealth has established partnerships with international companies that include Boehringer-Ingelheim, Janssen, Novartis, Pfizer and Roche, generating several hundred million dollars in sales annually.</w:t>
      </w:r>
    </w:p>
    <w:p>
      <w:pPr>
        <w:pStyle w:val="TextBody"/>
        <w:bidi w:val="0"/>
        <w:spacing w:lineRule="auto" w:line="288" w:before="160" w:after="283"/>
        <w:jc w:val="both"/>
        <w:rPr/>
      </w:pPr>
      <w:r>
        <w:rPr>
          <w:rFonts w:ascii="Times New Roman;sans-serif" w:hAnsi="Times New Roman;sans-serif"/>
          <w:b w:val="false"/>
          <w:color w:val="000000"/>
          <w:sz w:val="20"/>
        </w:rPr>
        <w:t xml:space="preserve">In August 2020, we entered into an agreement with WinHealth Investment (Singapore) Ltd. creating </w:t>
      </w:r>
      <w:r>
        <w:rPr>
          <w:rFonts w:ascii="Times New Roman;sans-serif" w:hAnsi="Times New Roman;sans-serif"/>
          <w:b w:val="false"/>
          <w:i/>
          <w:color w:val="000000"/>
          <w:sz w:val="20"/>
        </w:rPr>
        <w:t>WHC Biopharmaceuticals, Pte. Ltd</w:t>
      </w:r>
      <w:r>
        <w:rPr>
          <w:rFonts w:ascii="Times New Roman;sans-serif" w:hAnsi="Times New Roman;sans-serif"/>
          <w:b w:val="false"/>
          <w:color w:val="000000"/>
          <w:sz w:val="20"/>
        </w:rPr>
        <w:t>. The joint venture will focus on acquiring, developing, registering, and commercializing development stage and commercial stage biopharmaceuticals for China, Hong Kong and other Asian markets.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R-Pharma JSC (“R Pharm”) has licensed our Vibativ product for a territory that includes Russia and a number of adjacent countries in Eastern Europe. R-Pharm is one of the leading multinational pharmaceutical organizations based in Russia. Headquartered in Moscow, R-Pharm focuses on a wide breadth of therapeutic areas in the specialty and hospital care markets. R-Pharm has registered Vibativ in Russia and during 2024, continued to purchase supplies of the product for that market. </w:t>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SciClone Pharmaceuticals (Holdings) Limited (“SciClone”) has licensed our Vibativ product for sale and distribution in China and several adjacent countries. In February 2021, SciClone completed an initial public offering and listing of their shares on the Hong Kong stock exchange. In June 2021, SciClone submitted an application to the Chinese regulatory authority for the approval of Vibativ in that country. In October 2021, SciClone informed us that the filing was accepted by the regulatory agency for review. We have since been supporting SciClone and their requests associated with review of that submission. They recently obtained that approval and believe that there is significant potential for Vibativ in their country.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we established distribution for our Vibativ product in the Middle East through a partnership with Tabuk Pharmaceutical Manufacturing Company (“Tabuk”). Through our partnership, Tabuk will introduce the product in Saudi Arabia, Jordan and potentially other countries in the Middle East. They have ordered initial supplies of Vibativ and are currently planning the launch of the product in Saudi Arabia.</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we announced an agreement with PiSA Pharmaceutical for the registration and commercialization of Caldolor in Mexico. Under the terms of the agreement, Cumberland will be responsible for providing the product dossier and supplies. PiSA will be responsible for obtaining regulatory approval for the product in Mexico and introducing it to the new market. In 2024, they competed the submission of the approval dossier to Mexico’s regulatory agency, for the product’s registration in that country.</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Poly Co-Promotion Agreement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entered into a co-promotion arrangement with Poly Pharmaceuticals, Inc. (“Poly”) for our Kristalose product in 2017. Poly is a privately held U.S. specialty pharmaceutical company that is featuring Kristalose to an expanded number of physicians. Poly’s sales organization is more than doubling the number of nationwide physicians that are reached with the Kristalose brand message. In 2019, we extended our co-promotion arrangement with Poly.</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2R and Foxland Agreements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2018, we entered into another co-promotion arrangement related to our Kristalose product. We have agreements with 2R Investments, LLC and with Foxland Pharmaceuticals, Inc. (“Foxland”) to package, distribute and promote an unbranded generic form of our Kristalose product to physician targets that we do not cover. We renewed our agreement with Foxland in 2022.</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CET University Collaboration Agreements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CET, we collaborate with a select group of academic research institutions located in the Mid-South region of the U.S. to identify, co-develop and seek grant funding for promising biomedical technologies emerging from those research institutions. CET is collaborating with Vanderbilt University and other regional academic research institutions and has entered into a series of agreements to access and collaborate on the development of innovative product candidates. These arrangements enable CET to team with university-based researchers to advance their scientific discoveries and breakthroughs by designing new product candidates to improve patient care and address unmet medical needs. CET has been able to help secure federal small business grant funding to support these various projects.</w:t>
      </w:r>
    </w:p>
    <w:p>
      <w:pPr>
        <w:pStyle w:val="TextBody"/>
        <w:bidi w:val="0"/>
        <w:spacing w:lineRule="auto" w:line="288" w:before="160" w:after="283"/>
        <w:jc w:val="both"/>
        <w:rPr/>
      </w:pPr>
      <w:r>
        <w:rPr>
          <w:rFonts w:ascii="Times New Roman;sans-serif" w:hAnsi="Times New Roman;sans-serif"/>
          <w:b w:val="false"/>
          <w:color w:val="000000"/>
          <w:sz w:val="20"/>
        </w:rPr>
        <w:t xml:space="preserve">CET has also established and manages the Nashville </w:t>
      </w:r>
      <w:r>
        <w:rPr>
          <w:rFonts w:ascii="Times New Roman;sans-serif" w:hAnsi="Times New Roman;sans-serif"/>
          <w:b w:val="false"/>
          <w:i/>
          <w:color w:val="000000"/>
          <w:sz w:val="20"/>
        </w:rPr>
        <w:t>Life Sciences Center</w:t>
      </w:r>
      <w:r>
        <w:rPr>
          <w:rFonts w:ascii="Times New Roman;sans-serif" w:hAnsi="Times New Roman;sans-serif"/>
          <w:b w:val="false"/>
          <w:color w:val="000000"/>
          <w:sz w:val="20"/>
        </w:rPr>
        <w:t>, which serves as an incubator for Middle Tennessee’s emerging biomedical industry. The Life Sciences Center provides offices, laboratory space, and equipment to early-stage companies looking to develop their technologies and products. We maintain the Cumberland Pharmaceuticals formulation and testing laboratory at the CET Life Sciences Center.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Nearly 30 life science companies exist today because of CET, including a vibrant group of current tenants at the Life Sciences Center as well as a growing number of successful graduates.</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there were two key developments among the programs CET is supporting.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First, enrollment concluded and top-line results have become available for the MENDING Trial, a Phase II investigator-initiated study evaluating the safety and efficacy of a new treatment for delirium in critically ill patients. The study was conducted in partnership with Vanderbilt University Medical Center and funded by the National Institute of Health (“NIH”). The MENDING Trial enrolled 97 critically ill patients who were admitted to the Vanderbilt Intensive Care Unit (“ICU”) for treatment of respiratory failure or shock and treated 39 who, while in the ICU, developed delirium. Delirious patients received twice-daily IV treatment or placebo and were evaluated over the course of 14 days.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endpoint for this study was the safety of this new treatment. The study also evaluated patient days without delirium or coma. Additional endpoints included ventilator-free days; hospital-free days; drug exposure for antipsychotics, opioids, and sedatives; and cognitive function. The MENDING Trial successfully demonstrated that the new treatment was well-tolerated in these ICU patients diagnosed with delirium. In addition the new treatment was associated with 1) a reduction in days with delirium; 2) reduced use of antipsychotics, opioids, and sedatives; and 3) a decrease in delirious patients experiencing comas. While the efficacy results were not statistically significant given the limited number of patients treated, the findings are considered clinically meaningful by physician investigators involved in the study and support continued development.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Delirium is characterized as a serious alteration in mental state which may present with confusion, poor attention or lack of awareness. Additionally, delirium is the most common presentation of neurologic dysfunction in critically ill patients and affects between 30-75% of patients admitted to the ICU. Development of delirium is associated with several poor outcomes including increased length of hospital stays, long-term cognitive deficits, additional hospital costs, impaired quality of life and mortality. Despite the prevalence and impact of delirium, there are currently no FDA-approved therapeutics for the prevention or treatment of delirium, highlighting an unmet medical need for these patients.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Second, CET entered into a Development Agreement with Octapharma AG ("Octapharma") for a new product designed to locate sites of internal bleeding. In exchange for an option to worldwide rights to the technology, Octapharma will provide development funding. With the option exercise, Octapharma will also provide milestone payments and royalties on product sales.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Most clinically significant internal bleeding occurs in the gastrointestinal (GI) tract, especially the lower tract. Intestinal hemorrhage ranks among conditions having the highest number of all-cause readmissions and among the most common causes of nonmalignant mortality. Current treatment for GI hemorrhage begins with identifying the bleeding site through diagnostic testing. Colonoscopy is the recommended first-line diagnostic procedure, while computed tomographic angiography is advised for a subset of high-risk patients who are unlikely to tolerate bowel preparation. Both angiography and tagged red blood cell scintigraphy – older, less commonly used tests – require a minimum rate of active bleeding for accurate results. Diagnosis using colonoscopy is also more challenging without active bleeding or when excessive bleeding obscures the visual field.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new technology represents a paradigm shift as it identifies the naturally formed clot at the injured vessels, allowing for the potential to pinpoint GI bleeding sites even if bleeding has ceased temporarily. The product is designed as a proprietary radiochemical preparatory kit for generating a medical imaging agent for injection. It has been developed through a collaboration between CET, researchers at Vanderbilt University Medical Center and Cold Springs Diagnostics, Inc. The development has been supported by an NIH grant awarded to CET under the STTR program. The next steps include scaling up the drug formulation and conducting the additional preclinical testing needed to file and obtain clearance for an Investigational New Drug application, paving the way for an initial clinical study.</w:t>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CLINICAL AND REGULATORY AFFAIRS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robust in-house capabilities for the management of clinical, regulatory and quality affairs, demonstrating our commitment to excellence in drug development and compliance. Our experienced team develops and manages clinical trials, prepares regulatory submissions, oversees product-related regulatory responsibilities and operates our medical information center. This team has successfully devised regulatory and clinical strategies for our product portfolio, including obtaining FDA approvals for Acetadote and Caldolor brands.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Clinical Development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clinical development personnel are responsible for: </w:t>
      </w:r>
    </w:p>
    <w:p>
      <w:pPr>
        <w:pStyle w:val="TextBody"/>
        <w:bidi w:val="0"/>
        <w:spacing w:lineRule="auto" w:line="288" w:before="160" w:after="283"/>
        <w:ind w:left="0" w:right="0" w:hanging="374"/>
        <w:jc w:val="both"/>
        <w:rPr/>
      </w:pPr>
      <w:r>
        <w:rPr>
          <w:color w:val="000000"/>
        </w:rPr>
        <w:t>•</w:t>
      </w:r>
      <w:r>
        <w:rPr>
          <w:rFonts w:ascii="Times New Roman;sans-serif" w:hAnsi="Times New Roman;sans-serif"/>
          <w:b w:val="false"/>
          <w:color w:val="000000"/>
          <w:sz w:val="20"/>
        </w:rPr>
        <w:t xml:space="preserve">Creating and executing clinical development strategies, including protocol design and statistical analysis plans; </w:t>
      </w:r>
    </w:p>
    <w:p>
      <w:pPr>
        <w:pStyle w:val="TextBody"/>
        <w:bidi w:val="0"/>
        <w:spacing w:lineRule="auto" w:line="288" w:before="160" w:after="283"/>
        <w:ind w:left="0" w:right="0" w:hanging="374"/>
        <w:jc w:val="both"/>
        <w:rPr/>
      </w:pPr>
      <w:r>
        <w:rPr>
          <w:color w:val="000000"/>
        </w:rPr>
        <w:t>•</w:t>
      </w:r>
      <w:r>
        <w:rPr>
          <w:rFonts w:ascii="Times New Roman;sans-serif" w:hAnsi="Times New Roman;sans-serif"/>
          <w:b w:val="false"/>
          <w:color w:val="000000"/>
          <w:sz w:val="20"/>
        </w:rPr>
        <w:t xml:space="preserve">Designing, implementing and monitoring clinical trials, including site selection and patient recruitment; </w:t>
      </w:r>
    </w:p>
    <w:p>
      <w:pPr>
        <w:pStyle w:val="TextBody"/>
        <w:bidi w:val="0"/>
        <w:spacing w:lineRule="auto" w:line="288" w:before="160" w:after="283"/>
        <w:ind w:left="0" w:right="0" w:hanging="380"/>
        <w:jc w:val="both"/>
        <w:rPr/>
      </w:pPr>
      <w:r>
        <w:rPr>
          <w:color w:val="000000"/>
        </w:rPr>
        <w:t>•</w:t>
      </w:r>
      <w:r>
        <w:rPr>
          <w:rFonts w:ascii="Times New Roman;sans-serif" w:hAnsi="Times New Roman;sans-serif"/>
          <w:b w:val="false"/>
          <w:color w:val="000000"/>
          <w:sz w:val="20"/>
        </w:rPr>
        <w:t xml:space="preserve">Managing clinical data collection, biostatistical analysis and real-world evidence generation; </w:t>
      </w:r>
    </w:p>
    <w:p>
      <w:pPr>
        <w:pStyle w:val="TextBody"/>
        <w:bidi w:val="0"/>
        <w:spacing w:lineRule="auto" w:line="288" w:before="160" w:after="283"/>
        <w:ind w:left="0" w:right="0" w:hanging="380"/>
        <w:jc w:val="both"/>
        <w:rPr/>
      </w:pPr>
      <w:r>
        <w:rPr>
          <w:color w:val="000000"/>
        </w:rPr>
        <w:t>•</w:t>
      </w:r>
      <w:r>
        <w:rPr>
          <w:rFonts w:ascii="Times New Roman;sans-serif" w:hAnsi="Times New Roman;sans-serif"/>
          <w:b w:val="false"/>
          <w:color w:val="000000"/>
          <w:sz w:val="20"/>
        </w:rPr>
        <w:t xml:space="preserve">Conducting post-marketing surveillance and safety monitoring; </w:t>
      </w:r>
    </w:p>
    <w:p>
      <w:pPr>
        <w:pStyle w:val="TextBody"/>
        <w:bidi w:val="0"/>
        <w:spacing w:lineRule="auto" w:line="288" w:before="160" w:after="283"/>
        <w:ind w:left="0" w:right="0" w:hanging="380"/>
        <w:jc w:val="both"/>
        <w:rPr/>
      </w:pPr>
      <w:r>
        <w:rPr>
          <w:color w:val="000000"/>
        </w:rPr>
        <w:t>•</w:t>
      </w:r>
      <w:r>
        <w:rPr>
          <w:rFonts w:ascii="Times New Roman;sans-serif" w:hAnsi="Times New Roman;sans-serif"/>
          <w:b w:val="false"/>
          <w:color w:val="000000"/>
          <w:sz w:val="20"/>
        </w:rPr>
        <w:t>Cross-functional collaboration with research partners.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Regulatory and Quality Affairs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internal regulatory and quality affairs team is responsible for: </w:t>
      </w:r>
    </w:p>
    <w:p>
      <w:pPr>
        <w:pStyle w:val="TextBody"/>
        <w:bidi w:val="0"/>
        <w:spacing w:lineRule="auto" w:line="288" w:before="160" w:after="283"/>
        <w:ind w:left="0" w:right="0" w:hanging="380"/>
        <w:jc w:val="both"/>
        <w:rPr/>
      </w:pPr>
      <w:r>
        <w:rPr>
          <w:color w:val="000000"/>
        </w:rPr>
        <w:t>•</w:t>
      </w:r>
      <w:r>
        <w:rPr>
          <w:rFonts w:ascii="Times New Roman;sans-serif" w:hAnsi="Times New Roman;sans-serif"/>
          <w:b w:val="false"/>
          <w:color w:val="000000"/>
          <w:sz w:val="20"/>
        </w:rPr>
        <w:t>Managing the full regulatory lifecycle from IND submissions through NDA approvals, including post-marketing commitments and supplemental applications for label expansions and product improvements;</w:t>
      </w:r>
    </w:p>
    <w:p>
      <w:pPr>
        <w:pStyle w:val="TextBody"/>
        <w:bidi w:val="0"/>
        <w:spacing w:lineRule="auto" w:line="288" w:before="160" w:after="283"/>
        <w:ind w:left="0" w:right="0" w:hanging="380"/>
        <w:jc w:val="both"/>
        <w:rPr/>
      </w:pPr>
      <w:r>
        <w:rPr>
          <w:color w:val="000000"/>
        </w:rPr>
        <w:t>•</w:t>
      </w:r>
      <w:r>
        <w:rPr>
          <w:rFonts w:ascii="Times New Roman;sans-serif" w:hAnsi="Times New Roman;sans-serif"/>
          <w:b w:val="false"/>
          <w:color w:val="000000"/>
          <w:sz w:val="20"/>
        </w:rPr>
        <w:t>Developing and executing global regulatory strategies, including health authority interactions and submissions across international markets;</w:t>
      </w:r>
    </w:p>
    <w:p>
      <w:pPr>
        <w:pStyle w:val="TextBody"/>
        <w:bidi w:val="0"/>
        <w:spacing w:lineRule="auto" w:line="288" w:before="160" w:after="283"/>
        <w:ind w:left="0" w:right="0" w:hanging="380"/>
        <w:jc w:val="both"/>
        <w:rPr/>
      </w:pPr>
      <w:r>
        <w:rPr>
          <w:color w:val="000000"/>
        </w:rPr>
        <w:t>•</w:t>
      </w:r>
      <w:r>
        <w:rPr>
          <w:rFonts w:ascii="Times New Roman;sans-serif" w:hAnsi="Times New Roman;sans-serif"/>
          <w:b w:val="false"/>
          <w:color w:val="000000"/>
          <w:sz w:val="20"/>
        </w:rPr>
        <w:t>Implementing comprehensive quality systems</w:t>
      </w:r>
      <w:r>
        <w:rPr>
          <w:rFonts w:ascii="Times New Roman;sans-serif" w:hAnsi="Times New Roman;sans-serif"/>
          <w:b w:val="false"/>
          <w:color w:val="B5082E"/>
          <w:sz w:val="20"/>
        </w:rPr>
        <w:t>,</w:t>
      </w:r>
      <w:r>
        <w:rPr>
          <w:color w:val="000000"/>
        </w:rPr>
        <w:t xml:space="preserve"> </w:t>
      </w:r>
      <w:r>
        <w:rPr>
          <w:rFonts w:ascii="Times New Roman;sans-serif" w:hAnsi="Times New Roman;sans-serif"/>
          <w:b w:val="false"/>
          <w:color w:val="000000"/>
          <w:sz w:val="20"/>
        </w:rPr>
        <w:t>including pharmacovigilance, QMS oversight, and compliance monitoring of third-party providers with GMP, GLP, and GCP requirements;</w:t>
      </w:r>
    </w:p>
    <w:p>
      <w:pPr>
        <w:pStyle w:val="TextBody"/>
        <w:bidi w:val="0"/>
        <w:spacing w:lineRule="auto" w:line="288" w:before="160" w:after="283"/>
        <w:ind w:left="0" w:right="0" w:hanging="380"/>
        <w:jc w:val="both"/>
        <w:rPr/>
      </w:pPr>
      <w:r>
        <w:rPr>
          <w:color w:val="000000"/>
        </w:rPr>
        <w:t>•</w:t>
      </w:r>
      <w:r>
        <w:rPr>
          <w:rFonts w:ascii="Times New Roman;sans-serif" w:hAnsi="Times New Roman;sans-serif"/>
          <w:b w:val="false"/>
          <w:color w:val="000000"/>
          <w:sz w:val="20"/>
        </w:rPr>
        <w:t>Evaluating regulatory risk profiles for product acquisitions and maintaining regulatory intelligence to inform strategic planning;</w:t>
      </w:r>
    </w:p>
    <w:p>
      <w:pPr>
        <w:pStyle w:val="TextBody"/>
        <w:bidi w:val="0"/>
        <w:spacing w:lineRule="auto" w:line="288" w:before="160" w:after="283"/>
        <w:ind w:left="0" w:right="0" w:hanging="380"/>
        <w:jc w:val="both"/>
        <w:rPr/>
      </w:pPr>
      <w:r>
        <w:rPr>
          <w:color w:val="000000"/>
        </w:rPr>
        <w:t>•</w:t>
      </w:r>
      <w:r>
        <w:rPr>
          <w:rFonts w:ascii="Times New Roman;sans-serif" w:hAnsi="Times New Roman;sans-serif"/>
          <w:b w:val="false"/>
          <w:color w:val="000000"/>
          <w:sz w:val="20"/>
        </w:rPr>
        <w:t xml:space="preserve">Overseeing document control systems, change management and customer complaint processes.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Professional Affairs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professional affairs team supports our clinical and regulatory initiatives through:</w:t>
      </w:r>
    </w:p>
    <w:p>
      <w:pPr>
        <w:pStyle w:val="TextBody"/>
        <w:bidi w:val="0"/>
        <w:spacing w:lineRule="auto" w:line="288" w:before="160" w:after="283"/>
        <w:ind w:left="0" w:right="0" w:hanging="380"/>
        <w:jc w:val="both"/>
        <w:rPr/>
      </w:pPr>
      <w:r>
        <w:rPr>
          <w:color w:val="000000"/>
        </w:rPr>
        <w:t>•</w:t>
      </w:r>
      <w:r>
        <w:rPr>
          <w:rFonts w:ascii="Times New Roman;sans-serif" w:hAnsi="Times New Roman;sans-serif"/>
          <w:b w:val="false"/>
          <w:color w:val="000000"/>
          <w:sz w:val="20"/>
        </w:rPr>
        <w:t>Key opinion leader engagement and medical/scientific advisory boards;</w:t>
      </w:r>
    </w:p>
    <w:p>
      <w:pPr>
        <w:pStyle w:val="TextBody"/>
        <w:bidi w:val="0"/>
        <w:spacing w:lineRule="auto" w:line="288" w:before="160" w:after="283"/>
        <w:ind w:left="0" w:right="0" w:hanging="380"/>
        <w:jc w:val="both"/>
        <w:rPr/>
      </w:pPr>
      <w:r>
        <w:rPr>
          <w:color w:val="000000"/>
        </w:rPr>
        <w:t>•</w:t>
      </w:r>
      <w:r>
        <w:rPr>
          <w:rFonts w:ascii="Times New Roman;sans-serif" w:hAnsi="Times New Roman;sans-serif"/>
          <w:b w:val="false"/>
          <w:color w:val="000000"/>
          <w:sz w:val="20"/>
        </w:rPr>
        <w:t>Medical information and scientific communications management;</w:t>
      </w:r>
    </w:p>
    <w:p>
      <w:pPr>
        <w:pStyle w:val="TextBody"/>
        <w:bidi w:val="0"/>
        <w:spacing w:lineRule="auto" w:line="288" w:before="160" w:after="283"/>
        <w:ind w:left="0" w:right="0" w:hanging="380"/>
        <w:jc w:val="both"/>
        <w:rPr/>
      </w:pPr>
      <w:r>
        <w:rPr>
          <w:color w:val="000000"/>
        </w:rPr>
        <w:t>•</w:t>
      </w:r>
      <w:r>
        <w:rPr>
          <w:rFonts w:ascii="Times New Roman;sans-serif" w:hAnsi="Times New Roman;sans-serif"/>
          <w:b w:val="false"/>
          <w:color w:val="000000"/>
          <w:sz w:val="20"/>
        </w:rPr>
        <w:t>Publication planning and execution;</w:t>
      </w:r>
    </w:p>
    <w:p>
      <w:pPr>
        <w:pStyle w:val="TextBody"/>
        <w:bidi w:val="0"/>
        <w:spacing w:lineRule="auto" w:line="288" w:before="160" w:after="283"/>
        <w:ind w:left="0" w:right="0" w:hanging="381"/>
        <w:jc w:val="both"/>
        <w:rPr/>
      </w:pPr>
      <w:r>
        <w:rPr>
          <w:color w:val="000000"/>
        </w:rPr>
        <w:t>•</w:t>
      </w:r>
      <w:r>
        <w:rPr>
          <w:rFonts w:ascii="Times New Roman;sans-serif" w:hAnsi="Times New Roman;sans-serif"/>
          <w:b w:val="false"/>
          <w:color w:val="000000"/>
          <w:sz w:val="20"/>
        </w:rPr>
        <w:t>Healthcare provider education and support.</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PROFESSIONAL AND MEDICAL AFFAIRS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medical team provides in-house medical information support for our marketed products. This includes interacting directly with health care professionals to address any product or medical inquiries through our medical information call center and medical science liaisons. In addition to coordinating the call center, our clinical/regulatory group generates medical information letters, provides informational memos to our sales forces and assists with ongoing training for the sales forces.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 xml:space="preserve">CLINICAL DEVELOPMENT AND STUDY RESULTS </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Vibativ Clinical Manuscripts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Vibativ is a patented, FDA-approved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w:t>
      </w:r>
    </w:p>
    <w:p>
      <w:pPr>
        <w:pStyle w:val="TextBody"/>
        <w:bidi w:val="0"/>
        <w:spacing w:lineRule="auto" w:line="288" w:before="160" w:after="283"/>
        <w:jc w:val="both"/>
        <w:rPr/>
      </w:pPr>
      <w:r>
        <w:rPr>
          <w:rFonts w:ascii="Times New Roman;sans-serif" w:hAnsi="Times New Roman;sans-serif"/>
          <w:b w:val="false"/>
          <w:color w:val="000000"/>
          <w:sz w:val="20"/>
        </w:rPr>
        <w:t xml:space="preserve">In October 2023, Cumberland announced a new study published in </w:t>
      </w:r>
      <w:r>
        <w:rPr>
          <w:rFonts w:ascii="Times New Roman;sans-serif" w:hAnsi="Times New Roman;sans-serif"/>
          <w:b w:val="false"/>
          <w:i/>
          <w:color w:val="000000"/>
          <w:sz w:val="20"/>
        </w:rPr>
        <w:t>Antimicrobial Agents and Chemotherapy</w:t>
      </w:r>
      <w:r>
        <w:rPr>
          <w:color w:val="000000"/>
        </w:rPr>
        <w:t xml:space="preserve"> </w:t>
      </w:r>
      <w:r>
        <w:rPr>
          <w:rFonts w:ascii="Times New Roman;sans-serif" w:hAnsi="Times New Roman;sans-serif"/>
          <w:b w:val="false"/>
          <w:color w:val="000000"/>
          <w:sz w:val="20"/>
        </w:rPr>
        <w:t xml:space="preserve">detailing the results of the first clinical study investigating the safety and pharmacokinetics of our Vibativ (telavancin) product in children 2 to 17 years of age. The study found a single 10 mg/kg dose of Vibativ was safe with no serious adverse events or renal concerns. Drug exposure to Vibativ was lower in children compared with the same body weight-based dosing in adults. The study suggests Vibativ is a safe and viable option for pediatric patients ages 2 to 17 who require systemic antibiotics for the treatment of a known or suspected bacterial infection, including those with MRSA or another </w:t>
      </w:r>
      <w:r>
        <w:rPr>
          <w:rFonts w:ascii="Times New Roman;sans-serif" w:hAnsi="Times New Roman;sans-serif"/>
          <w:b w:val="false"/>
          <w:i/>
          <w:color w:val="000000"/>
          <w:sz w:val="20"/>
        </w:rPr>
        <w:t>S. aureus</w:t>
      </w:r>
      <w:r>
        <w:rPr>
          <w:color w:val="000000"/>
        </w:rPr>
        <w:t xml:space="preserve"> </w:t>
      </w:r>
      <w:r>
        <w:rPr>
          <w:rFonts w:ascii="Times New Roman;sans-serif" w:hAnsi="Times New Roman;sans-serif"/>
          <w:b w:val="false"/>
          <w:color w:val="000000"/>
          <w:sz w:val="20"/>
        </w:rPr>
        <w:t xml:space="preserve">pathogen.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Caldolor Newborn Study, Clinical Manuscripts and Other Studies</w:t>
      </w:r>
    </w:p>
    <w:p>
      <w:pPr>
        <w:pStyle w:val="TextBody"/>
        <w:bidi w:val="0"/>
        <w:spacing w:lineRule="auto" w:line="288" w:before="160" w:after="283"/>
        <w:jc w:val="both"/>
        <w:rPr/>
      </w:pPr>
      <w:r>
        <w:rPr>
          <w:rFonts w:ascii="Times New Roman;sans-serif" w:hAnsi="Times New Roman;sans-serif"/>
          <w:b w:val="false"/>
          <w:color w:val="000000"/>
          <w:sz w:val="20"/>
        </w:rPr>
        <w:t>We previously received FDA approval for the use of Caldolor in pediatric patients 6 months of age and older. Caldolor is the first and only injectable NSAID approved for use in children.</w:t>
      </w:r>
      <w:r>
        <w:rPr>
          <w:color w:val="000000"/>
        </w:rPr>
        <w:t xml:space="preserve"> </w:t>
      </w:r>
      <w:r>
        <w:rPr>
          <w:rFonts w:ascii="Times New Roman;sans-serif" w:hAnsi="Times New Roman;sans-serif"/>
          <w:b w:val="false"/>
          <w:color w:val="000000"/>
          <w:sz w:val="20"/>
        </w:rPr>
        <w:t>We then initiated a study to collect data on the use of Caldolor in children ranging in age from birth up to 6 months of age. Enrollment in that multi-center study was completed in 2019, and topline results were announced in 2020, indicating that</w:t>
      </w:r>
      <w:r>
        <w:rPr>
          <w:color w:val="000000"/>
        </w:rPr>
        <w:t xml:space="preserve"> </w:t>
      </w:r>
      <w:r>
        <w:rPr>
          <w:rFonts w:ascii="Times New Roman;sans-serif" w:hAnsi="Times New Roman;sans-serif"/>
          <w:b w:val="false"/>
          <w:color w:val="000000"/>
          <w:sz w:val="20"/>
        </w:rPr>
        <w:t xml:space="preserve">Caldolor was well tolerated in this patient population, with no safety concerns noted.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2023, we announced the FDA approval of Caldolor in pediatric patients 3 to 6 months of age. With this newly approved labeling, Caldolor is the only non-opioid injectable product approved to treat pain in infants that is delivered through injection. </w:t>
      </w:r>
    </w:p>
    <w:p>
      <w:pPr>
        <w:pStyle w:val="TextBody"/>
        <w:bidi w:val="0"/>
        <w:spacing w:lineRule="auto" w:line="288" w:before="160" w:after="283"/>
        <w:jc w:val="both"/>
        <w:rPr/>
      </w:pPr>
      <w:r>
        <w:rPr>
          <w:rFonts w:ascii="Times New Roman;sans-serif" w:hAnsi="Times New Roman;sans-serif"/>
          <w:b w:val="false"/>
          <w:color w:val="000000"/>
          <w:sz w:val="20"/>
        </w:rPr>
        <w:t xml:space="preserve">Additionally, in June 2023, we shared the positive results from a clinical study investigating the safety and pharmacokinetics of Caldolor in newborns, published in the journal </w:t>
      </w:r>
      <w:r>
        <w:rPr>
          <w:rFonts w:ascii="Times New Roman;sans-serif" w:hAnsi="Times New Roman;sans-serif"/>
          <w:b w:val="false"/>
          <w:i/>
          <w:color w:val="000000"/>
          <w:sz w:val="20"/>
        </w:rPr>
        <w:t>Pediatric Drugs</w:t>
      </w:r>
      <w:r>
        <w:rPr>
          <w:rFonts w:ascii="Times New Roman;sans-serif" w:hAnsi="Times New Roman;sans-serif"/>
          <w:b w:val="false"/>
          <w:color w:val="000000"/>
          <w:sz w:val="20"/>
        </w:rPr>
        <w:t>. The clinical study evaluated the safety and drug exposure profile of Caldolor in 24 hospitalized infants between the ages of 1 and 6 months who required treatment for pain or fever. Of the 24 patients included in the study, three were under 3 months of age, and the remaining 21 patients were 3 to 6 months of age. Twenty patients received a single dose, and four patients received multiple doses. In this study, single and multiple 10 mg/kg doses of Caldolor were reported safe, with no drug-related adverse events or renal concerns. Drug exposure following a single dose of Caldolor in infants 1 to 6 months of age was similar to what was previously reported in older children. The results of this study support the growing body of evidence that demonstrates Caldolor is a safe therapeutic option available to practitioners for the treatment of fever and pain in infants, children and adults.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2024, we announced the publication of new real-world outcomes research involving 150,000 patients, which compared our Caldolor to its key competitor – ketorolac. The results provided compelling evidence that Caldolor is associated with a significantly reduced incidence of adverse drug reactions and also improved healthcare utilization.  </w:t>
      </w:r>
    </w:p>
    <w:p>
      <w:pPr>
        <w:pStyle w:val="TextBody"/>
        <w:bidi w:val="0"/>
        <w:spacing w:lineRule="auto" w:line="288" w:before="160" w:after="283"/>
        <w:jc w:val="both"/>
        <w:rPr/>
      </w:pPr>
      <w:r>
        <w:rPr>
          <w:rFonts w:ascii="Times New Roman;sans-serif" w:hAnsi="Times New Roman;sans-serif"/>
          <w:b w:val="false"/>
          <w:color w:val="000000"/>
          <w:sz w:val="20"/>
        </w:rPr>
        <w:t xml:space="preserve">Additionally, in March of 2024, a Caldolor Special Report was published in </w:t>
      </w:r>
      <w:r>
        <w:rPr>
          <w:rFonts w:ascii="Times New Roman;sans-serif" w:hAnsi="Times New Roman;sans-serif"/>
          <w:b w:val="false"/>
          <w:i/>
          <w:color w:val="000000"/>
          <w:sz w:val="20"/>
        </w:rPr>
        <w:t>Anesthesiology News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 xml:space="preserve">General Surgery News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Pharmacy Practice News</w:t>
      </w:r>
      <w:r>
        <w:rPr>
          <w:color w:val="000000"/>
        </w:rPr>
        <w:t xml:space="preserve"> </w:t>
      </w:r>
      <w:r>
        <w:rPr>
          <w:rFonts w:ascii="Times New Roman;sans-serif" w:hAnsi="Times New Roman;sans-serif"/>
          <w:b w:val="false"/>
          <w:color w:val="000000"/>
          <w:sz w:val="20"/>
        </w:rPr>
        <w:t>that presented the growing amount of data supporting the use of Caldolor as a standard of care for the treatment of pain and fever. The results demonstrated that the product is a safe and effective treatment for pain and fever in adults, children and infants as young as 3 months of age.</w:t>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Ifetroban Phase II Studies</w:t>
      </w:r>
    </w:p>
    <w:p>
      <w:pPr>
        <w:pStyle w:val="TextBody"/>
        <w:bidi w:val="0"/>
        <w:spacing w:lineRule="auto" w:line="288" w:before="160" w:after="283"/>
        <w:jc w:val="both"/>
        <w:rPr/>
      </w:pPr>
      <w:r>
        <w:rPr>
          <w:rFonts w:ascii="Times New Roman;sans-serif" w:hAnsi="Times New Roman;sans-serif"/>
          <w:b w:val="false"/>
          <w:color w:val="000000"/>
          <w:sz w:val="20"/>
        </w:rPr>
        <w:t xml:space="preserve">We have been evaluating our ifetroban product candidate in a series of clinical studies. We have two Phase II clinical programs underway evaluating our ifetroban product candidate in 1) Systemic Sclerosis or scleroderma, a debilitating autoimmune disorder characterized by diffuse fibrosis of the skin and internal organs and 2) patients with Idiopathic Pulmonary Fibrosis, the most common form of progressive fibrosing interstitial lung disease. Investigational new study applications have been cleared by the FDA enabling us to launch clinical studies in each of these areas. Additionally, we recently completed a Phase II study in patients with cardiomyopathy associated with </w:t>
      </w:r>
      <w:r>
        <w:rPr>
          <w:rFonts w:ascii="Times New Roman;sans-serif" w:hAnsi="Times New Roman;sans-serif"/>
          <w:b w:val="false"/>
          <w:i/>
          <w:color w:val="000000"/>
          <w:sz w:val="20"/>
        </w:rPr>
        <w:t>Duchenne muscular dystrophy</w:t>
      </w:r>
      <w:r>
        <w:rPr>
          <w:rFonts w:ascii="Times New Roman;sans-serif" w:hAnsi="Times New Roman;sans-serif"/>
          <w:b w:val="false"/>
          <w:color w:val="000000"/>
          <w:sz w:val="20"/>
        </w:rPr>
        <w:t>, a rare, fatal, genetic neuromuscular disease that results in deterioration of the skeletal, heart and lung muscles. Next steps include further data analysis and completion of a full study report in preparation for an end-of-Phase-II meeting with the FDA to determine next steps associated with the product’s development and commercialization.</w:t>
      </w:r>
    </w:p>
    <w:p>
      <w:pPr>
        <w:pStyle w:val="TextBody"/>
        <w:bidi w:val="0"/>
        <w:spacing w:lineRule="auto" w:line="288" w:before="160" w:after="283"/>
        <w:jc w:val="both"/>
        <w:rPr/>
      </w:pPr>
      <w:r>
        <w:rPr>
          <w:rFonts w:ascii="Times New Roman;sans-serif" w:hAnsi="Times New Roman;sans-serif"/>
          <w:b w:val="false"/>
          <w:color w:val="000000"/>
          <w:sz w:val="20"/>
        </w:rPr>
        <w:t>We have also completed a pilot Phase II study involving 1) patients suffering from Hepatorenal Syndrome, a life-threatening condition involving liver and kidney failure, 2) patients with Portal Hypertension associated with chronic liver disease and 3) patients with Aspirin-Exacerbated Respiratory Disease, a severe form of asthma. There</w:t>
      </w:r>
      <w:r>
        <w:rPr>
          <w:color w:val="000000"/>
        </w:rPr>
        <w:t xml:space="preserve"> </w:t>
      </w:r>
      <w:r>
        <w:rPr>
          <w:rFonts w:ascii="Times New Roman;sans-serif" w:hAnsi="Times New Roman;sans-serif"/>
          <w:b w:val="false"/>
          <w:color w:val="000000"/>
          <w:sz w:val="20"/>
        </w:rPr>
        <w:t>were</w:t>
      </w:r>
      <w:r>
        <w:rPr>
          <w:color w:val="000000"/>
        </w:rPr>
        <w:t xml:space="preserve"> </w:t>
      </w:r>
      <w:r>
        <w:rPr>
          <w:rFonts w:ascii="Times New Roman;sans-serif" w:hAnsi="Times New Roman;sans-serif"/>
          <w:b w:val="false"/>
          <w:color w:val="000000"/>
          <w:sz w:val="20"/>
        </w:rPr>
        <w:t>no</w:t>
      </w:r>
      <w:r>
        <w:rPr>
          <w:color w:val="000000"/>
        </w:rPr>
        <w:t xml:space="preserve"> </w:t>
      </w:r>
      <w:r>
        <w:rPr>
          <w:rFonts w:ascii="Times New Roman;sans-serif" w:hAnsi="Times New Roman;sans-serif"/>
          <w:b w:val="false"/>
          <w:color w:val="000000"/>
          <w:sz w:val="20"/>
        </w:rPr>
        <w:t>significant</w:t>
      </w:r>
      <w:r>
        <w:rPr>
          <w:color w:val="000000"/>
        </w:rPr>
        <w:t xml:space="preserve"> </w:t>
      </w:r>
      <w:r>
        <w:rPr>
          <w:rFonts w:ascii="Times New Roman;sans-serif" w:hAnsi="Times New Roman;sans-serif"/>
          <w:b w:val="false"/>
          <w:color w:val="000000"/>
          <w:sz w:val="20"/>
        </w:rPr>
        <w:t>safety</w:t>
      </w:r>
      <w:r>
        <w:rPr>
          <w:color w:val="000000"/>
        </w:rPr>
        <w:t xml:space="preserve"> </w:t>
      </w:r>
      <w:r>
        <w:rPr>
          <w:rFonts w:ascii="Times New Roman;sans-serif" w:hAnsi="Times New Roman;sans-serif"/>
          <w:b w:val="false"/>
          <w:color w:val="000000"/>
          <w:sz w:val="20"/>
        </w:rPr>
        <w:t>issues</w:t>
      </w:r>
      <w:r>
        <w:rPr>
          <w:color w:val="000000"/>
        </w:rPr>
        <w:t xml:space="preserve"> </w:t>
      </w:r>
      <w:r>
        <w:rPr>
          <w:rFonts w:ascii="Times New Roman;sans-serif" w:hAnsi="Times New Roman;sans-serif"/>
          <w:b w:val="false"/>
          <w:color w:val="000000"/>
          <w:sz w:val="20"/>
        </w:rPr>
        <w:t>identified</w:t>
      </w:r>
      <w:r>
        <w:rPr>
          <w:color w:val="000000"/>
        </w:rPr>
        <w:t xml:space="preserve"> </w:t>
      </w:r>
      <w:r>
        <w:rPr>
          <w:rFonts w:ascii="Times New Roman;sans-serif" w:hAnsi="Times New Roman;sans-serif"/>
          <w:b w:val="false"/>
          <w:color w:val="000000"/>
          <w:sz w:val="20"/>
        </w:rPr>
        <w:t>with</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use</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ifetroban</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these</w:t>
      </w:r>
      <w:r>
        <w:rPr>
          <w:color w:val="000000"/>
        </w:rPr>
        <w:t xml:space="preserve"> </w:t>
      </w:r>
      <w:r>
        <w:rPr>
          <w:rFonts w:ascii="Times New Roman;sans-serif" w:hAnsi="Times New Roman;sans-serif"/>
          <w:b w:val="false"/>
          <w:color w:val="000000"/>
          <w:sz w:val="20"/>
        </w:rPr>
        <w:t>patients.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pilot studies of ifetroban are underway, including several investigator-initiated trials.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awaiting results from the studies underway before deciding on the best development path for the registration of ifetroban, our first new chemical entity.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Additional Testing Program</w:t>
      </w:r>
    </w:p>
    <w:p>
      <w:pPr>
        <w:pStyle w:val="TextBody"/>
        <w:bidi w:val="0"/>
        <w:spacing w:lineRule="auto" w:line="288" w:before="160" w:after="283"/>
        <w:jc w:val="both"/>
        <w:rPr/>
      </w:pPr>
      <w:r>
        <w:rPr>
          <w:rFonts w:ascii="Times New Roman;sans-serif" w:hAnsi="Times New Roman;sans-serif"/>
          <w:b w:val="false"/>
          <w:color w:val="000000"/>
          <w:sz w:val="20"/>
        </w:rPr>
        <w:t>Cumberland entered into a non-clinical evaluation agreement, to test one of our products against bacterial strains and subsequently, in vivo animal models utilizing the preclinical services program funded by the Division of Microbiology and Infectious Diseases (“DMID”), which is part of the National Institute of Allergy and Infectious Diseases (“NIAID”),</w:t>
      </w:r>
      <w:r>
        <w:rPr>
          <w:color w:val="000000"/>
        </w:rPr>
        <w:t xml:space="preserve"> </w:t>
      </w:r>
      <w:r>
        <w:rPr>
          <w:rFonts w:ascii="Times New Roman;sans-serif" w:hAnsi="Times New Roman;sans-serif"/>
          <w:b w:val="false"/>
          <w:color w:val="000000"/>
          <w:sz w:val="20"/>
        </w:rPr>
        <w:t>an institute of the National Institutes of Health (“NIH”), which is part of the Department of Health and Human Services (“HHS”), an agency of the U.S. government. The NIAID contractors completed these studies and prepared a manuscript for submission to a scientific journal for publication.</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CORPORATE DEVELOPMENT</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Cumberland Pharma Foundation</w:t>
      </w:r>
    </w:p>
    <w:p>
      <w:pPr>
        <w:pStyle w:val="TextBody"/>
        <w:bidi w:val="0"/>
        <w:spacing w:lineRule="auto" w:line="288" w:before="160" w:after="283"/>
        <w:jc w:val="both"/>
        <w:rPr/>
      </w:pPr>
      <w:r>
        <w:rPr>
          <w:rFonts w:ascii="Times New Roman;sans-serif" w:hAnsi="Times New Roman;sans-serif"/>
          <w:b w:val="false"/>
          <w:color w:val="000000"/>
          <w:sz w:val="20"/>
        </w:rPr>
        <w:t xml:space="preserve">We have formed the </w:t>
      </w:r>
      <w:r>
        <w:rPr>
          <w:rFonts w:ascii="Times New Roman;sans-serif" w:hAnsi="Times New Roman;sans-serif"/>
          <w:b w:val="false"/>
          <w:i/>
          <w:color w:val="000000"/>
          <w:sz w:val="20"/>
        </w:rPr>
        <w:t xml:space="preserve">Cumberland Pharma Foundation </w:t>
      </w:r>
      <w:r>
        <w:rPr>
          <w:rFonts w:ascii="Times New Roman;sans-serif" w:hAnsi="Times New Roman;sans-serif"/>
          <w:b w:val="false"/>
          <w:color w:val="000000"/>
          <w:sz w:val="20"/>
        </w:rPr>
        <w:t>(the “Foundation”) to provide the ongoing philanthropic endeavors of Cumberland Pharmaceuticals Inc.</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Foundation was formed as an independent, nonprofit corporation designed to qualify as a tax-exempt organization pursuant to Section 501(a) of the Internal Revenue Code. The Foundation’s Board of Directors is comprised of Cumberland Pharmaceuticals executives who are responsible for overseeing the Foundation’s ongoing activities, including charitable contributions.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initially provided a grant of 50,000 shares of our common stock to the Foundation. The shares will address the ongoing financial needs of the Foundation, with most of the shares expected to be held for the opportunity to realize long-term appreciation to support the Foundation’s future.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Foundation maintains independent financial statements and its contributions will not impact the financial statements of Cumberland Pharmaceuticals. Initial annual grants by the Foundation have been and remain consistent with the historic level of contributions made by Cumberland Pharmaceuticals. </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Cumberland Health and Wellness Political Action Committee</w:t>
      </w:r>
    </w:p>
    <w:p>
      <w:pPr>
        <w:pStyle w:val="TextBody"/>
        <w:bidi w:val="0"/>
        <w:spacing w:lineRule="auto" w:line="288" w:before="160" w:after="283"/>
        <w:jc w:val="both"/>
        <w:rPr/>
      </w:pPr>
      <w:r>
        <w:rPr>
          <w:rFonts w:ascii="Times New Roman;sans-serif" w:hAnsi="Times New Roman;sans-serif"/>
          <w:b w:val="false"/>
          <w:color w:val="000000"/>
          <w:sz w:val="20"/>
        </w:rPr>
        <w:t xml:space="preserve">We have also formed the </w:t>
      </w:r>
      <w:r>
        <w:rPr>
          <w:rFonts w:ascii="Times New Roman;sans-serif" w:hAnsi="Times New Roman;sans-serif"/>
          <w:b w:val="false"/>
          <w:i/>
          <w:color w:val="000000"/>
          <w:sz w:val="20"/>
        </w:rPr>
        <w:t xml:space="preserve">Cumberland Health and Wellness Political Action Committee </w:t>
      </w:r>
      <w:r>
        <w:rPr>
          <w:rFonts w:ascii="Times New Roman;sans-serif" w:hAnsi="Times New Roman;sans-serif"/>
          <w:b w:val="false"/>
          <w:color w:val="000000"/>
          <w:sz w:val="20"/>
        </w:rPr>
        <w:t xml:space="preserve">(the “PAC”). The objective of the PAC is to support candidates and policies that are consistent with Cumberland’s mission of advancing patient care. The PAC’s activities are held at a local, state, and federal level and conducted in a bi-partisan manner.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committee membership is comprised of Cumberland Pharmaceuticals employees. The PAC received initial funding from us, and future funding will include voluntary individual contributions from Cumberland Pharmaceuticals directors and employees.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MANUFACTURING AND DISTRIBUTION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Manufacturing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partner with third parties for certain non-core, capital-intensive capabilities, including the manufacturing and distribution of our products. We manage these third-party relationships and are responsible for the quality review and release of each lot of our products.</w:t>
      </w:r>
    </w:p>
    <w:p>
      <w:pPr>
        <w:pStyle w:val="TextBody"/>
        <w:bidi w:val="0"/>
        <w:spacing w:lineRule="auto" w:line="288" w:before="160" w:after="283"/>
        <w:jc w:val="both"/>
        <w:rPr/>
      </w:pPr>
      <w:r>
        <w:rPr>
          <w:rFonts w:ascii="Times New Roman;sans-serif" w:hAnsi="Times New Roman;sans-serif"/>
          <w:b w:val="false"/>
          <w:i/>
          <w:color w:val="000000"/>
          <w:sz w:val="20"/>
        </w:rPr>
        <w:t>Acetadote</w:t>
      </w:r>
      <w:r>
        <w:rPr>
          <w:rFonts w:ascii="Times New Roman;sans-serif" w:hAnsi="Times New Roman;sans-serif"/>
          <w:b/>
          <w:i/>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an agreement with one manufacturer, who provided commercial supplies of Acetadote in 2024. </w:t>
      </w:r>
    </w:p>
    <w:p>
      <w:pPr>
        <w:pStyle w:val="TextBody"/>
        <w:bidi w:val="0"/>
        <w:spacing w:lineRule="auto" w:line="288" w:before="160" w:after="283"/>
        <w:jc w:val="both"/>
        <w:rPr/>
      </w:pPr>
      <w:r>
        <w:rPr>
          <w:rFonts w:ascii="Times New Roman;sans-serif" w:hAnsi="Times New Roman;sans-serif"/>
          <w:b w:val="false"/>
          <w:i/>
          <w:color w:val="000000"/>
          <w:sz w:val="20"/>
        </w:rPr>
        <w:t>Caldolor</w:t>
      </w:r>
      <w:r>
        <w:rPr>
          <w:rFonts w:ascii="Times New Roman;sans-serif" w:hAnsi="Times New Roman;sans-serif"/>
          <w:b/>
          <w:i/>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agreements with multiple manufacturers for the supply of Caldolor and during 2024, we obtained commercial supplies from three of these manufacturers for our international and domestic Caldolor requirements. </w:t>
      </w:r>
    </w:p>
    <w:p>
      <w:pPr>
        <w:pStyle w:val="TextBody"/>
        <w:bidi w:val="0"/>
        <w:spacing w:lineRule="auto" w:line="288" w:before="160" w:after="283"/>
        <w:jc w:val="both"/>
        <w:rPr/>
      </w:pPr>
      <w:r>
        <w:rPr>
          <w:rFonts w:ascii="Times New Roman;sans-serif" w:hAnsi="Times New Roman;sans-serif"/>
          <w:b w:val="false"/>
          <w:i/>
          <w:color w:val="000000"/>
          <w:sz w:val="20"/>
        </w:rPr>
        <w:t>Kristalose</w:t>
      </w:r>
      <w:r>
        <w:rPr>
          <w:rFonts w:ascii="Times New Roman;sans-serif" w:hAnsi="Times New Roman;sans-serif"/>
          <w:b/>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an agreement for the purchase of Kristalose API with an international supplier. We also had manufacturing arrangements with a packager who provided finished supplies of the product for commercial and sampling purposes during 2024. </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Times New Roman;sans-serif" w:hAnsi="Times New Roman;sans-serif"/>
          <w:b w:val="false"/>
          <w:i/>
          <w:color w:val="000000"/>
          <w:sz w:val="20"/>
        </w:rPr>
        <w:t>Sancuso</w:t>
      </w:r>
      <w:r>
        <w:rPr>
          <w:rFonts w:ascii="Times New Roman;sans-serif" w:hAnsi="Times New Roman;sans-serif"/>
          <w:b w:val="false"/>
          <w:i/>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acquisition of Sancuso, we obtained an initial supply of finished goods inventory. The agreement with the manufacturer of Sancuso was assigned to us and there were additional goods supplied to us during 2022. The production was moved to one of the manufacturer’s other facilities. During 2022, that new facility was approved by the FDA to manufacture and supply Sancuso. We received supplies of the product from the new facility in 2023 and began shipping the Cumberland-packaged product during 2024.</w:t>
      </w:r>
    </w:p>
    <w:p>
      <w:pPr>
        <w:pStyle w:val="TextBody"/>
        <w:bidi w:val="0"/>
        <w:spacing w:lineRule="auto" w:line="288" w:before="160" w:after="283"/>
        <w:jc w:val="both"/>
        <w:rPr/>
      </w:pPr>
      <w:r>
        <w:rPr>
          <w:rFonts w:ascii="Times New Roman;sans-serif" w:hAnsi="Times New Roman;sans-serif"/>
          <w:b w:val="false"/>
          <w:i/>
          <w:color w:val="000000"/>
          <w:sz w:val="20"/>
        </w:rPr>
        <w:t>Vaprisol</w:t>
      </w:r>
      <w:r>
        <w:rPr>
          <w:rFonts w:ascii="Times New Roman;sans-serif" w:hAnsi="Times New Roman;sans-serif"/>
          <w:b/>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acquisition of Vaprisol, we obtained a significant existing supply of raw material inventory. We reached an agreement during 2020 with a new manufacturer to provide us with long-term supplies of the product. We subsequently completed the transfer of the product’s manufacturing to the new facility in 2021. We informed the FDA that supplies of the product are not currently available and are awaiting approval for that new facility. Our new manufacturing partner is working with the FDA to address several Form 483 and warning letter issues in a timely manner. They have successfully produced Vaprisol in their facility and we look forward to relaunching the brand once the FDA clears our submission to manufacture it in the new facility. Meanwhile, our partner is providing a special supply of compounded product in support of critically ill patients.</w:t>
      </w:r>
    </w:p>
    <w:p>
      <w:pPr>
        <w:pStyle w:val="TextBody"/>
        <w:bidi w:val="0"/>
        <w:spacing w:lineRule="auto" w:line="288" w:before="160" w:after="283"/>
        <w:jc w:val="left"/>
        <w:rPr/>
      </w:pPr>
      <w:r>
        <w:rPr>
          <w:rFonts w:ascii="Times New Roman;sans-serif" w:hAnsi="Times New Roman;sans-serif"/>
          <w:b w:val="false"/>
          <w:i/>
          <w:color w:val="000000"/>
          <w:sz w:val="20"/>
        </w:rPr>
        <w:t>Vibativ</w:t>
      </w:r>
      <w:r>
        <w:rPr>
          <w:rFonts w:ascii="Times New Roman;sans-serif" w:hAnsi="Times New Roman;sans-serif"/>
          <w:b/>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acquisition of Vibativ, we obtained a multi-year supply of raw material, work in process and finished goods inventory. As a result of the agreement, we are now responsible for the future manufacturing of the product. We completed the transfer of the product’s manufacturing activities to a new supplier and received FDA approval for that facility. During 2024, we launched a new, smaller package for our Vibativ product. This additional presentation is designed to overcome a barrier at smaller hospitals and infusion centers that use less of the product at a time, allowing them to better manage their costs and the workflow associated with the product.</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Distribution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Like many pharmaceutical companies, we engage a third-party with appropriate facilities and logistical expertise to support the U.S. distribution of our products. In 2024, Cardinal Health Specialty Solutions exclusively handled our U.S. product logistics activities, including warehousing, shipping, and various other customer activities. Our primary customers are the wholesalers of pharmaceuticals who provide our products to hospitals, clinics and retail pharmacies in the U.S.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PATENTS, TRADEMARKS AND OTHER INTELLECTUAL PROPRIETARY RIGHTS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own the trademarks for each of our branded pharmaceutical products as well as for our corporate name and logo. We have applied for trademark registration for other various names and logos. Over time, we intend to maintain registrations on trademarks that remain valuable to our business.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seek to protect our products from competition through a combination of patents, trademarks, trade secrets, FDA exclusivity and contractual restrictions on disclosure. Proprietary rights, including patents, are an important element of our business. We seek to protect our proprietary information by requiring our employees, consultants, contractors and other advisors to execute agreements providing for protection of our confidential information upon commencement of their employment or engagement. We also require confidentiality agreements from entities to which we provide our confidential information or materials.</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Times New Roman;sans-serif" w:hAnsi="Times New Roman;sans-serif"/>
          <w:b/>
          <w:i/>
          <w:color w:val="000000"/>
          <w:sz w:val="20"/>
        </w:rPr>
        <w:t>Acetadote</w:t>
      </w:r>
      <w:r>
        <w:rPr>
          <w:rFonts w:ascii="Times New Roman;sans-serif" w:hAnsi="Times New Roman;sans-serif"/>
          <w:b/>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developed a new formulation of Acetadote (acetylcysteine) injection as part of a Phase IV commitment in response to a request by the FDA to evaluate the reduction of ethylene diamine tetraacetic acid (“EDTA”) from the product’s formulation. In April 2012, the USPTO issued U.S. Patent number 8,148,356 (the “356 Acetadote Patent”) which is assigned to us. The claims of the 356 Acetadote Patent encompass the new Acetadote formulation and include composition of matter claims. Following its issuance, the 356 Acetadote Patent was listed in the FDA Orange Book. The 356 Acetadote Patent is scheduled to expire in May 2026, which includes a 270-day patent term adjustment granted by the USPTO.</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issuance of the 356 Acetadote Patent, we received separate Paragraph IV certification notices from InnoPharma, Inc. (“InnoPharma”), Paddock Laboratories, LLC (“Paddock”), Mylan Institutional LLC (“Mylan”), Sagent Agila LLC (“Sagent”) and Perrigo Company (“Perrigo”) challenging the 356 Acetadote Patent on the basis of non-infringement and/or invalidity. We responded by filing five separate infringement lawsuits, in the appropriate United States District Courts, to contest each of the challenges.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12, 2012, we entered into a Settlement Agreement (the “Settlement Agreement”) with Paddock and Perrigo to resolve the challenges and the pending litigation with those two companies.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2013, the United States District Courts filed opinions granting Sagent’s and InnoPharma’s motions to dismiss our suits and we agreed not to file an appeal or motion to reconsider, thereby resolving the challenges and the pending litigation with those two companies.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Settlement Agreement, Paddock and Perrigo admit that the 356 Acetadote Patent is valid and enforceable and that any Paddock or Perrigo generic version of Acetadote (with or without EDTA) would infringe upon the 356 Acetadote Patent. In addition, Paddock and Perrigo will not challenge the validity, enforceability, ownership or patentability of the 356 Acetadote Patent through its expiration currently scheduled for May 2026. On November 12, 2012, in connection with the execution of the Settlement Agreement, we entered into a License and Supply Agreement with Paddock and Perrigo (the “License and Supply Agreement”).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License and Supply Agreement, if a third party receives final approval from the FDA for an ANDA to sell a generic Acetadote product and such third party made such generic version available for purchase in commercial quantities in the United States, we are to supply Perrigo with an Authorized Generic version of our Acetadote product.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18, 2012, we also submitted a Citizen Petition to the FDA requesting that the FDA refrain from approving any applications for acetylcysteine injection that contain EDTA, based in part on the FDA’s request that we evaluate the reduction or removal of EDTA from our original Acetadote formulation.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7, 2012, the FDA responded to the Citizen Petition denying our request and on November 8, 2012, we learned that the FDA approved the ANDA referencing Acetadote filed by InnoPharma, Inc. We brought suit against the FDA contesting the FDA’s decision to approve the InnoPharma generic on November 13, 2012.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30, 2013, the United States District Court filed an opinion granting a summary judgment in favor of the FDA regarding this suit.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noted above, during 2012 the FDA approved the ANDA referencing Acetadote filed by InnoPharma, Inc. Upon this condition, in accordance with the License and Supply agreement with Perrigo, we began to supply Perrigo with our Authorized Generic. On January 7, 2013, Perrigo announced initial distribution of our Authorized Generic acetylcysteine injection product.</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19, 2013, the USPTO issued U.S. Patent number 8,399,445 (the “445 Acetadote Patent”) which is assigned to us. The claims of the 445 Acetadote Patent encompass the use of the 200 mg/ml Acetadote formulation to treat patients with acetaminophen overdose. On April 8, 2013, the 445 Acetadote Patent was listed in the FDA Orange Book. The 445 Acetadote Patent is scheduled to expire in August 2025. Following the issuance of the 445 Acetadote Patent we received separate Paragraph IV certification notices from Perrigo, Sagent Pharmaceuticals, Inc., and Mylan challenging the 445 Acetadote Patent on the basis of non-infringement, unenforceability and/or invalidity.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10, 2013, we became aware of a Paragraph IV certification notice from Akorn, Inc. challenging the 445 Acetadote Patent and the 356 Acetadote Patent on the basis of non-infringement. On July 12, 2013, we filed a lawsuit for infringement of the 356 Acetadote Patent against Akorn, Inc. in United States District Court.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18, 2014, the USPTO issued U.S. Patent number 8,653,061 (the “061 Acetadote Patent”) which is assigned to us. The claims of the 061 Acetadote Patent encompass the use of the 200 mg/ml Acetadote formulation to treat patients with acetaminophen overdose. Following its issuance, the 061 Acetadote Patent was listed in the FDA Orange Book. The 061 Acetadote Patent is scheduled to expire in August 2025.</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13, 2014, the USPTO issued U.S. Patent number 8,722,738 (the “738 Acetadote Patent”) which is assigned to us. The claims of the 738 Acetadote Patent encompass administration methods of acetylcysteine injection, without specification of the presence or lack of EDTA in the injection. Following its issuance, the 738 Acetadote Patent was listed in the FDA Orange Book and it is scheduled to expire in April 2032.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11, 2014 and March 3, 2015, we became aware of Paragraph IV certification notices from Aurobindo Pharma Limited and Zydus Pharmaceuticals (USA) Inc., respectively, challenging the 356, 445, 061 and 738 Acetadote Patents on the basis of non-infringement.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30, 2015, the United States District Court for the Northern District of Illinois, Eastern Division (“District Court”) ruled in our favor in our lawsuit against Mylan for infringement of the 445 Acetadote Patent. The opinion upheld our 445 Acetadote Patent and expressly rejected Mylan’s validity challenge. The District Court ruled that Mylan is liable to us for infringement of the 445 Acetadote patent in light of Mylan’s Abbreviated New Drug Application in which Mylan sought to market a generic version of Acetadote.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17, 2015, the District Court entered an order enjoining Mylan and its affiliates from selling or using its generic version of Acetadote until August 2025, the date of expiration of the 445 Acetadote Patent. On October 30, 2015, Mylan filed a notice of appeal to the U.S. Court of Appeals for the Federal Circuit (the “Appeals Court”).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3, 2016, the USPTO issued U.S. Patent number 9,327,028 (the “028 Acetadote Patent”) which is assigned to us. The claims of the 028 Acetadote Patent encompass administration methods of acetylcysteine injection, without specification of the presence or lack of EDTA in the injection. Following its issuance, the 028 Acetadote Patent was listed in the FDA Orange Book and it is scheduled to expire in July 2031.</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26, 2017, the Appeals Court affirmed the District Court ruling in our favor in our lawsuit against Mylan for infringement of the 445 Acetadote Patent. The Appeals Court opinion affirmed the District Court’s ruling upholding our 445 Acetadote Patent and expressly rejected Mylan’s validity challenge.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 2017, we became aware of a Paragraph IV certification notice from Exela Pharma Sciences, LLC challenging the 356, 445, 061, 738 and 028 Acetadote Patents on the basis of non-infringement.</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Times New Roman;sans-serif" w:hAnsi="Times New Roman;sans-serif"/>
          <w:b/>
          <w:i/>
          <w:color w:val="000000"/>
          <w:sz w:val="20"/>
        </w:rPr>
        <w:t>Caldolor</w:t>
      </w:r>
      <w:r>
        <w:rPr>
          <w:rFonts w:ascii="Times New Roman;sans-serif" w:hAnsi="Times New Roman;sans-serif"/>
          <w:b/>
          <w:color w:val="000000"/>
          <w:sz w:val="13"/>
        </w:rPr>
        <w:t>®</w:t>
      </w:r>
    </w:p>
    <w:p>
      <w:pPr>
        <w:pStyle w:val="TextBody"/>
        <w:bidi w:val="0"/>
        <w:spacing w:lineRule="auto" w:line="288" w:before="160" w:after="283"/>
        <w:jc w:val="both"/>
        <w:rPr/>
      </w:pPr>
      <w:r>
        <w:rPr>
          <w:rFonts w:ascii="Times New Roman;sans-serif" w:hAnsi="Times New Roman;sans-serif"/>
          <w:b w:val="false"/>
          <w:color w:val="000000"/>
          <w:sz w:val="20"/>
        </w:rPr>
        <w:t>We have an exclusive, worldwide license to clinical data for intravenous ibuprofen from Vanderbilt University, in consideration for royalty obligations related to Caldolor. During 2014, we obtained additional patents for the brand. On May 27, 2014, the USPTO issued U.S. Patent number 8,735,452 (the “452 Caldolor Patent”)</w:t>
      </w:r>
      <w:r>
        <w:rPr>
          <w:color w:val="000000"/>
        </w:rPr>
        <w:t xml:space="preserve"> </w:t>
      </w:r>
      <w:r>
        <w:rPr>
          <w:rFonts w:ascii="Times New Roman;sans-serif" w:hAnsi="Times New Roman;sans-serif"/>
          <w:b w:val="false"/>
          <w:color w:val="000000"/>
          <w:sz w:val="20"/>
        </w:rPr>
        <w:t>which is assigned to us. The claims of the 452 Caldolor Patent encompass methods of treating pain using intravenous ibuprofen. Following its issuance, the 452 Caldolor Patent was listed in the FDA Orange Book and is scheduled to expire in September 2029.</w:t>
      </w:r>
    </w:p>
    <w:p>
      <w:pPr>
        <w:pStyle w:val="TextBody"/>
        <w:bidi w:val="0"/>
        <w:spacing w:lineRule="auto" w:line="288" w:before="160" w:after="283"/>
        <w:jc w:val="both"/>
        <w:rPr/>
      </w:pPr>
      <w:r>
        <w:rPr>
          <w:rFonts w:ascii="Times New Roman;sans-serif" w:hAnsi="Times New Roman;sans-serif"/>
          <w:b w:val="false"/>
          <w:color w:val="000000"/>
          <w:sz w:val="20"/>
        </w:rPr>
        <w:t>On October 28, 2014, the USPTO issued U.S. Patent number 8,871,810 (the “810 Caldolor Patent”)</w:t>
      </w:r>
      <w:r>
        <w:rPr>
          <w:color w:val="000000"/>
        </w:rPr>
        <w:t xml:space="preserve"> </w:t>
      </w:r>
      <w:r>
        <w:rPr>
          <w:rFonts w:ascii="Times New Roman;sans-serif" w:hAnsi="Times New Roman;sans-serif"/>
          <w:b w:val="false"/>
          <w:color w:val="000000"/>
          <w:sz w:val="20"/>
        </w:rPr>
        <w:t xml:space="preserve">which is assigned to us. The claims of the 810 Caldolor Patent encompass methods of treating pain using intravenous ibuprofen. Following its issuance, the 810 Caldolor Patent was listed in the FDA Orange Book and is scheduled to expire in September 2029.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2015, we obtained four additional patents for Caldolor. On July 7, 2015, the USPTO issued U.S. Patent number’s 9,072,710 (the “710 Caldolor Patent”) and 9,072,661 (the “661 Caldolor Patent”) which are assigned to us. The claims of the 710 Caldolor Patent and the 661 Caldolor Patent include composition and methods of treating pain, inflammation and fever using intravenous ibuprofen. These Caldolor Patents are listed in the FDA Orange Book and are scheduled to expire in March 2032.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21, 2015, the USPTO issued U.S. Patent No. 9,012,508 (the “508 Caldolor Patent”) which is assigned to us.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claims of the 508 Caldolor Patent include methods of treating pain using intravenous ibuprofen. Following its issuance, the 508 Caldolor Patent was listed in the FDA Orange Book and is scheduled to expire in September 2030.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25, 2015, the USPTO issued U.S. Patent number 9,114,068 (the “068 Caldolor Patent”) which is assigned to us. The claims of the 068 Caldolor Patent include methods of treating pain using intravenous ibuprofen.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its issuance, the 068 Caldolor Patent was listed in the FDA Orange Book and is scheduled to expire in September 2029.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22, 2015, the USPTO issued U.S. Patent number 9,138,404 (the “404 Caldolor Patent”) which is </w:t>
        <w:br/>
        <w:t xml:space="preserve">assigned to us.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claims of the 404 Caldolor Patent include methods of treating pain in critically ill patients with intravenous ibuprofen. Following its issuance, the 404 Caldolor Patent was listed in the FDA Orange Book and is scheduled to expire in September 2029.</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29, 2016, the USPTO issued U.S. Patent number 9,295,639 (the “639 Caldolor Patent”) which is assigned to us. The claims of the 639 Caldolor Patent include methods of treating pain in critically ill patients with intravenous ibuprofen. Following its issuance, the 639 Caldolor Patent was listed in the FDA Orange Book and is scheduled to expire in September 2029.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16, 2017, the USPTO issued U.S. Patent number 9,649,284 (the “284 Caldolor Patent”) which is assigned to us. The claims of the 284 Caldolor Patent include methods of treating pain in critically ill patients with intravenous ibuprofen. Following its issuance, the 284 Caldolor Patent was listed in the FDA Orange Book and is scheduled to expire in September 2029.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7, 2023, the USPTO issued U.S. Patent number 11,806,400 (the “400 Caldolor Patent”) which is assigned to us. The claims of the 400 Caldolor Patent include composition and methods of treating pain and fever using intravenous ibuprofen. Following its issuance, the 400 Caldolor Patent was listed in the FDA Orange Book and is scheduled to expire in March 2032. We also have additional patent applications related to Caldolor pending with the USPTO.</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Times New Roman;sans-serif" w:hAnsi="Times New Roman;sans-serif"/>
          <w:b/>
          <w:i/>
          <w:color w:val="000000"/>
          <w:sz w:val="20"/>
        </w:rPr>
        <w:t>Vibativ</w:t>
      </w:r>
      <w:r>
        <w:rPr>
          <w:rFonts w:ascii="Times New Roman;sans-serif" w:hAnsi="Times New Roman;sans-serif"/>
          <w:b/>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own numerous U.S. patents and related international patents for Vibativ. These patents were acquired in our November 2018 acquisition of certain product rights, intellectual property and related assets of Vibativ from Theravance. U.S. Patent number 7,531,623 (the “623 Vibativ Patent”) is listed in the FDA Orange Book and is scheduled to expire in January 2027 and includes composition of matter claims that encompass the Vibativ drug substance as well as methods for preparing the Vibativ drug substance.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Remaining Products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no issued patents for our Sancuso, Vaprisol or Kristalose products. We have multiple granted patents relating to our ifetroban products and patent applications pending with the USPTO.</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pharmaceutical industry is characterized by intense competition and rapid innovation. Our continued success in developing and commercializing pharmaceutical products will depend, in part, upon our ability to compete against existing and future products in our target markets. Competitive factors directly affecting our markets include but are not limited to: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product attributes such as efficacy, safety, ease-of-use and cost-effectiveness;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brand awareness and recognition driven by sales, marketing and distribution capabilities;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intellectual property and other exclusivity rights;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availability of resources to build and maintain developmental and commercial capabilities;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successful business development activities;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extent of third-party reimbursements, insurance coverage; and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establishment of advantageous collaborations to conduct development, manufacturing or commercialization efforts.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number of our competitors possess research and development and sales and marketing capabilities as well as financial resources greater than ours. These competitors, in addition to emerging companies and academic research institutions, may be developing, or in the future could develop, new technologies that could compete with our current and future products or render our products obsolete.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face competition from other branded products, generics and alternate medical treatments. Our task is to position each brand to feature its competitive advantages, implement a well thought out marketing plan and provide focused sales, field based medical and other tactical support. </w:t>
      </w:r>
    </w:p>
    <w:p>
      <w:pPr>
        <w:pStyle w:val="TextBody"/>
        <w:bidi w:val="0"/>
        <w:spacing w:lineRule="auto" w:line="288" w:before="160" w:after="283"/>
        <w:jc w:val="both"/>
        <w:rPr/>
      </w:pPr>
      <w:r>
        <w:rPr>
          <w:rFonts w:ascii="Times New Roman;sans-serif" w:hAnsi="Times New Roman;sans-serif"/>
          <w:b/>
          <w:i/>
          <w:color w:val="000000"/>
          <w:sz w:val="20"/>
        </w:rPr>
        <w:t>Acetadote</w:t>
      </w:r>
      <w:r>
        <w:rPr>
          <w:rFonts w:ascii="Times New Roman;sans-serif" w:hAnsi="Times New Roman;sans-serif"/>
          <w:b/>
          <w:color w:val="000000"/>
          <w:sz w:val="13"/>
        </w:rPr>
        <w:t>®</w:t>
      </w:r>
    </w:p>
    <w:p>
      <w:pPr>
        <w:pStyle w:val="TextBody"/>
        <w:bidi w:val="0"/>
        <w:spacing w:lineRule="auto" w:line="288" w:before="160" w:after="283"/>
        <w:jc w:val="both"/>
        <w:rPr/>
      </w:pPr>
      <w:r>
        <w:rPr>
          <w:rFonts w:ascii="Times New Roman;sans-serif" w:hAnsi="Times New Roman;sans-serif"/>
          <w:b w:val="false"/>
          <w:color w:val="000000"/>
          <w:sz w:val="20"/>
        </w:rPr>
        <w:t>Acetadote is our injectable formulation of N-acetylcysteine (</w:t>
      </w:r>
      <w:r>
        <w:rPr>
          <w:color w:val="000000"/>
        </w:rPr>
        <w:t>“</w:t>
      </w:r>
      <w:r>
        <w:rPr>
          <w:rFonts w:ascii="Times New Roman;sans-serif" w:hAnsi="Times New Roman;sans-serif"/>
          <w:b w:val="false"/>
          <w:color w:val="000000"/>
          <w:sz w:val="20"/>
        </w:rPr>
        <w:t>NAC”) for the treatment of acetaminophen overdose. NAC is accepted worldwide as the standard of care for acetaminophen overdose. Our competitors in the acetaminophen overdose market are those companies selling orally administered NAC including, but not limited to, Geneva Pharmaceuticals, Inc., Bedford Laboratories division of Hikma Pharmaceuticals, Roxane Laboratories, Inc., InnoPharma Inc. and Hospira Inc.</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2012, InnoPharma Inc. was granted approval by the FDA to distribute their generic form of the old formulation of Acetadote containing EDTA. In late 2012, we entered into the Settlement Agreement with Paddock and Perrigo that included the right to distribute our Authorized Generic Acetadote injection product. Our branded Acetadote now competes with both the EDTA-free Authorized Generic Acetadote distributed by Paddock and Perrigo along with generic Acetadote products that contain EDTA.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multiple manufacturers of injectable NAC products that are based on our old formulation.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Times New Roman;sans-serif" w:hAnsi="Times New Roman;sans-serif"/>
          <w:b/>
          <w:i/>
          <w:color w:val="000000"/>
          <w:sz w:val="20"/>
        </w:rPr>
        <w:t>Caldolor</w:t>
      </w:r>
      <w:r>
        <w:rPr>
          <w:rFonts w:ascii="Times New Roman;sans-serif" w:hAnsi="Times New Roman;sans-serif"/>
          <w:b/>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Caldolor is marketed for the treatment of pain and fever, primarily in a hospital or surgery center setting. A variety of other products address the acute pain market: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Morphine, the most commonly used product for the treatment of acute, post-operative pain, is manufactured and distributed by several generic pharmaceutical companies;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Other generic injectable opioids, including fentanyl, meperidine and hydromorphone, address this market;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Ketorolac tromethamine (brand name Toradol</w:t>
      </w:r>
      <w:r>
        <w:rPr>
          <w:rFonts w:ascii="Times New Roman;sans-serif" w:hAnsi="Times New Roman;sans-serif"/>
          <w:b w:val="false"/>
          <w:color w:val="000000"/>
          <w:sz w:val="13"/>
        </w:rPr>
        <w:t>®</w:t>
      </w:r>
      <w:r>
        <w:rPr>
          <w:rFonts w:ascii="Times New Roman;sans-serif" w:hAnsi="Times New Roman;sans-serif"/>
          <w:b w:val="false"/>
          <w:color w:val="000000"/>
          <w:sz w:val="20"/>
        </w:rPr>
        <w:t>), an injectable NSAID, is also manufactured and distributed by several generic pharmaceutical companies;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IV acetaminophen (brand name Ofirmev</w:t>
      </w:r>
      <w:r>
        <w:rPr>
          <w:rFonts w:ascii="Times New Roman;sans-serif" w:hAnsi="Times New Roman;sans-serif"/>
          <w:b w:val="false"/>
          <w:color w:val="000000"/>
          <w:sz w:val="13"/>
        </w:rPr>
        <w:t>®</w:t>
      </w:r>
      <w:r>
        <w:rPr>
          <w:rFonts w:ascii="Times New Roman;sans-serif" w:hAnsi="Times New Roman;sans-serif"/>
          <w:b w:val="false"/>
          <w:color w:val="000000"/>
          <w:sz w:val="20"/>
        </w:rPr>
        <w:t>), an injectable analgesic product is sold by Mallinckrodt plc, and there are also generic versions from different manufacturers available;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Bupivacaine and meloxicam extended release solution (brand name Zynrelef</w:t>
      </w:r>
      <w:r>
        <w:rPr>
          <w:rFonts w:ascii="Times New Roman;sans-serif" w:hAnsi="Times New Roman;sans-serif"/>
          <w:b w:val="false"/>
          <w:color w:val="000000"/>
          <w:sz w:val="13"/>
        </w:rPr>
        <w:t>®</w:t>
      </w:r>
      <w:r>
        <w:rPr>
          <w:rFonts w:ascii="Times New Roman;sans-serif" w:hAnsi="Times New Roman;sans-serif"/>
          <w:b w:val="false"/>
          <w:color w:val="000000"/>
          <w:sz w:val="20"/>
        </w:rPr>
        <w:t>), is a dual-acting anesthetic for postoperative pain sold by Heron Therapeutics;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Oliceridine injection (brand name Olinvyk</w:t>
      </w:r>
      <w:r>
        <w:rPr>
          <w:rFonts w:ascii="Times New Roman;sans-serif" w:hAnsi="Times New Roman;sans-serif"/>
          <w:b w:val="false"/>
          <w:color w:val="000000"/>
          <w:sz w:val="13"/>
        </w:rPr>
        <w:t>®</w:t>
      </w:r>
      <w:r>
        <w:rPr>
          <w:rFonts w:ascii="Times New Roman;sans-serif" w:hAnsi="Times New Roman;sans-serif"/>
          <w:b w:val="false"/>
          <w:color w:val="000000"/>
          <w:sz w:val="20"/>
        </w:rPr>
        <w:t>), is an opioid agonist, a new chemical entity in the acute surgical postoperative pain market, sold by Trevena, Inc.;</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Bupivacaine injectable suspension (brand name Exparel</w:t>
      </w:r>
      <w:r>
        <w:rPr>
          <w:rFonts w:ascii="Times New Roman;sans-serif" w:hAnsi="Times New Roman;sans-serif"/>
          <w:b w:val="false"/>
          <w:color w:val="000000"/>
          <w:sz w:val="13"/>
        </w:rPr>
        <w:t>®</w:t>
      </w:r>
      <w:r>
        <w:rPr>
          <w:rFonts w:ascii="Times New Roman;sans-serif" w:hAnsi="Times New Roman;sans-serif"/>
          <w:b w:val="false"/>
          <w:color w:val="000000"/>
          <w:sz w:val="20"/>
        </w:rPr>
        <w:t>), a product sold by Pacira Pharmaceuticals, Inc., along with two additional bupivacaine products, Xaracoll and Posimir, which were more recently approved;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Acetaminophen and ibuprofen combination injection (brand name Combogesic</w:t>
      </w:r>
      <w:r>
        <w:rPr>
          <w:rFonts w:ascii="Times New Roman;sans-serif" w:hAnsi="Times New Roman;sans-serif"/>
          <w:b w:val="false"/>
          <w:color w:val="000000"/>
          <w:sz w:val="13"/>
        </w:rPr>
        <w:t>®</w:t>
      </w:r>
      <w:r>
        <w:rPr>
          <w:rFonts w:ascii="Times New Roman;sans-serif" w:hAnsi="Times New Roman;sans-serif"/>
          <w:b w:val="false"/>
          <w:color w:val="000000"/>
          <w:sz w:val="20"/>
        </w:rPr>
        <w:t>), is a combination of acetaminophen and ibuprofen approved by the U.S. FDA in October 2023, and is sold by Hikma Pharmaceuticals PLC.</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Suzetrigine oral tablets (brand name Journavx</w:t>
      </w:r>
      <w:r>
        <w:rPr>
          <w:rFonts w:ascii="Times New Roman;sans-serif" w:hAnsi="Times New Roman;sans-serif"/>
          <w:b w:val="false"/>
          <w:color w:val="000000"/>
          <w:sz w:val="13"/>
        </w:rPr>
        <w:t>®</w:t>
      </w:r>
      <w:r>
        <w:rPr>
          <w:rFonts w:ascii="Times New Roman;sans-serif" w:hAnsi="Times New Roman;sans-serif"/>
          <w:b w:val="false"/>
          <w:color w:val="000000"/>
          <w:sz w:val="20"/>
        </w:rPr>
        <w:t>), a product sold by Vertex Pharmaceuticals, Inc., a non-opioid pain signal inhibitor approved by the U.S. FDA in January 2025.</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aware of other product candidates in development to treat acute pain, including injectable NSAIDs, novel opioids, new formulations of existing therapies and extended release anesthetics. We believe non-narcotic analgesics for the treatment of post-surgical pain are the primary potential competitors to Caldolor.</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injectable analgesic products above, many companies are developing analgesics for specific indications such as migraine and neuropathic pain, oral extended-release forms of existing narcotic and non-narcotic products, as well as those with new methods of delivery such as transdermal. We are not aware of any approved injectable products indicated for the treatment of fever in the U.S. other than Caldolor and Ofirmev.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are, however, numerous drugs available to physicians to reduce fevers in hospital settings via oral and rectal administration to the patient, including ibuprofen, acetaminophen and aspirin. These drugs are manufactured by numerous pharmaceutical companies.</w:t>
      </w:r>
    </w:p>
    <w:p>
      <w:pPr>
        <w:pStyle w:val="TextBody"/>
        <w:bidi w:val="0"/>
        <w:spacing w:lineRule="auto" w:line="288" w:before="160" w:after="283"/>
        <w:jc w:val="both"/>
        <w:rPr/>
      </w:pPr>
      <w:r>
        <w:rPr>
          <w:rFonts w:ascii="Times New Roman;sans-serif" w:hAnsi="Times New Roman;sans-serif"/>
          <w:b/>
          <w:i/>
          <w:color w:val="000000"/>
          <w:sz w:val="20"/>
        </w:rPr>
        <w:t>Kristalose</w:t>
      </w:r>
      <w:r>
        <w:rPr>
          <w:rFonts w:ascii="Times New Roman;sans-serif" w:hAnsi="Times New Roman;sans-serif"/>
          <w:b/>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Kristalose is a dry powder crystalline prescription formulation of lactulose indicated for the treatment of constipation. The U.S. constipation therapy market includes various prescription and over the counter, or OTC, products. The branded prescription products which we believe are our primary competitors are: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Lubiproston (brand name Amitiza</w:t>
      </w:r>
      <w:r>
        <w:rPr>
          <w:rFonts w:ascii="Times New Roman;sans-serif" w:hAnsi="Times New Roman;sans-serif"/>
          <w:b w:val="false"/>
          <w:color w:val="000000"/>
          <w:sz w:val="13"/>
        </w:rPr>
        <w:t>®</w:t>
      </w:r>
      <w:r>
        <w:rPr>
          <w:rFonts w:ascii="Times New Roman;sans-serif" w:hAnsi="Times New Roman;sans-serif"/>
          <w:b w:val="false"/>
          <w:color w:val="000000"/>
          <w:sz w:val="20"/>
        </w:rPr>
        <w:t>), an oral product indicated for the treatment of chronic idiopathic constipation, irritable bowel syndrome with constipation in adults, is manufactured and sold by Mallinckrodt Pharmaceuticals.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Naloxegol (brand name Movantik</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an oral product indicated for the treatment of opioid-induced constipation in adults with chronic non-cancer pain. It was acquired by RedHill Biopharma in the first quarter of 2020.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Linaclotide (brand name Linzess</w:t>
      </w:r>
      <w:r>
        <w:rPr>
          <w:rFonts w:ascii="Times New Roman;sans-serif" w:hAnsi="Times New Roman;sans-serif"/>
          <w:b w:val="false"/>
          <w:color w:val="000000"/>
          <w:sz w:val="13"/>
        </w:rPr>
        <w:t>®</w:t>
      </w:r>
      <w:r>
        <w:rPr>
          <w:rFonts w:ascii="Times New Roman;sans-serif" w:hAnsi="Times New Roman;sans-serif"/>
          <w:b w:val="false"/>
          <w:color w:val="000000"/>
          <w:sz w:val="20"/>
        </w:rPr>
        <w:t>), an oral product indicated for the treatment of irritable bowel syndrome with constipation and chronic idiopathic constipation. It is sold by Allergan, Inc. and Ironwood Pharmaceuticals,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Plecanatide (brand name Trulance</w:t>
      </w:r>
      <w:r>
        <w:rPr>
          <w:rFonts w:ascii="Times New Roman;sans-serif" w:hAnsi="Times New Roman;sans-serif"/>
          <w:b w:val="false"/>
          <w:color w:val="000000"/>
          <w:sz w:val="13"/>
        </w:rPr>
        <w:t>®</w:t>
      </w:r>
      <w:r>
        <w:rPr>
          <w:rFonts w:ascii="Times New Roman;sans-serif" w:hAnsi="Times New Roman;sans-serif"/>
          <w:b w:val="false"/>
          <w:color w:val="000000"/>
          <w:sz w:val="20"/>
        </w:rPr>
        <w:t>), an oral product indicated for the treatment of irritable bowel syndrome with constipation and chronic idiopathic constipation. It is sold by Synergy Pharmaceuticals.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Generic and branded liquid lactulose products are marketed by a number of pharmaceutical companies.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Lactitol for oral solution (brand name Pizensy</w:t>
      </w:r>
      <w:r>
        <w:rPr>
          <w:rFonts w:ascii="Times New Roman;sans-serif" w:hAnsi="Times New Roman;sans-serif"/>
          <w:b w:val="false"/>
          <w:color w:val="000000"/>
          <w:sz w:val="13"/>
        </w:rPr>
        <w:t>®</w:t>
      </w:r>
      <w:r>
        <w:rPr>
          <w:rFonts w:ascii="Times New Roman;sans-serif" w:hAnsi="Times New Roman;sans-serif"/>
          <w:b w:val="false"/>
          <w:color w:val="000000"/>
          <w:sz w:val="20"/>
        </w:rPr>
        <w:t>), an oral, osmotic laxative indicated for the treatment of chronic idiopathic constipation. It is distributed by Braintree Laboratories, Inc. and was recently approved by the FDA.</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Vibrant Gastro (brand name Vibrant</w:t>
      </w:r>
      <w:r>
        <w:rPr>
          <w:rFonts w:ascii="Times New Roman;sans-serif" w:hAnsi="Times New Roman;sans-serif"/>
          <w:b w:val="false"/>
          <w:color w:val="000000"/>
          <w:sz w:val="13"/>
        </w:rPr>
        <w:t>®</w:t>
      </w:r>
      <w:r>
        <w:rPr>
          <w:rFonts w:ascii="Times New Roman;sans-serif" w:hAnsi="Times New Roman;sans-serif"/>
          <w:b w:val="false"/>
          <w:color w:val="000000"/>
          <w:sz w:val="20"/>
        </w:rPr>
        <w:t>) an orally administered drug-free capsule to enhance colonic motility via mechanical stimulation of the colon.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are several hundred OTC products used to treat constipation marketed by numerous pharmaceutical and consumer health companies. MiraLax (polyethylene glycol 3350), previously a prescription product, was indicated for the treatment of constipation and manufactured and marketed by Bayer. MiraLax was converted to an OTC product in February 2007 and recently, the FDA rescinded the approval of the generic prescription polyethylene glycol 3350 products.</w:t>
      </w:r>
    </w:p>
    <w:p>
      <w:pPr>
        <w:pStyle w:val="TextBody"/>
        <w:bidi w:val="0"/>
        <w:spacing w:lineRule="auto" w:line="288" w:before="160" w:after="283"/>
        <w:jc w:val="both"/>
        <w:rPr/>
      </w:pPr>
      <w:r>
        <w:rPr>
          <w:rFonts w:ascii="Times New Roman;sans-serif" w:hAnsi="Times New Roman;sans-serif"/>
          <w:b/>
          <w:i/>
          <w:color w:val="000000"/>
          <w:sz w:val="20"/>
        </w:rPr>
        <w:t>Sancuso</w:t>
      </w:r>
      <w:r>
        <w:rPr>
          <w:rFonts w:ascii="Times New Roman;sans-serif" w:hAnsi="Times New Roman;sans-serif"/>
          <w:b/>
          <w:i/>
          <w:color w:val="000000"/>
          <w:sz w:val="16"/>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Sancuso is the only transdermal patch FDA approved for the management of chemotherapy-induced nausea and vomiting (“CINV”). Each patch delivers up to five days of treatment with granisetron, a standard of care for CINV, through the skin. Recommended treatment suggests the patch be applied 24 to 48 hours prior to chemotherapy treatment and remain in place for five days.</w:t>
      </w:r>
    </w:p>
    <w:p>
      <w:pPr>
        <w:pStyle w:val="TextBody"/>
        <w:bidi w:val="0"/>
        <w:spacing w:lineRule="auto" w:line="288" w:before="160" w:after="283"/>
        <w:jc w:val="both"/>
        <w:rPr/>
      </w:pPr>
      <w:r>
        <w:rPr>
          <w:rFonts w:ascii="Times New Roman;sans-serif" w:hAnsi="Times New Roman;sans-serif"/>
          <w:b w:val="false"/>
          <w:color w:val="000000"/>
          <w:sz w:val="20"/>
        </w:rPr>
        <w:t>While there are no other transdermal products available to treat CINV, there is a large number of generic and branded oral products as well as a limited number of injectables. Cumberland considers the oral branded products to be the most important competition including Akynzeo; Emend</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Oral (manufactured by Merck); Varubi</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(branded NK1 receptor antagonist sold by Tesaro Inc. a division of GSK); Zuplenz</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 branded version of Ondansetron marketed by Par Pharmaceuticals, Inc.) and Kytril</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 branded version of injectable granisetron hydrochloride manufactured by Roche Pharmaceuticals Inc.).</w:t>
      </w:r>
    </w:p>
    <w:p>
      <w:pPr>
        <w:pStyle w:val="TextBody"/>
        <w:bidi w:val="0"/>
        <w:spacing w:lineRule="auto" w:line="288" w:before="160" w:after="283"/>
        <w:jc w:val="left"/>
        <w:rPr/>
      </w:pPr>
      <w:r>
        <w:rPr>
          <w:rFonts w:ascii="Times New Roman;sans-serif" w:hAnsi="Times New Roman;sans-serif"/>
          <w:b/>
          <w:i/>
          <w:color w:val="000000"/>
          <w:sz w:val="20"/>
        </w:rPr>
        <w:t>Vaprisol</w:t>
      </w:r>
      <w:r>
        <w:rPr>
          <w:rFonts w:ascii="Times New Roman;sans-serif" w:hAnsi="Times New Roman;sans-serif"/>
          <w:b/>
          <w:color w:val="000000"/>
          <w:sz w:val="13"/>
        </w:rPr>
        <w:t>®</w:t>
      </w:r>
    </w:p>
    <w:p>
      <w:pPr>
        <w:pStyle w:val="TextBody"/>
        <w:bidi w:val="0"/>
        <w:spacing w:lineRule="auto" w:line="288" w:before="160" w:after="283"/>
        <w:jc w:val="both"/>
        <w:rPr/>
      </w:pPr>
      <w:r>
        <w:rPr>
          <w:rFonts w:ascii="Times New Roman;sans-serif" w:hAnsi="Times New Roman;sans-serif"/>
          <w:b w:val="false"/>
          <w:color w:val="000000"/>
          <w:sz w:val="20"/>
        </w:rPr>
        <w:t>Vaprisol is a patented, prescription brand indicated to raise serum sodium levels in hospitalized patients with euvolemic and hypervolemic hyponatremia. The product was developed and registered by Astellas and then launched in 2006. It is one of two branded prescription products indicated for the treatment of hyponatremia, and the first and only intravenously administered branded treatment. The other competing product is Samsca</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(an oral tolvaptan product sold by Otsuka Pharmaceutical Company). There are also several generic versions of tolvaptan sold by other companies.</w:t>
      </w:r>
    </w:p>
    <w:p>
      <w:pPr>
        <w:pStyle w:val="TextBody"/>
        <w:bidi w:val="0"/>
        <w:spacing w:lineRule="auto" w:line="288" w:before="160" w:after="283"/>
        <w:jc w:val="both"/>
        <w:rPr/>
      </w:pPr>
      <w:r>
        <w:rPr>
          <w:rFonts w:ascii="Times New Roman;sans-serif" w:hAnsi="Times New Roman;sans-serif"/>
          <w:b/>
          <w:i/>
          <w:color w:val="000000"/>
          <w:sz w:val="20"/>
        </w:rPr>
        <w:t>Vibativ</w:t>
      </w:r>
      <w:r>
        <w:rPr>
          <w:rFonts w:ascii="Times New Roman;sans-serif" w:hAnsi="Times New Roman;sans-serif"/>
          <w:b/>
          <w:color w:val="000000"/>
          <w:sz w:val="13"/>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Vibativ is a potent, once-daily, injectable antibiotic for the treatment of certain gram-positive infections. Vibativ is approved for the treatment of complicated skin and skin structure infections and hospital-acquired or ventilator-associated bacterial pneumonia caused by susceptible isolates of Staphylococcus aureus when alternative treatments are not suitable. There are several generic and branded antibiotics that compete for these indications.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major generic competitors are vancomycin, linezolid and daptomycin. Vancomycin is by far the most widely used agent. Newer branded agents are also available, including:</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Ceftaroline fosamil (brand name Teflaro</w:t>
      </w:r>
      <w:r>
        <w:rPr>
          <w:rFonts w:ascii="Times New Roman;sans-serif" w:hAnsi="Times New Roman;sans-serif"/>
          <w:b w:val="false"/>
          <w:color w:val="000000"/>
          <w:sz w:val="16"/>
        </w:rPr>
        <w:t>®</w:t>
      </w:r>
      <w:r>
        <w:rPr>
          <w:rFonts w:ascii="Times New Roman;sans-serif" w:hAnsi="Times New Roman;sans-serif"/>
          <w:b w:val="false"/>
          <w:color w:val="000000"/>
          <w:sz w:val="20"/>
        </w:rPr>
        <w:t>), an injectable antibiotic manufactured and sold by</w:t>
      </w:r>
      <w:r>
        <w:rPr>
          <w:color w:val="000000"/>
        </w:rPr>
        <w:t xml:space="preserve"> </w:t>
      </w:r>
      <w:r>
        <w:rPr>
          <w:rFonts w:ascii="Times New Roman;sans-serif" w:hAnsi="Times New Roman;sans-serif"/>
          <w:b w:val="false"/>
          <w:color w:val="000000"/>
          <w:sz w:val="20"/>
        </w:rPr>
        <w:t>Allergan;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Ceftolozane/Tazobactam (brand name Zerbaxa</w:t>
      </w:r>
      <w:r>
        <w:rPr>
          <w:rFonts w:ascii="Times New Roman;sans-serif" w:hAnsi="Times New Roman;sans-serif"/>
          <w:b w:val="false"/>
          <w:color w:val="000000"/>
          <w:sz w:val="13"/>
        </w:rPr>
        <w:t>®</w:t>
      </w:r>
      <w:r>
        <w:rPr>
          <w:rFonts w:ascii="Times New Roman;sans-serif" w:hAnsi="Times New Roman;sans-serif"/>
          <w:b w:val="false"/>
          <w:color w:val="000000"/>
          <w:sz w:val="20"/>
        </w:rPr>
        <w:t>), a combination cephalosporin and beta-lactamase inhibitor manufactured and sold by Merck;</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Omadacycline (brand name Nuzyra</w:t>
      </w:r>
      <w:r>
        <w:rPr>
          <w:rFonts w:ascii="Times New Roman;sans-serif" w:hAnsi="Times New Roman;sans-serif"/>
          <w:b w:val="false"/>
          <w:color w:val="000000"/>
          <w:sz w:val="13"/>
        </w:rPr>
        <w:t>®</w:t>
      </w:r>
      <w:r>
        <w:rPr>
          <w:rFonts w:ascii="Times New Roman;sans-serif" w:hAnsi="Times New Roman;sans-serif"/>
          <w:b w:val="false"/>
          <w:color w:val="000000"/>
          <w:sz w:val="20"/>
        </w:rPr>
        <w:t>), a new tetracycline approved in October 2018 and sold by Paratek Pharmaceuticals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Dalbavancin (brand name Dalvance</w:t>
      </w:r>
      <w:r>
        <w:rPr>
          <w:rFonts w:ascii="Times New Roman;sans-serif" w:hAnsi="Times New Roman;sans-serif"/>
          <w:b w:val="false"/>
          <w:color w:val="000000"/>
          <w:sz w:val="16"/>
        </w:rPr>
        <w:t>®</w:t>
      </w:r>
      <w:r>
        <w:rPr>
          <w:rFonts w:ascii="Times New Roman;sans-serif" w:hAnsi="Times New Roman;sans-serif"/>
          <w:b w:val="false"/>
          <w:color w:val="000000"/>
          <w:sz w:val="20"/>
        </w:rPr>
        <w:t>), an injectable antibiotic manufactured and sold by</w:t>
      </w:r>
      <w:r>
        <w:rPr>
          <w:color w:val="000000"/>
        </w:rPr>
        <w:t xml:space="preserve"> </w:t>
      </w:r>
      <w:r>
        <w:rPr>
          <w:rFonts w:ascii="Times New Roman;sans-serif" w:hAnsi="Times New Roman;sans-serif"/>
          <w:b w:val="false"/>
          <w:color w:val="000000"/>
          <w:sz w:val="20"/>
        </w:rPr>
        <w:t xml:space="preserve">Allergan;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Oritavancin (brand name Orbactiv</w:t>
      </w:r>
      <w:r>
        <w:rPr>
          <w:rFonts w:ascii="Times New Roman;sans-serif" w:hAnsi="Times New Roman;sans-serif"/>
          <w:b w:val="false"/>
          <w:color w:val="000000"/>
          <w:sz w:val="16"/>
        </w:rPr>
        <w:t>®</w:t>
      </w:r>
      <w:r>
        <w:rPr>
          <w:rFonts w:ascii="Times New Roman;sans-serif" w:hAnsi="Times New Roman;sans-serif"/>
          <w:b w:val="false"/>
          <w:color w:val="000000"/>
          <w:sz w:val="20"/>
        </w:rPr>
        <w:t>), an injectable antibiotic manufactured and sold by</w:t>
      </w:r>
      <w:r>
        <w:rPr>
          <w:color w:val="000000"/>
        </w:rPr>
        <w:t xml:space="preserve"> </w:t>
      </w:r>
      <w:r>
        <w:rPr>
          <w:rFonts w:ascii="Times New Roman;sans-serif" w:hAnsi="Times New Roman;sans-serif"/>
          <w:b w:val="false"/>
          <w:color w:val="000000"/>
          <w:sz w:val="20"/>
        </w:rPr>
        <w:t>Melinta;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Ceftobripole (brand name Zevetera), an injectable antibiotic registered in 2024 by Basilea.</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aware of a number of other novel antibiotics that are currently in development.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Antibiotic drug selection is based both on an empiric and susceptibility proven basis. In the hospital setting, cost is an important factor which favors the use of generic agents if they are effective. Newer agents are often reserved for two reasons: they are valuable in the treatment of patients that fail to respond to generics and it is considered good practice to conserve the use of these agents to reduce the risk of resistance. antimicrobial resistance, which is considered a global public health threat by the Center for Disease Control and Prevention (“CDC”).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160" w:after="283"/>
        <w:jc w:val="both"/>
        <w:rPr/>
      </w:pPr>
      <w:r>
        <w:rPr>
          <w:rFonts w:ascii="Times New Roman;sans-serif" w:hAnsi="Times New Roman;sans-serif"/>
          <w:b w:val="false"/>
          <w:color w:val="000000"/>
          <w:sz w:val="20"/>
        </w:rPr>
        <w:t xml:space="preserve">The development of new pharmaceutical products can be a long, expensive and risky process. There is no assurance we will obtain successful study results or secure the market approvals needed for our pipeline product candidates. Governmental authorities in the U.S. and other countries extensively regulate the research, development, testing, manufacturing, distribution, marketing and sale of pharmaceutical products. For more information, see </w:t>
      </w:r>
      <w:r>
        <w:rPr>
          <w:rFonts w:ascii="Times New Roman;sans-serif" w:hAnsi="Times New Roman;sans-serif"/>
          <w:b w:val="false"/>
          <w:i/>
          <w:color w:val="000000"/>
          <w:sz w:val="20"/>
        </w:rPr>
        <w:t>"Risks Relating to Government Regulation"</w:t>
      </w:r>
      <w:r>
        <w:rPr>
          <w:color w:val="000000"/>
        </w:rPr>
        <w:t xml:space="preserve"> </w:t>
      </w:r>
      <w:r>
        <w:rPr>
          <w:rFonts w:ascii="Times New Roman;sans-serif" w:hAnsi="Times New Roman;sans-serif"/>
          <w:b w:val="false"/>
          <w:color w:val="000000"/>
          <w:sz w:val="20"/>
        </w:rPr>
        <w:t xml:space="preserve">in Part I, Item 1A of this Form 10-K.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U.S., the FDA under the Federal Food, Drug and Cosmetic Act (“FDCA”), the Public Health Service Act, and other federal statutes and regulations, subjects pharmaceutical products to rigorous review. Failure to comply with applicable U.S. requirements may subject a company to a variety of administrative or judicial sanctions, such as FDA refusal to approve pending New Drug Applications (“NDAs”) or biologics license applications (“BLAs”), warning letters, product recalls, product seizures, total or partial suspension of production or distribution, injunctions, fines, civil penalties and criminal prosecution.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our manufacturers and contract research organizations may also be subject to regulations under other federal, state and local laws, including the Occupational Safety and Health Act (“OSHA”), the Resource Conservation and Recovery Act, the Clean Air Act, and import, export and customs regulations as well as the laws and regulations of other countries.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FDA Approval Process</w:t>
      </w:r>
    </w:p>
    <w:p>
      <w:pPr>
        <w:pStyle w:val="TextBody"/>
        <w:bidi w:val="0"/>
        <w:spacing w:lineRule="auto" w:line="288" w:before="160" w:after="283"/>
        <w:jc w:val="both"/>
        <w:rPr/>
      </w:pPr>
      <w:r>
        <w:rPr>
          <w:rFonts w:ascii="Times New Roman;sans-serif" w:hAnsi="Times New Roman;sans-serif"/>
          <w:b w:val="false"/>
          <w:color w:val="000000"/>
          <w:sz w:val="20"/>
        </w:rPr>
        <w:t>The FDA is a regulatory agency within the Department of Health and Human Services. One of their key responsibilities is to regulate the safety and effectiveness of drugs sold in the United States. The FDA manages this responsibility in two phases: pre-approval</w:t>
      </w:r>
      <w:r>
        <w:rPr>
          <w:color w:val="000000"/>
        </w:rPr>
        <w:t xml:space="preserve"> </w:t>
      </w:r>
      <w:r>
        <w:rPr>
          <w:rFonts w:ascii="Times New Roman;sans-serif" w:hAnsi="Times New Roman;sans-serif"/>
          <w:b w:val="false"/>
          <w:color w:val="000000"/>
          <w:sz w:val="20"/>
        </w:rPr>
        <w:t>(pre-market) and post approval</w:t>
      </w:r>
      <w:r>
        <w:rPr>
          <w:color w:val="000000"/>
        </w:rPr>
        <w:t xml:space="preserve"> </w:t>
      </w:r>
      <w:r>
        <w:rPr>
          <w:rFonts w:ascii="Times New Roman;sans-serif" w:hAnsi="Times New Roman;sans-serif"/>
          <w:b w:val="false"/>
          <w:color w:val="000000"/>
          <w:sz w:val="20"/>
        </w:rPr>
        <w:t>(post-market). The FDA reviews manufacturers' applications to market drugs in the United States; a drug may not be sold unless it has FDA approval. The FDA continues its oversight of drug safety and effectiveness as long as the drug is on the market.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market a prescription drug in the United States, a manufacturer needs FDA approval. To get that approval, the manufacturer must demonstrate the drug's safety and effectiveness according to criteria specified in law and agency regulations, ensure that its manufacturing plant passes FDA inspection, and obtain FDA approval for the drug's labeling, a term that includes all written material about the drug, including, for example, packaging, prescribing information for physicians and patient brochures.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progression to drug approval begins before FDA involvement. First, scientists work in the laboratory to discover and develop a new compound. Next, basic safety questions are answered by nonclinical testing with animals and then, a drug or biotechnology company develops a prototype drug. That company must seek clearance from the FDA by way of an IND application to test the product with human subjects.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Those tests, called clinical trials, are carried out sequentially in Phase I, II and III studies, which involve increasing numbers of subjects. The manufacturer then compiles the resulting data and analyses in an NDA. The FDA reviews the NDA with three major concerns: (1) safety and effectiveness in the drug's proposed use; (2) appropriateness of the proposed labeling; and (3) adequacy of manufacturing methods to assure the drug's identity, strength, quality and purity.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sponsor of the drug typically conducts human clinical trials in three sequential phases, but the phases may overlap. Phase I clinical trials are generally conducted in a small number of healthy volunteers, primarily to collect and assess pharmacokinetics and safety data at one or more dosages prior to proceeding into patients.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Phase II clinical trials, the sponsor evaluates the early efficacy of the product in short-term trials on the targeted indication and identifies possible adverse effects and safety risks in a patient population.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Phase III clinical trials typically involve testing for patients in long-term trials examining safety and clinical efficacy in an expanded population at geographically dispersed test sites.</w:t>
      </w:r>
    </w:p>
    <w:p>
      <w:pPr>
        <w:pStyle w:val="TextBody"/>
        <w:bidi w:val="0"/>
        <w:spacing w:lineRule="auto" w:line="288" w:before="160" w:after="283"/>
        <w:jc w:val="both"/>
        <w:rPr/>
      </w:pPr>
      <w:r>
        <w:rPr>
          <w:rFonts w:ascii="Times New Roman;sans-serif" w:hAnsi="Times New Roman;sans-serif"/>
          <w:b w:val="false"/>
          <w:color w:val="000000"/>
          <w:sz w:val="20"/>
        </w:rPr>
        <w:t>The FDA requires that clinical trials be conducted in accordance with the FDA’s Good Clinical Practice (“GCP”) requirements.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 patients. Each clinical site that conducts a trial must obtain institutional review board ("IRB"), or ethics committee (outside of the U.S.), approval of the clinical trial design and patient-informed consent</w:t>
      </w:r>
      <w:r>
        <w:rPr>
          <w:rFonts w:ascii="Times New Roman;sans-serif" w:hAnsi="Times New Roman;sans-serif"/>
          <w:b w:val="false"/>
          <w:color w:val="B5082E"/>
          <w:sz w:val="20"/>
        </w:rPr>
        <w:t>,</w:t>
      </w:r>
      <w:r>
        <w:rPr>
          <w:color w:val="000000"/>
        </w:rPr>
        <w:t xml:space="preserve"> </w:t>
      </w:r>
      <w:r>
        <w:rPr>
          <w:rFonts w:ascii="Times New Roman;sans-serif" w:hAnsi="Times New Roman;sans-serif"/>
          <w:b w:val="false"/>
          <w:color w:val="000000"/>
          <w:sz w:val="20"/>
        </w:rPr>
        <w:t>and may also impose other conditions or require the clinical trial at that site to be halted, either temporarily or permanently, for failure to comply with the IRB's requirements.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the nonclinical and clinical trials, together with detailed information on the manufacturing and composition of the product and proposed labeling, are submitted to the FDA in the form of an NDA for marketing approval. The NDA undergoes a 60-day validation review period before it is accepted for filing.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FDA and associated regulations detail the requirements at each step. The FDA uses a few special mechanisms to expedite drug development and the review process when a drug might address an unmet need or a serious disease or condition. Those mechanisms include accelerated approval, fast track and priority reviews, and the newer designation, breakthrough therapy.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NDA is found to be incomplete, it will not be accepted. Once the NDA is validated and accepted for filing, the FDA begins an in-depth review of the NDA.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policies agreed to by the FDA under the Prescription Drug User Fee Act, or PDUFA (currently PDUFA VII - effective September 30, 2022), the FDA has a target timeline of 10 months in which to complete its initial review of a standard NDA and respond to the applicant. The review process and the PDUFA goal date may be extended by two months to address deficiencies, or by three months if the FDA requests or if the NDA sponsor otherwise provides additional information or clarification regarding information already provided in the submission at any time during the review clock period. If the FDA’s evaluations of the NDA and the clinical and manufacturing procedures and facilities are favorable and meet all regulations, the FDA will issue an approval letter. Priority review is reserved for drugs that represent a “significant improvement in safety or efficacy” over existing treatments. The FDA endeavors to complete priority reviews in six months.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NDA meets with FDA approval, a letter will be sent out indicating approval and final labeling recommendations. If not, a complete response letter will be sent to applicants indicating that the review cycle for an application is complete and that the application is not ready for approval.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complete response letter will describe the specific deficiencies that the agency has identified in an application and what changes must be made before the application can be approved, with no implication regarding whether the application will ultimately be approved. An approval letter authorizes commercial marketing of the drug for the proposed indication(s) under study. While the FDA’s PDUFA 2021 Performance Report showed a continued increase in the percentage of first-cycle approval letters for new molecular entities rising from 56% for FY 2009 to 74% for FY 2024, we cannot be certain that timely first-cycle approvals will be maintained by the FDA.</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the time and cost of completing these steps and obtaining FDA approval can vary dramatically depending on the drug, it can take many years and cost millions of dollars for a novel drug.</w:t>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Section 505(b) New Drug Applications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NDA may be submitted under different methods, a 505(b)(1), 505(b)(2) or 505(j). Section 505(b) provides for the submission of an NDA to support the approval of a drug. Upon approval, a drug may be marketed only for the FDA-approved indication(s) in the approved dosage form. Further clinical trials may be necessary to gain approval for the use of the product for any additional indications or dosage forms.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FDA also requires post-market safety surveillance reporting to monitor the side effects of the drug, which may result in withdrawal of approval after marketing begins if significant adverse safety findings are found.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505(b)(1), or the ‘full’ NDA, is used for new chemical entities (“NCEs”) and requires full clinical and nonclinical development of a compound. Marketing exclusivity assigned to a 505(b)(1) approval is five years. A 505(b)(2) NDA permits the submission of an NDA where at least some of the information required for approval comes from studies not conducted by or for the applicant using previously reported safety and efficacy data, and for which the applicant has not obtained a right of reference. Generally new studies are required to provide data on the proposed change.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examples of products that may be allowed to follow a 505(b)(2) path to approval are drugs that have a new dosage form, strength, route of administration, formulation or indication, or combination drugs. Marketing exclusivity for a 505(b)(2) submission is three years.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Both 505 (b)(1) and (b)(2) are eligible for seven years of exclusivity for orphan drugs and/or six months for pediatric exclusivity. Any marketing exclusivity is independent of patent exclusivity. We successfully secured FDA approvals for Acetadote in January 2004 and for Caldolor in June 2009 pursuant to the 505(b)(2) pathway. </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Orphan drug designation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Orphan Drug Act of 1983 (the “Orphan Drug Act”) encourages manufacturers to seek approval of products intended to treat “rare diseases and conditions” with a prevalence of fewer than 200,000 patients in the U.S. or for which there is no reasonable expectation of recovering the development costs for the product. For products that receive orphan drug designation by the FDA, the Orphan Drug Act provides tax credits for clinical research, FDA assistance with protocol design, eligibility for FDA grants to fund clinical studies, waiver of the FDA application fee and a period of seven years of marketing exclusivity for the product following FDA marketing approval.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Acetadote received orphan drug designation in October 2001 and in 2004 the FDA approved the product to prevent or lessen hepatic injury after ingestion of a potentially hepatotoxic quantity of acetaminophen. Acetadote was entitled to marketing exclusivity until January 2011 for the treatment of this approved indication. We also received orphan drug designation for Ifetroban for the treatment of cardiomyopathy associated with Duchenne muscular dystrophy in 2024.</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Rare pediatric disease designation and priority review vouchers (“PRV”)</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rare pediatric disease PRV program aims to incentivize drug development for rare pediatric diseases.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be eligible for a voucher, the drug should be (1) approved for a rare pediatric disease and (2) treat or prevent a serious or life-threatening manifestation of the disease or condition that affects children. These serious or life-threatening manifestations may be the manifestations that primarily affect children, but they are not required to be, so long as the approved indication is clinically meaningful to pediatric patients with the disease or condition.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this voucher program, a sponsor who receives an approval for a drug or biological product for a rare pediatric disease may qualify for a voucher that can be redeemed to receive priority review for a different product. The sponsor may also transfer or sell the voucher to another sponsor.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FDA awards rare pediatric disease PRVs to sponsors of rare pediatric disease products that are approved and meet certain criteria. Prior to submitting a marketing application for its drug, a sponsor that plans to request a rare pediatric disease PRV may request rare pediatric disease designation.</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Section 505(j) abbreviated new drug applications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abbreviated new drug application (“ANDA”) is a type of NDA where approval of a generic drug is based on demonstrating comparability to an innovator drug product (the Reference Listed Drug, or RLD). Applications are "abbreviated" because they generally do not include pre-clinical and clinical data to establish safety and effectiveness. Generics must demonstrate that the product is bioequivalent (i.e., performs in the same manner and is comparable to the 'innovator' product in active ingredient, dosage form, strength, route of administration, labeling, quality, performance characteristics and intended use).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Abbreviated applications may be submitted for drug products that are the same as a listed drug and must be identical in active ingredient(s), form, strength, route of administration and in conditions of use (non-exclusive uses). Products are declared suitable based on a suitability petition to the FDA. If the petition is approved, the sponsor may then submit the ANDA.</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The Hatch-Waxman Act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Drug Price Competition and Patent Term Restoration Act, informally known as the “Hatch-Waxman Act,” is a 1984 United States federal law that established the modern system of generic drugs.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Hatch-Waxman Act amended the Federal Food, Drug and Cosmetic Act. Section 505(j) 21 U.S.C. 355(j) sets forth the process by which would-be marketers of generic drugs can file ANDAs to seek FDA approval of the generic. Section 505(j)(2)(A)(vii)(IV), the so-called Paragraph IV, allows 180-day exclusivity to companies that are the "first-to-file" an ANDA against holders of patents for branded counterparts.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Hatch-Waxman Act amendments grant generic manufacturers the ability to mount a validity challenge without incurring the cost of entry or risking enormous damages flowing from any possible infringement. The Hatch-Waxman Act essentially redistributes the relative risk assessments and explains the flow of settlement funds and their magnitude. The Hatch-Waxman Act gives generics considerable leverage in patent litigation.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Health care legislation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23, 2010, former President Obama signed into law the Patient Protection and Affordable Care Act, (“PPACA”). On March 30, 2010, the Health Care and Education Reconciliation Act of 2010 (“HCERA”) was enacted into law, which modified the revenue provisions of the PPACA. The PPACA as amended by the HCERA constitutes the healthcare reform legislation. The following highlights certain provisions of the legislation that may affect us.</w:t>
      </w:r>
    </w:p>
    <w:p>
      <w:pPr>
        <w:pStyle w:val="TextBody"/>
        <w:bidi w:val="0"/>
        <w:spacing w:lineRule="auto" w:line="288" w:before="160" w:after="283"/>
        <w:jc w:val="both"/>
        <w:rPr/>
      </w:pPr>
      <w:r>
        <w:rPr>
          <w:rFonts w:ascii="Times New Roman;sans-serif" w:hAnsi="Times New Roman;sans-serif"/>
          <w:b/>
          <w:i/>
          <w:color w:val="000000"/>
          <w:sz w:val="20"/>
        </w:rPr>
        <w:t xml:space="preserve">Pharmaceutical Industry Fee: </w:t>
      </w:r>
      <w:r>
        <w:rPr>
          <w:rFonts w:ascii="Times New Roman;sans-serif" w:hAnsi="Times New Roman;sans-serif"/>
          <w:b w:val="false"/>
          <w:color w:val="000000"/>
          <w:sz w:val="20"/>
        </w:rPr>
        <w:t xml:space="preserve">Beginning in calendar-year 2011, an annual fee was imposed on pharmaceutical manufacturers and importers that sell branded prescription drugs to specified government programs (e.g., Medicare Part D, Medicare Part B, Medicaid, Department of Veterans Affairs programs, Department of Defense programs and TRICARE).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annual fee is allocated to companies based on their previous calendar-year market share using sales data that the government agencies that purchase the pharmaceuticals will provide to the Treasury Department. Although we participate in government programs that subject us to this fee, our sales volume in such programs is less than $10 million, with the first $5 million of sales being exempt from the fee. This fee has not had a material impact and is not expected to have a material impact on our results of operations.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PDUFA imposes annual program fees. An applicant will be assessed annual prescription drug program fees for prescription drug products, incurring a fee for each strength of a drug product. An applicant may not be assessed more than five prescription drug program fees for a fiscal year for prescription drug products identified in a single approved application.</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Times New Roman;sans-serif" w:hAnsi="Times New Roman;sans-serif"/>
          <w:b w:val="false"/>
          <w:color w:val="000000"/>
          <w:sz w:val="20"/>
        </w:rPr>
        <w:t>Under section 736(d)(1)(A) of the FD&amp;C Act, an applicant may qualify for a waiver of or reduction in application or program fees if the waiver or reduction is necessary to protect the public health. Under this provision,</w:t>
      </w:r>
      <w:r>
        <w:rPr>
          <w:color w:val="B5082E"/>
        </w:rPr>
        <w:t xml:space="preserve"> </w:t>
      </w:r>
      <w:r>
        <w:rPr>
          <w:rFonts w:ascii="Times New Roman;sans-serif" w:hAnsi="Times New Roman;sans-serif"/>
          <w:b w:val="false"/>
          <w:color w:val="000000"/>
          <w:sz w:val="20"/>
        </w:rPr>
        <w:t>the FDA considers the following questions in determining whether to grant a public health waiver or reduction in user fees: (1) Does the product protect the public health? and (2) Is the waiver or reduction necessary to continue an activity that protects the public health? In addition, an applicant may qualify for a waiver or reduction in application or program fees when the assessment of the fees would present a significant barrier to innovation because of limited resources available to the applicant or other circumstances.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section 736(a)(1)(F) of the FD&amp;C Act, a human drug application for a product that has been designated as a drug for a rare disease or condition (referred to as an orphan drug) under section 526 of the FD&amp;C Act is not subject to an application fee unless the human drug application includes an indication for other than a rare disease or condition.</w:t>
      </w:r>
    </w:p>
    <w:p>
      <w:pPr>
        <w:pStyle w:val="TextBody"/>
        <w:bidi w:val="0"/>
        <w:spacing w:lineRule="auto" w:line="288" w:before="160" w:after="283"/>
        <w:jc w:val="both"/>
        <w:rPr/>
      </w:pPr>
      <w:r>
        <w:rPr>
          <w:rFonts w:ascii="Times New Roman;sans-serif" w:hAnsi="Times New Roman;sans-serif"/>
          <w:b/>
          <w:i/>
          <w:color w:val="000000"/>
          <w:sz w:val="20"/>
        </w:rPr>
        <w:t xml:space="preserve">Physician Payments Sunshine Act: </w:t>
      </w:r>
      <w:r>
        <w:rPr>
          <w:rFonts w:ascii="Times New Roman;sans-serif" w:hAnsi="Times New Roman;sans-serif"/>
          <w:b w:val="false"/>
          <w:color w:val="000000"/>
          <w:sz w:val="20"/>
        </w:rPr>
        <w:t>The PPACA also includes provisions known as the Physician Payments Sunshine Act (“Sunshine Act”), which requires manufacturers of pharmaceuticals and medical devices covered under Medicare and Medicaid to record any transfers of value to physicians and teaching hospitals and to report this data to the Centers for Medicare and Medicaid Services (“CMS”), for aggregation and subsequent public disclosure. Under the Sunshine Act, beginning August 1, 2013, we have collected data regarding reportable transfers of value and have reported such data to CMS. Failure to report appropriate data may result in civil or criminal fines and/or penalties. In addition to the Federal Sunshine Act, similar reporting requirements have also been enacted on the state level requiring transparency of interactions with health care professionals.</w:t>
      </w:r>
    </w:p>
    <w:p>
      <w:pPr>
        <w:pStyle w:val="TextBody"/>
        <w:bidi w:val="0"/>
        <w:spacing w:lineRule="auto" w:line="288" w:before="160" w:after="283"/>
        <w:jc w:val="both"/>
        <w:rPr/>
      </w:pPr>
      <w:r>
        <w:rPr>
          <w:rFonts w:ascii="Times New Roman;sans-serif" w:hAnsi="Times New Roman;sans-serif"/>
          <w:b/>
          <w:i/>
          <w:color w:val="000000"/>
          <w:sz w:val="20"/>
        </w:rPr>
        <w:t>Medicaid Rebate Rate:</w:t>
      </w:r>
      <w:r>
        <w:rPr>
          <w:color w:val="000000"/>
        </w:rPr>
        <w:t xml:space="preserve"> </w:t>
      </w:r>
      <w:r>
        <w:rPr>
          <w:rFonts w:ascii="Times New Roman;sans-serif" w:hAnsi="Times New Roman;sans-serif"/>
          <w:b w:val="false"/>
          <w:color w:val="000000"/>
          <w:sz w:val="20"/>
        </w:rPr>
        <w:t>Under the Medicaid Drug Rebate program, we currently are required to provide rebates for covered outpatient drugs that are dispensed to Medicaid beneficiaries. In addition, we also are required to participate in the Public Health Service’s 340B drug pricing program, which requires us to agree to charge no more than a designated ceiling price for covered outpatient drugs that are dispensed to community health clinics and other entities that receive health services grants from the Public Health Service, as well as hospitals that serve a disproportionate share of low-income patients.</w:t>
      </w:r>
    </w:p>
    <w:p>
      <w:pPr>
        <w:pStyle w:val="TextBody"/>
        <w:bidi w:val="0"/>
        <w:spacing w:lineRule="auto" w:line="288" w:before="160" w:after="283"/>
        <w:jc w:val="both"/>
        <w:rPr/>
      </w:pPr>
      <w:r>
        <w:rPr>
          <w:rFonts w:ascii="Times New Roman;sans-serif" w:hAnsi="Times New Roman;sans-serif"/>
          <w:b/>
          <w:i/>
          <w:color w:val="000000"/>
          <w:sz w:val="20"/>
        </w:rPr>
        <w:t>Product Serialization:</w:t>
      </w:r>
      <w:r>
        <w:rPr>
          <w:color w:val="000000"/>
        </w:rPr>
        <w:t xml:space="preserve"> </w:t>
      </w:r>
      <w:r>
        <w:rPr>
          <w:rFonts w:ascii="Times New Roman;sans-serif" w:hAnsi="Times New Roman;sans-serif"/>
          <w:b w:val="false"/>
          <w:color w:val="000000"/>
          <w:sz w:val="20"/>
        </w:rPr>
        <w:t>In November of 2013, the FDA passed the Drug Supply Chain Security Act (“DSCSA”). The DSCSA was created to strengthen the security of the drug distribution supply chain by adding controls such as a national pharmaceutical track and trace system and establishing national standards for licensing of prescription drug wholesale distributors and third-party logistics providers. DSCSA requires trading partners, including manufacturers, repackagers, wholesale distributors and dispensers to provide transaction information to subsequent purchasers for certain prescription drugs. We have taken necessary steps to implement this program and are in compliance with all requirements.</w:t>
      </w:r>
    </w:p>
    <w:p>
      <w:pPr>
        <w:pStyle w:val="TextBody"/>
        <w:bidi w:val="0"/>
        <w:spacing w:lineRule="auto" w:line="288" w:before="160" w:after="283"/>
        <w:jc w:val="both"/>
        <w:rPr/>
      </w:pPr>
      <w:r>
        <w:rPr>
          <w:rFonts w:ascii="Times New Roman;sans-serif" w:hAnsi="Times New Roman;sans-serif"/>
          <w:b/>
          <w:i/>
          <w:color w:val="000000"/>
          <w:sz w:val="20"/>
        </w:rPr>
        <w:t>21</w:t>
      </w:r>
      <w:r>
        <w:rPr>
          <w:rFonts w:ascii="Times New Roman;sans-serif" w:hAnsi="Times New Roman;sans-serif"/>
          <w:b/>
          <w:i/>
          <w:color w:val="000000"/>
          <w:sz w:val="13"/>
        </w:rPr>
        <w:t>st</w:t>
      </w:r>
      <w:r>
        <w:rPr>
          <w:color w:val="000000"/>
        </w:rPr>
        <w:t xml:space="preserve"> </w:t>
      </w:r>
      <w:r>
        <w:rPr>
          <w:rFonts w:ascii="Times New Roman;sans-serif" w:hAnsi="Times New Roman;sans-serif"/>
          <w:b/>
          <w:i/>
          <w:color w:val="000000"/>
          <w:sz w:val="20"/>
        </w:rPr>
        <w:t>Century Cures Act:</w:t>
      </w:r>
      <w:r>
        <w:rPr>
          <w:color w:val="000000"/>
        </w:rPr>
        <w:t xml:space="preserve"> </w:t>
      </w:r>
      <w:r>
        <w:rPr>
          <w:rFonts w:ascii="Times New Roman;sans-serif" w:hAnsi="Times New Roman;sans-serif"/>
          <w:b w:val="false"/>
          <w:color w:val="000000"/>
          <w:sz w:val="20"/>
        </w:rPr>
        <w:t>The 21st Century Cures Act (“Cures Act”), signed into law on December 13, 2016, is designed to help accelerate medical product development and bring new innovations and advances to patients who need them faster and more efficiently. The law builds on the FDA’s ongoing work to incorporate the perspectives of patients into the development of drugs, biological products and devices in the FDA’s decision-making process. The Cures Act enhances the FDA’s ability to modernize clinical trial designs and clinical outcome assessments, which will speed the development and review of novel medical products, including medical countermeasures.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Specifically, the Cures Act enables us to work with the FDA in the development of new biomarkers, clinical outcome assessments, surrogate endpoints and patient reported outcomes. It allows for the use of data summaries (rather than full clinical trials for approval) as well as the use of real-world evidence to support approval of new indications of approved medical products, or to help satisfy post-approval study requirements for marketed products.</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Post Approval Activities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Once a drug is on the U.S. market (following FDA approval of the NDA), the FDA continues to address drug production, distribution and use. FDA activities are based on ensuring drug safety and effectiveness. They address product integrity, labeling, reporting of research and adverse events, surveillance, drug studies, risk management, information dissemination, off-label use, physician advertising and direct-to-consumer advertising.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amend the NDA for an FDA-approved product, such as adding safety or efficacy labeling claims, promoting those new claims, making certain manufacturing changes or product enhancements, we will need FDA review and approval before the change can be implemented. While physicians may use products for indications that have not been approved by the FDA, we may not label or promote the product for an indication that has not been approved.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Securing FDA approval for new indications, product enhancements and manufacturing and labeling changes may require us to conduct additional clinical trials under the FDA’s IND regulations. Even if such studies are conducted, they are still subject to the same requirements and timelines as an original NDA.</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continuously gathers information about possible adverse reactions to the products it has approved for use. The FDA requires all manufacturers to report adverse events. It also provides a procedure for consumers and physicians to voluntarily report their concerns about drugs. The agency collects those reports through MedWatch and uses its FDA Adverse Event Reporting System (FAERS) to store and analyze them. Because some events may occur after the use of a drug for reasons unrelated to the product, the FDA reviews the events to assess which ones may indicate a problem with that particular drug.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They then use information gleaned from the surveillance data to determine a course of action. They might recommend a change in drug labeling to alert users to a potential problem, or perhaps, require the manufacturer to study the observed association between the drug and the adverse event.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FDA restrictions on marketing of pharmaceutical products, several other types of state and federal laws have been applied to restrict certain marketing practices in the pharmaceutical industry in recent years. These laws include anti-kickback statutes and false claims statutes.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health care program anti-kickback statute prohibits,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financed health care programs. This statute has been interpreted to apply to arrangements between pharmaceutical manufacturers and prescribers, purchasers or formulary managers. Violations of the anti-kickback statute are punishable by imprisonment, criminal fines, civil monetary penalties and exclusion from participation in federal health care programs.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these U.S. laws, we are subject to similar laws that govern our marketing practices and financial arrangements with health care providers and otherwise are intended to prohibit illicit kickbacks and bribery, including the Foreign Corrupt Practices Act.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Federal False Claims Act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false claims laws prohibit any person from knowingly presenting, or causing to be presented, a false claim for payment to the federal government, or knowingly making, or causing to be made, a false statement to have a false claim paid.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number of pharmaceutical and other health 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w:t>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HIPAA and Other Data Protection Laws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we and our collaborators are subject to numerous federal and state privacy and security laws and regulations, including the Health Insurance Portability and Accountability Act of 1996. These laws include obligations related to protecting the privacy and security of health-related personal information, such as information that we may obtain through the clinical trial process. In addition, similar laws and regulations exist in Europe and other jurisdictions, including the European Union’s General Data Protection Regulation.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ICH - International Committee on Harmonization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Outside of the U.S., our ability to market our products will depend on receiving marketing authorizations from the appropriate regulatory authorities. The International Committee on Harmonization (“ICH”) provides a set of standards that most regulatory authorities adhere to (e.g. U.S., Europe and Japan) allowing greater harmonization in the interpretation and application of technical guidelines and requirements for pharmaceutical product registration, thereby reducing or obviating duplication of testing carried out during the research and development of new human medicines. Regulatory harmonization offers many direct benefits to both regulatory authorities and the pharmaceutical industry with beneficial impact for the protection of public health.</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federal, state and local environmental laws and regulations and we believe that our operations comply with such regulations. We anticipate that the effects of compliance with federal, state and local laws and regulations relating to the discharge of materials into the environment will not have any material effect on our capital expenditures, earnings or competitive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60" w:after="283"/>
        <w:jc w:val="both"/>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333"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significant seasonal aspects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60" w:after="283"/>
        <w:jc w:val="both"/>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bidi w:val="0"/>
        <w:spacing w:lineRule="auto" w:line="333"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to the relatively short lead-time required to fill orders for our products, backlog of orders is not considered material to our business.</w:t>
      </w:r>
    </w:p>
    <w:p>
      <w:pPr>
        <w:pStyle w:val="TextBody"/>
        <w:bidi w:val="0"/>
        <w:spacing w:lineRule="auto" w:line="333" w:before="160" w:after="283"/>
        <w:jc w:val="both"/>
        <w:rPr>
          <w:rFonts w:ascii="Times New Roman;sans-serif" w:hAnsi="Times New Roman;sans-serif"/>
          <w:b/>
          <w:color w:val="000000"/>
          <w:sz w:val="20"/>
        </w:rPr>
      </w:pPr>
      <w:r>
        <w:rPr>
          <w:rFonts w:ascii="Times New Roman;sans-serif" w:hAnsi="Times New Roman;sans-serif"/>
          <w:b/>
          <w:color w:val="000000"/>
          <w:sz w:val="20"/>
        </w:rPr>
        <w:t>EMPLOYEES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91 employees. We believe that our future will depend in part on our continued ability to attract, hire, and retain qualified personnel, including hospital oncology and field sales personnel in particular. To that end, we work with qualified search firms to identify talent, we measure and adjust compensation levels to remain competitive and we work closely with team members to support their success.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make statements in this Annual Report on Form 10-K that are “forward-looking statements” within the meaning of Section 27A of the Securities Act of 1933, as amended, and Section 21E of the Securities Exchange Act of 1934, as amended. All statements other than statement of historical facts may be forward-looking statements. In particular, forward-looking statements include, among other things, statements regarding our intent, belief or expectations, and can be identified by the use of terminology such as “may,” “will,” “expect,” “believe,” “intend,” “plan,” “estimate,” “should,” “seek,” “anticipate” and other comparable terms or the negative thereof. In addition, we, through our senior management, from time to time make forward-looking oral and written public statements concerning our expected future operations and other developments. While forward-looking statements reflect our good-faith beliefs and best judgment based upon current information, they are not guarantees of future performance and are subject to known and unknown risks and uncertainties, including those mentioned in Item 1A, “Risk Factors,” Item 7, “Management’s Discussion and Analysis of Financial Condition and Results of Operations” and elsewhere in this Form 10-K. Accordingly, investors are cautioned not to place undue reliance on any forward-looking statements. Actual results may differ materially from the expectations contained in the forward-looking statements as a result of various factors. Such factors include, but are not limited 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The possible or assumed future results of operations, including the accuracy of our estimates regarding expenses, future revenues, capital requirements and needs for additional financing;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impact of macroeconomic conditions, including inflationary pressures, rising interest rates, general economic slowdown or a recession, changes in monetary policy, volatile market conditions, financial institution instability, as well as geopolitical instability and the ongoing conflicts outside the U.S., on our operations;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competitive position and competitors, including the size and growth potential of the markets for our products and product candidates;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success, cost and timing of our product acquisition and development activities and clinical trials; and our ability to successfully commercialize our product candidates;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Product efficacy or safety concerns, whether or not based on scientific evidence, resulting in product withdrawals, recalls, regulatory action on the part of the FDA (or international counterparts) or declining sales;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performance of our third-party suppliers and manufacturers which impacts our supply chain and could create business shutdowns or product shortages; and the retention of key scientific and management personnel;</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impact on our business, financial condition and results of operations from the effects of a pandemic or the outbreak of an infectious disease in the United States and worldwide and resulting governmental and societal responses;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Challenges to our patents and the introduction of generic versions of our products and product candidates, which could negatively impact our ability to commercialize and sell our products and product candidates and decrease sales a result of market exclusivity;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Changes in reimbursement available to us, including changes in Medicare and Medicaid payment levels and availability of third-party insurance coverage and the effects of future legislation or regulations, including changes to regulatory approval of new products, licensing and patent rights, environmental protection and possible drug re-importation legislation;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Interruptions and breaches of our computer and communications systems, and those of our vendors, including computer viruses, hacking and cyber-attacks, that could impair our ability to conduct business and communicate internally and with our customers, or result in the theft of trade secrets or other misappropriation of assets, or otherwise compromise privacy of sensitive information belonging to us, our customers or other business partners; and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Issuance of new or revised accounting standards by the Financial Accounting Standards Board and the Securities and Exchange Commission.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list above contains many, but not all, of the factors that could impact our ability to achieve results described in any forward-looking statements. Investors should understand that it is not possible to predict or identify all such factors and should not consider this list to be a complete statement of all potential risks and uncertainties. For more information about the risks, uncertainties, and other factors that could affect our future results, please refer to Item 1A, Risk Factors,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1A. Risk Factors.</w:t>
      </w:r>
    </w:p>
    <w:p>
      <w:pPr>
        <w:pStyle w:val="TextBody"/>
        <w:bidi w:val="0"/>
        <w:spacing w:lineRule="auto" w:line="288" w:before="16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Risk Factor Summary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Investing in our common stock involves a high degree of risk. You should carefully consider all information in this Annual Report on Form 10-K prior to investing in our common stock. These risks are discussed more fully in the section titled “Risk Factors.” These risks and uncertainties include, but are not limited to, the following:</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Global and national conditions and events, including, but not limited to, rising interest rates, increased inflation, supply chain disruptions, labor conditions, significant natural disasters, pandemics and public health crises and international conflict, may adversely affect our business, revenues, results of operations and financial condition.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Failure to implement strategies to enhance our performance could have a material adverse effect on our business, results of operations and financial conditions.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ability to perform depends on keeping and hiring exceptionally talented management and employees, and our failure to do so could have a material adverse effect on our business, revenues, results of operations and financial condition.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success depends, in part, on our ability to successfully obtain or retain high-performing third-party performers on commercially acceptable terms, and the failure to do so can have a material adverse effect on our business, financial conditions and results of operations.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business is subject to stringent government regulations, it must adhere to numerous complex pieces of legislation, and all of our products face regulatory challenges.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business depends on the successful protection of our intellectual property rights and our product candidates becoming approved by regulatory agencies, commercially viable, and accepted by the market.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business is subject to cybersecurity and artificial-intelligence related risks, including risks related to system failures, security breaches, including any cybersecurity incidents, adverse events or other disruptions within our information technology infrastructure at our corporate headquarters; or intellectual property infringement.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business faces a serious financial risk if generic products that compete with any of our branded pharmaceutical products are approved and sold because sales of our products will be adversely affected and our business may not recover the capital costs of bringing that product to market.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Our business faces an inherent risk of product liability lawsuits related to the testing of our product candidates and the commercial sale of our products, and if we cannot successfully defend ourselves against the product liability claim, we may incur substantial liabilities.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We may attempt to develop internationally and license our products globally, as well as invest in other businesses or joint ventures, all of which may be unsuccessful, divert our management’s attention and harm our operating results and prospects.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risk factors described below and throughout this report should be carefully considered and could materially affect our business. There are also risks that are not presently known or not presently material, as well as the other information set forth in this report that could materially affect our business. In addition, in our periodic filings with the SEC, press releases and other statements, we discuss estimates and projections regarding our future performance and business outlook. By their nature, such “forward-looking statements” involve known and unknown risks, uncertainties and other factors that in some cases are out of our control. For a further discussion of forward-looking statements, please refer to the section entitled “Special Note Regarding Forward-Looking Statements.” These factors could cause our actual results to differ materially from our historical results or our present expectations and projections. These risk factors and uncertainties include, but are not limited to the following:</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Unfavorable global and national economic conditions and events, including, but not limited to increased inflation, rising interest rates, supply chain disruptions, labor conditions, pandemics and public health crises and international conflicts, could affect our future access to liquidity and materially adversely affect our results of operations and financial condition.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results of operations could be adversely affected by changes in global or national economic conditions. These conditions include, but are not limited to, increased inflation, high and rising interest rates, supply chain disruptions, labor conditions, significant natural disasters (including as a result of climate change), the negative impacts from pandemics and public health crises (such as the COVID-19 pandemic) and the negative impacts resulting from political and military conflict, trade and other international disputes, including the ongoing conflicts in Eastern Europe and the Middle East. These conditions have had a significant adverse impact on economic and market conditions around the world, including the United States. While the economic impact brought by, and the duration of, such global events is difficult to assess or predict, such events could result in additional disruption of global financial markets, reducing our ability to access capital in the future, which could negatively affect our liquidity in the future and in ways that cannot be predicted potentially including a prolonged recessionary environment in the United States. In the longer term, there could be significant new regulatory actions and other events that could limit our activities and investment opportunities or change the functioning of the capital markets, and there is the possibility of a severe worldwide economic downturn. Inflation rates have increased recently to levels not seen in decades. If our costs, in particular costs related to clinical trial expenses and/or employee-related expenses, were to become subject to significant inflationary pressures, it may adversely impact our business, operating results and financial condition. In response to inflationary pressures, the Federal Reserve raised the benchmark federal funds rate in 2022 and 2023, which led to the increases in interest rates in the credit markets. Although the Federal Reserve lowered the benchmark federal funds rate in September 2024 and November 2024, it may raise the federal funds rate in the future, which would likely lead to higher interest rates in the credit markets and the possibility of slowing economic growth. Increases in interest rates, especially if coupled with reduced government spending and volatility in financial markets, may further increase economic uncertainty and heighten these risks. Although we do not believe that inflation has had a material impact on our financial position or results of operations to date, we may experience increases in the near future (especially if inflation rates continue to rise) on our operating costs, including our labor costs and research and development costs, due to supply chain constraints, ongoing effects of the COVID-19 pandemic, the ongoing conflicts in Eastern Europe and the Middle East and employee availability and wage increases.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An adverse development regarding our products could have a material and adverse impact on our future revenues and profitability.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portfolio currently includes six brands: Acetadote, Caldolor, Kristalose, Sancuso, Vaprisol and Vibativ. A product contamination or other safety or regulatory issues, such as a failure to meet certain FDA reporting requirements involving our products, could negatively impact us and possibly lead to a product recall. In addition, changes impacting any of our products in areas such as competition, lack of market acceptance or demand, government regulation, intellectual property, reimbursement and manufacturing could have an adverse impact on our future revenues and profitability including:</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Changes in intellectual property protection available for our products or competing treatments;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Any unfavorable publicity concerning us, our products, or the markets for these products such as information concerning product contamination or other safety issues in any of our product markets, whether or not directly involving our products;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Perception by physicians and other members of the healthcare community of the safety or efficacy of our products or competing products;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Regulatory developments related to our marketing and promotional practices or the manufacture or continued use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prices of our products relative to other drugs or competing treatments;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impact of current or additional generic competitors;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availability and level of third-party reimbursement for sales of our products;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continued availability of adequate supplies of our products to meet demand: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Weakened demand for our products;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Unforeseen or serious adverse effects outside of those specified in current product labeling being attributed to any of our approved products.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Acetadote may be used to treat acetaminophen overdoses. The FDA has previously requested prescribers and manufacturers of prescription combination products that contain acetaminophen to limit the amount of acetaminophen to no more than 325 milligrams (mg) in each tablet or capsule. The FDA requested this action to protect consumers from the risk of severe liver damage which can result from excess acetaminophen which may reduce the number of acetaminophen overdoses which could result in a lower demand for Acetadote. If the demand for Acetadote decreases, it could have an adverse impact on our future revenues and profitability.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commercial success of Caldolor is dependent on many third-parties, including physicians, pharmacists, hospital pharmacy and therapeutics committees, or P&amp;T committees, suppliers and distributors, all of whom we have little or no control over. We expect Caldolor to continue to be administered primarily to hospital and surgery center patients who are unable to receive oral therapies for the treatment of pain or fever. Before we can distribute Caldolor to any new hospital customers, Caldolor must be approved for addition to the hospitals’ formulary lists by their P&amp;T committees. A hospital’s P&amp;T committee generally governs all matters pertaining to the use of medications within the institution, including review of medication formulary data and recommendations of drugs to the medical staff. We cannot guarantee that we will be successful in getting the approvals we need from enough P&amp;T committees to be able to optimize hospital sales of Caldolor. Even if we obtain hospital approval for Caldolor, we must still convince individual hospital physicians to prescribe Caldolor repeatedly. The commercial success of Caldolor also depends on our ability to coordinate supply, distribution, marketing, sales and education efforts. As with our other products, if Caldolor is not accepted in the marketplace, it could have an adverse impact on our future revenues and profitability.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Disruptions at the FDA and other government agencies caused by funding shortages or global health concerns could hinder their ability to review and approve new products and otherwise affect the FDA’s ability to perform routine functions. Disruptions at the FDA and other agencies may also slow the time necessary for new drugs or modifications to approved drugs to be reviewed and/or approved by necessary government agencies. Such disruptions could significantly impact the ability of the FDA or other regulatory authorities to timely review and process our regulatory submissions, which could have a material adverse effect on our business.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If any manufacturer or partner we rely upon fails to supply our products in the amounts we require on a timely basis, or fails to comply with stringent regulations applicable to pharmaceutical drug manufacturers, we may be unable to meet demand for our products and may lose potential revenues.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manufacture any of our products, and we do not currently plan to develop any capacity to do so. Our dependence upon third parties for the manufacture of our products could adversely affect our profit margins or our ability to develop and deliver products on a timely and competitive basis. If for any reason we are unable to obtain or retain third-party manufacturers on commercially acceptable terms, we may not be able to sell our products as planned. Furthermore, if we encounter delays or difficulties with contract manufacturers in producing our products, including as a result to disruptions to supplier operations resulting from factors such as supply chain delays, public health emergencies, climate events or political unrest, or otherwise, the distribution, marketing and subsequent sales of these products could be adversely affected. A long-term inability to meet demand for our products could result in impairment of our brands overall future and the carrying value of the assets associated with our brands.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Times New Roman;sans-serif" w:hAnsi="Times New Roman;sans-serif"/>
          <w:b w:val="false"/>
          <w:i/>
          <w:color w:val="000000"/>
          <w:sz w:val="20"/>
        </w:rPr>
        <w:t>Acetadote:</w:t>
      </w:r>
      <w:r>
        <w:rPr>
          <w:color w:val="000000"/>
        </w:rPr>
        <w:t xml:space="preserve"> </w:t>
      </w:r>
      <w:r>
        <w:rPr>
          <w:rFonts w:ascii="Times New Roman;sans-serif" w:hAnsi="Times New Roman;sans-serif"/>
          <w:b w:val="false"/>
          <w:color w:val="000000"/>
          <w:sz w:val="20"/>
        </w:rPr>
        <w:t>We have an agreement with one manufacturer to provide commercial supply of Acetadote. If this manufacturer</w:t>
      </w:r>
      <w:r>
        <w:rPr>
          <w:color w:val="000000"/>
        </w:rPr>
        <w:t xml:space="preserve"> </w:t>
      </w:r>
      <w:r>
        <w:rPr>
          <w:rFonts w:ascii="Times New Roman;sans-serif" w:hAnsi="Times New Roman;sans-serif"/>
          <w:b w:val="false"/>
          <w:color w:val="000000"/>
          <w:sz w:val="20"/>
        </w:rPr>
        <w:t>is unable to produce marketable inventory in sufficient quantities, in the agreed upon time period, we could suffer an inability to meet demand for Acetadote.</w:t>
      </w:r>
    </w:p>
    <w:p>
      <w:pPr>
        <w:pStyle w:val="TextBody"/>
        <w:bidi w:val="0"/>
        <w:spacing w:lineRule="auto" w:line="288" w:before="160" w:after="283"/>
        <w:jc w:val="left"/>
        <w:rPr/>
      </w:pPr>
      <w:r>
        <w:rPr>
          <w:rFonts w:ascii="Times New Roman;sans-serif" w:hAnsi="Times New Roman;sans-serif"/>
          <w:b w:val="false"/>
          <w:i/>
          <w:color w:val="000000"/>
          <w:sz w:val="20"/>
        </w:rPr>
        <w:t>Caldolor:</w:t>
      </w:r>
      <w:r>
        <w:rPr>
          <w:color w:val="000000"/>
        </w:rPr>
        <w:t xml:space="preserve"> </w:t>
      </w:r>
      <w:r>
        <w:rPr>
          <w:rFonts w:ascii="Times New Roman;sans-serif" w:hAnsi="Times New Roman;sans-serif"/>
          <w:b w:val="false"/>
          <w:color w:val="000000"/>
          <w:sz w:val="20"/>
        </w:rPr>
        <w:t>We have agreements with multiple manufacturers for the supply of Caldolor. If the manufacturers of Caldolor are unable to produce marketable inventory in sufficient quantities, in the agreed upon time period, we could suffer an inability to meet demand for Caldolor.</w:t>
      </w:r>
    </w:p>
    <w:p>
      <w:pPr>
        <w:pStyle w:val="TextBody"/>
        <w:bidi w:val="0"/>
        <w:spacing w:lineRule="auto" w:line="288" w:before="160" w:after="283"/>
        <w:jc w:val="both"/>
        <w:rPr/>
      </w:pPr>
      <w:r>
        <w:rPr>
          <w:rFonts w:ascii="Times New Roman;sans-serif" w:hAnsi="Times New Roman;sans-serif"/>
          <w:b w:val="false"/>
          <w:i/>
          <w:color w:val="000000"/>
          <w:sz w:val="20"/>
        </w:rPr>
        <w:t>Kristalose:</w:t>
      </w:r>
      <w:r>
        <w:rPr>
          <w:color w:val="000000"/>
        </w:rPr>
        <w:t xml:space="preserve"> </w:t>
      </w:r>
      <w:r>
        <w:rPr>
          <w:rFonts w:ascii="Times New Roman;sans-serif" w:hAnsi="Times New Roman;sans-serif"/>
          <w:b w:val="false"/>
          <w:color w:val="000000"/>
          <w:sz w:val="20"/>
        </w:rPr>
        <w:t>The active pharmaceutical ingredient for Kristalose is manufactured at a single facility through a complex process. It would be particularly difficult to find a new manufacturer of the Kristalose active pharmaceutical ingredient on an expedited basis. We have a manufacturing relationship with one packager who has provided finished supplies of Kristalose for commercial and sampling purposes since 2022. If the manufacturing or packaging facilities are unable to produce useable or marketable inventory in sufficient quantities, in the agreed upon time period, we could suffer an inability to meet demand for Kristalose.</w:t>
      </w:r>
    </w:p>
    <w:p>
      <w:pPr>
        <w:pStyle w:val="TextBody"/>
        <w:bidi w:val="0"/>
        <w:spacing w:lineRule="auto" w:line="288" w:before="160" w:after="283"/>
        <w:jc w:val="both"/>
        <w:rPr/>
      </w:pPr>
      <w:r>
        <w:rPr>
          <w:rFonts w:ascii="Times New Roman;sans-serif" w:hAnsi="Times New Roman;sans-serif"/>
          <w:b w:val="false"/>
          <w:i/>
          <w:color w:val="000000"/>
          <w:sz w:val="20"/>
        </w:rPr>
        <w:t>Vaprisol:</w:t>
      </w:r>
      <w:r>
        <w:rPr>
          <w:color w:val="000000"/>
        </w:rPr>
        <w:t xml:space="preserve"> </w:t>
      </w:r>
      <w:r>
        <w:rPr>
          <w:rFonts w:ascii="Times New Roman;sans-serif" w:hAnsi="Times New Roman;sans-serif"/>
          <w:b w:val="false"/>
          <w:color w:val="000000"/>
          <w:sz w:val="20"/>
        </w:rPr>
        <w:t>In 2018, the manufacturer of Vaprisol informed us that they would no longer be able to provide the product following the manufacturing of one final batch which is providing us with a multi-year supply. We are in the process of transitioning to a new manufacturing partner, who was issued a U.S. Food and Drug Administration ("FDA") Form 483 in the second quarter of 2022. Once these FDA Form 483 related issues are satisfactorily resolved, we will then resubmit our application for their facility to the FDA for approval. Meanwhile, we have been working with them to support a special, interim supply of compounded product for critically ill patients, which they introduced to the market in late 2023. If we are unable to produce additional marketable inventory in sufficient quantities, in the required time frame, we could suffer an inability to meet demand for Vaprisol.</w:t>
      </w:r>
    </w:p>
    <w:p>
      <w:pPr>
        <w:pStyle w:val="TextBody"/>
        <w:bidi w:val="0"/>
        <w:spacing w:lineRule="auto" w:line="288" w:before="160" w:after="283"/>
        <w:jc w:val="both"/>
        <w:rPr/>
      </w:pPr>
      <w:r>
        <w:rPr>
          <w:rFonts w:ascii="Times New Roman;sans-serif" w:hAnsi="Times New Roman;sans-serif"/>
          <w:b w:val="false"/>
          <w:i/>
          <w:color w:val="000000"/>
          <w:sz w:val="20"/>
        </w:rPr>
        <w:t>Vibativ:</w:t>
      </w:r>
      <w:r>
        <w:rPr>
          <w:color w:val="000000"/>
        </w:rPr>
        <w:t xml:space="preserve"> </w:t>
      </w:r>
      <w:r>
        <w:rPr>
          <w:rFonts w:ascii="Times New Roman;sans-serif" w:hAnsi="Times New Roman;sans-serif"/>
          <w:b w:val="false"/>
          <w:color w:val="000000"/>
          <w:sz w:val="20"/>
        </w:rPr>
        <w:t>Through our acquisition of Vibativ, we acquired a multi-year supply of raw material, work in process and finished goods inventory. In 2020, we completed the transfer of Vibativ manufacturing activities to a new supplier. If we are unable to continue to obtain marketable inventory in sufficient quantities, in the agreed upon time period, we could suffer an inability to meet demand for Vibativ.</w:t>
      </w:r>
    </w:p>
    <w:p>
      <w:pPr>
        <w:pStyle w:val="TextBody"/>
        <w:bidi w:val="0"/>
        <w:spacing w:lineRule="auto" w:line="288" w:before="160" w:after="283"/>
        <w:jc w:val="both"/>
        <w:rPr/>
      </w:pPr>
      <w:r>
        <w:rPr>
          <w:rFonts w:ascii="Times New Roman;sans-serif" w:hAnsi="Times New Roman;sans-serif"/>
          <w:b w:val="false"/>
          <w:i/>
          <w:color w:val="000000"/>
          <w:sz w:val="20"/>
        </w:rPr>
        <w:t>Sancuso</w:t>
      </w:r>
      <w:r>
        <w:rPr>
          <w:rFonts w:ascii="Times New Roman;sans-serif" w:hAnsi="Times New Roman;sans-serif"/>
          <w:b w:val="false"/>
          <w:color w:val="000000"/>
          <w:sz w:val="20"/>
        </w:rPr>
        <w:t>: As part of the acquisition of Sancuso in January 2022, we obtained an initial supply of finished goods inventory and work in progress. The product’s FDA registration was subsequently transferred from Kyowa Kirin, Inc. to Cumberland in August 2023.</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all manufacturers of our products and product candidates must comply with current good manufacturing practices, ("GMPs"), enforced by the FDA through its facilities inspection program. These requirements include quality control, quality assurance, and the maintenance of records and documentation. Manufacturers of our products must be unable to comply with GMP requirements and with other FDA, state, and foreign regulatory requirements.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no control over our manufacturers’ compliance with these regulations and standards. If our third-party manufacturers do not comply with these requirements, we could be subject to fines and civil penalties; suspension of production or distribution; suspension or delay in product approval; product seizure or recall; and withdrawal of product approval.</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are dependent on a variety of other third parties. If these third parties fail to perform as we expect, our operations could be disrupted and our financial results could suffer.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relatively small internal infrastructure. We rely on a variety of third parties, in addition to our manufacturers, to help us operate our business. If these third parties do not continue to provide services to us, or collaborate with us, we might not be able to obtain others who can serve these functions. This could disrupt our business operations, increase our operating expenses or otherwise adversely affect our operating results.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Specifically, we depend and will continue to depend upon independent investigators and collaborators, such as universities, medical institutions, contract research organizations (CROs) and strategic partners to conduct our preclinical and clinical trials. We negotiate budgets and contracts with CROs and study sites, which may result in delays to our development timelines and increased costs. We will rely heavily on these third parties over the course of our clinical trials, and we control only certain aspects of their activities. Nevertheless, we are responsible for ensuring that each of our studies is conducted in accordance with applicable protocol, legal, regulatory and scientific standards, and our reliance on third parties does not relieve us of our regulatory responsibilities. We and these third parties are required to comply with Good Clinical Practice (GCPs), which are regulations and guidelines enforced by the FDA and comparable foreign regulatory authorities for therapeutic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Moreover, our business may be implicated if any of these third parties violates federal or state fraud and abuse or false claims laws and regulations or healthcare privacy and security laws. Any third parties conducting our clinical trials are not and will not be our employees and, except for remedies available to us under our agreements with such third parties, we cannot control whether or not they devote sufficient time and resources to our ongoing preclinical, clinical and nonclinical programs.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these third parties may have relationships with other commercial entities, including our competitors, for whom they may also be conducting clinical studies or other drug development activities, which could affect their performance.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therapeutic candidates. As a result, our financial results and the commercial prospects for our therapeutic candidates would be harmed, our costs could increase and our ability to generate revenue could be delayed. If any of our relationships with trial sites, or any CRO that we may use in the future, terminates, we may not be able to enter into arrangements with alternative trial sites or CROs or do so on commercially reasonable terms. Switching or adding third parties to conduct our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Competitive pressures could reduce our revenues and profits.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pharmaceutical industry is intensely competitive. Our strategy is to target differentiated products in specialized markets. However, this strategy does not relieve us from competitive pressures and can entail distinct competitive risks. Certain of our competitors do not aggressively promote their products in our markets. An increase in promotional activity in our markets could result in large shifts in market share, adversely impacting us.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competitors may sell or develop drugs that are more effective and useful or less costly than ours, and they may be more successful in manufacturing and marketing their products. Many of our competitors have significantly greater financial and marketing resources than we do. Additional competitors may enter our markets.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pharmaceutical industry is characterized by constant and significant investment in new product development, which can result in rapid technological change. The introduction of new products could substantially reduce our market share or render our products obsolete. The selling prices of pharmaceutical products tend to decline as competition increases, through new product introduction or otherwise, which could reduce our revenues and profitability.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If generic products that compete with any of our branded pharmaceutical products are approved and sold, sales of our products will be adversely affected.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Generic equivalents for branded pharmaceutical products are typically sold at lower costs than the branded products. The regulatory approval process in the United States exempts generic products from costly and time-consuming clinical trials to demonstrate their safety and efficacy and rely instead on the safety and efficacy of prior products, manufacturers of generic products can invest far less in research and development. After the introduction of a competing generic product, a significant percentage of the prescriptions previously written for the branded product are often written for the generic version. In addition, legislation enacted in most U.S. states allows or, in some instances mandates, that a pharmacist dispense an available generic equivalent when filling a prescription for a branded product, in the absence of specific instructions from the prescribing physician. Governmental and private healthcare payors also emphasize substitution of branded pharmaceuticals with less expensive generic equivalents. Pursuant to the provisions of the Hatch-Waxman Act, manufacturers of branded products often bring lawsuits to enforce their patent rights against generic products released prior to the expiration of branded products’ patents, but it is possible for generic manufacturers to offer generic products while such litigation is pending. As a result, branded products typically experience a significant loss in revenues following the introduction of a competing generic product, even if subject to an existing patent. Our branded pharmaceutical products are or may become subject to competition from generic equivalents because there is no proprietary protection for some of the branded pharmaceutical products we sell, because our patent protection expires or because our patent protection is not sufficiently broad or enforceable. In addition, we may not be successful in our efforts to extend the proprietary protection afforded our branded products through the development and commercialization of proprietary product improvements. Competition from generic equivalents could result in a decrease in revenues of our branded pharmaceuticals or result in a material impairment of our intangible assets or the acceleration of amortization on our non-impaired intangible assets and may have a material adverse impact on our revenues, financial condition, results of operations and cash flows.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Any attempt by us to expand the potential market for any of our products is subject to limitations.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Expansion of the market for our products may be subject to certain limitations. In the past, these limitations have included FDA required Phase IV commitments. We may also experience delays associated with future required Phase IV clinical studies potentially resulting from, among other factors, difficulty enrolling patients. We may not be able to initiate or continue clinical trials for our product candidates if we are unable to identify and enroll a sufficient number of eligible patients to participate in these trials as required by the FDA. Subject enrollment, a significant factor in the timeline of clinical trials, is affected by many factors including the size and characteristics of the patient population, the proximity of patients to clinical sites, the eligibility and exclusion criteria for the trial, the design of the clinical trial, the risk that enrolled patients will not complete a clinical trial, our ability to recruit clinical trial investigators with the appropriate competencies and experience, our ability to obtain and maintain patient consents, patient referral practices of physicians, ability to monitor patients adequately during and after treatment, competing clinical trials and clinicians’ and patients’ perceptions as to the potential advantages and risks of the product candidate being studied in relation to other available therapies, including any new products that may be approved for the indications we are investigating as well as any product candidates under development. We will be required to identify and enroll a sufficient number of subjects for each of our clinical trials. Delays that may result from difficulty enrolling patients could impact our ability to explore opportunities for label expansion and limit our ability to bring our products to new patient populations.</w:t>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have largely obtained regulatory approval to market our products in the United States. Not all foreign jurisdictions may represent attractive opportunities for our products due to pricing, competitive, regulatory or other factors. In certain foreign jurisdictions, we have licensed the right to market some of our products to third parties. These third parties are responsible for seeking and maintaining regulatory approval for the products in their respective jurisdictions. We have no control over these third parties and cannot be sure that marketing approval for our products will be obtained outside the United States.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Our future growth depends on our ability to identify, acquire rights and successfully integrate new brands into our operations. If we do not successfully identify and acquire rights to products or if we do not successfully integrate acquired product brands into our operations, our growth opportunities may be limited.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added six products to our portfolio of brands through acquisitions. Our business strategy is to continue to acquire rights to FDA-approved products as well as pharmaceutical product candidates in the late stages of development. We do not plan to conduct basic research or preclinical product development, except to the extent of our investment in CET. As compared to large multi-national pharmaceutical companies, we have limited resources to acquire third-party products, businesses and technologies and integrate them into our current infrastructure. Many acquisition opportunities involve competition among several potential purchasers including large multi-national pharmaceutical companies and other competitors that have access to greater financial resources than we do. With future acquisitions, we may face financial and operational risks and uncertainties. We may not be able to engage in future product acquisitions, and those we do complete may not be beneficial to us in the long term.</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other products in development may encounter unforeseen issues during their clinical trials. Any unforeseen issues or lack of FDA approval will negatively affect marketing and development plans for those products.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successfully integrate the marketing, sale and distribution of any other potential products into our current infrastructure or if they require significantly greater resources than originally anticipated, we may face financial and operational risks and uncertainties. If we are unable to successfully integrate any acquired brands, both current and future, these product acquisitions may not be beneficial to us in the long term.</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Our ifetroban product candidates have not been approved for sale and may never be successfully commercialized.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a portion of our future revenue growth may come from sales of our ifetroban product candidates. However, none of these products have been approved by the FDA for marketing, and these product candidates are still subject to risks associated with their development. Drug development is a long, expensive and inherently uncertain process with a high risk of failure at every stage of development, and results of earlier studies and trials may not be predictive of future trial results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FDA has cleared our IND's for the ifetroban product candidates as we evaluate them as treatments for these conditions. Delays in the enrollment and completion of the clinical studies could significantly delay commercial launch and affect our product development costs. Moreover, results from the clinical studies may not be favorable.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Even if they are eventually developed and approved by the FDA, they may never gain significant acceptance in the marketplace and therefore never generate substantial revenue or profits for us. Physicians may determine that existing drugs are adequate to address patients’ needs. The extent to which these product candidates will be reimbursed by the U.S. government or third-party payors is also currently unknown.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foregoing and other factors, we do not know the extent to which our product candidates will contribute to our future growth.</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maintain, train and build an effective sales and marketing infrastructure, we will not be able to commercialize and grow our products and product candidates successfully.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we grow, we may not be able to secure sales personnel or organizations that are adequate in number or expertise to successfully market and sell our products. This risk would be accentuated if we acquire products in areas outside of our current focus areas since our sales forces specialize in our existing areas. If we are unable to expand our sales and marketing capability, train our sales force effectively or provide any other capabilities necessary to commercialize our products and product candidates, we will need to contract with third parties to market and sell our products. We must train our employees on proper regulatory compliance, including, but not limited to, “fair balance” promotion of our products and anti-kickback laws. If we are unable to establish and maintain compliant and adequate sales and marketing capabilities, we may not be able to increase our product revenue, may generate increased expenses and may experience regulatory compliance issues.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If governmental or third-party payors do not provide adequate reimbursement for our products, our revenue and prospects for profitability may be limited.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success depends, in part, on the availability of adequate reimbursement from third-party healthcare payors. Such third-party payors include governmental health programs such as Medicare and Medicaid, managed care providers and private health insurers. Third-party payors are increasingly challenging the pricing of medical products and services, while governments continue to propose and pass legislation designed to reduce the cost of healthcare. Adoption of such legislation could further limit reimbursement for pharmaceuticals. In addition, as part of the Inflation Reduction Act legislation, provisions intended to lower the price of prescription drugs, including permitting Medicare to negotiate the price of prescription drugs once they have been on the market for a fixed number of years, and imposing a tax penalty on drug manufacturers if the price of their drugs increase faster than the rate of inflation. At this time no assurances can be given that these measures, or subsequent legislative proposals, will not have an adverse effect on our revenues in the future. Future cost control initiatives, legislation, and regulations could decrease the price that we receive for our products, which would limit our revenue and profitability.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Also, reimbursement practices of third-party payors might preclude us from achieving market acceptance for our products or maintaining price levels sufficient to realize an appropriate return on our investment in product acquisition and development. If we cannot obtain adequate reimbursement levels, our business, financial condition and results of operations would be materially and adversely affected.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employees have been trained to submit accurate and correct pricing information to payors. If, despite the training, our employees provide incorrect or fraudulent information, then we will be subject to various administrative and judicial investigations and litigation.</w:t>
      </w:r>
    </w:p>
    <w:p>
      <w:pPr>
        <w:pStyle w:val="TextBody"/>
        <w:bidi w:val="0"/>
        <w:spacing w:lineRule="auto" w:line="288" w:before="160" w:after="283"/>
        <w:jc w:val="both"/>
        <w:rPr>
          <w:color w:val="000000"/>
        </w:rPr>
      </w:pPr>
      <w:r>
        <w:rPr>
          <w:color w:val="000000"/>
        </w:rPr>
        <w:t>“</w:t>
      </w:r>
      <w:r>
        <w:rPr>
          <w:rFonts w:ascii="Times New Roman;sans-serif" w:hAnsi="Times New Roman;sans-serif"/>
          <w:b/>
          <w:i/>
          <w:color w:val="000000"/>
          <w:sz w:val="20"/>
        </w:rPr>
        <w:t>Formulary” practices of third-party payors could adversely affect our competitive position.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Many managed healthcare organizations control the pharmaceutical products included on their formulary lists. Having products listed on these formulary lists creates competition among pharmaceutical companies which, in turn, has created a trend of downward pricing pressure in our industry. In addition, many managed care organizations are pursuing various ways to reduce pharmaceutical costs and are considering formulary contracts primarily with those pharmaceutical companies that can offer a full line of products for a given therapy sector or disease state. Our products might not be included on the formulary lists of managed care organizations, and downward pricing pressure in our industry generally could negatively impact our operations.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Continued consolidation of distributor networks in the pharmaceutical industry as well as increases in retailer concentration may limit our ability to profitably sell our products.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sell most of our products to large pharmaceutical wholesalers, who in turn sell to hospitals, surgery centers and retail pharmacies. The distribution network for pharmaceutical products has become increasingly consolidated in recent years. Further consolidation or financial difficulties could also cause our customers to reduce the amounts of our products that they purchase, adversely impacting our business, financial condition and results of operations.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Our CET joint initiative may not result in our gaining access to commercially viable products.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CET joint initiative with Vanderbilt University, WinHealth and Tennessee Technology Development Corporation is designed to help us investigate, in a cost-effective manner, early-stage products and technologies. However, we may never gain access to commercially viable products from CET for a variety of reasons, including:</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CET investigates early-stage products, which have risk of failure prior to FDA approval and commercialization;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In some programs, we do not have pre-set rights to product candidates developed by CET. We would need to agree with CET and its collaborators on the terms of any product licensed or acquired by us;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We rely principally on government grants to fund CET’s research and development programs. If these grants were no longer available, we or our co-owners might be unable or unwilling to fund CET operations at current levels or at all;</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We may become involved in disputes with our co-owners regarding CET policy or operations, such as how best to deploy CET assets or which product opportunities to pursue. Disagreement could disrupt or halt product development;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CET may disagree with one of the various universities with which CET is collaborating on research. A disagreement could disrupt or halt product development.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depend on our key personnel, the loss of whom would adversely affect our operations. If we fail to attract and retain the talent required for our business, our business will be materially harmed.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relatively small company, and we depend to a great extent on principal members of our management, scientific staff, and sales representatives and managers. If we lose the services of any key personnel, in particular, A.J. Kazimi, our Chief Executive Officer, or other members of senior management it could have a material adverse effect on our business prospects. Mr. Kazimi, plays a key role in several operational and strategic decisions such that any loss of his services due to death or disability would adversely impact our day-to-day operations. We have a life insurance policy covering the life of Mr. Kazimi. We have entered into agreements with each of our employees that contain restrictive covenants relating to non-competition and non-solicitation of our customers and suppliers for one year after termination of employment. Nevertheless, each of our officers and key employees may terminate his or her employment at any time without notice and without cause or good reason, and so as a practical matter these agreements do not guarantee the continued service of these employees. Our success depends on our ability to attract and retain highly qualified scientific, technical, sales and managerial personnel and research partners. Competition among pharmaceutical companies for qualified employees is intense, and we may not be able to retain existing personnel or attract and retain qualified staff in the future. If we experience difficulties in hiring and retaining personnel in key positions, we could suffer from delays in product development, loss of customers and sales and diversion of management resources, which could adversely affect operating results.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have recently observed an overall tightening and increasingly competitive labor market. Our business could be adversely affected by an inability to retain personnel or upward pressure on wages as a result of the competitive labor market.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The size of our organization and our potential growth may lead to difficulties in managing operations.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91 employees. We may need to continue to expand our managerial, operational, financial and other resources in order to increase our marketing efforts with regard to our currently marketed products, continue our business development and product development activities and commercialize our product candidates. We have experienced, and may continue to experience, growth and increased expenses in the scope of our operations in connection with the continued marketing and development of our products. Our financial performance will depend, in part, on our ability to manage any such growth and expenses of the current organization effectively.</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face potential product liability exposure, and if successful claims are brought against us, we may incur substantial liability for a product or product candidate and may have to limit its commercialization.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lawsuits related to the testing of our product candidates and the commercial sale of our products. An individual may bring a liability claim against us if one of our product candidates or products causes, or appears to have caused, an injury. If we cannot successfully defend ourselves against the product liability claim, we may incur substantial liabilities. Liability claims may result in decreased demand for our products; injury to our reputation; withdrawal of clinical trial participants; significant litigation costs; substantial monetary awards to or costly settlement with patients; product recalls; loss of revenue; and the inability to commercialize our product candidates.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product liability insurance that covers our clinical trials, the marketing and sale of our products up to a $10 million annual aggregate limit, subject to specified deductibles. Our current or future insurance coverage may prove insufficient to cover any liability claims brought against us.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 increasing costs of insurance coverage, we may not be able to maintain insurance coverage at a reasonable cost or obtain insurance coverage that will be adequate to satisfy any liability that may arise.</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Regulatory approval for any approved product is limited by the FDA to those specific indications and conditions for which clinical safety and efficacy have been demonstrated.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regulatory approval is limited to those specific diseases and indications for which a product is deemed to be safe and effective by the FDA. In addition to the FDA approval required for new formulations, any new indication for an approved product also requires FDA approval. If we are not able to obtain FDA approval for any desired future indications for our products, our ability to effectively market and sell our products may be reduced and our business may be adversely affected.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follow FDA rules and guidelines relating to promotion and advertising may cause the FDA to suspend or withdraw an approved product from the market, require a recall or payment of fines, or could result in disgorgement of money, operating restrictions, injunctions or criminal prosecution, any of which could harm our business.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Our business and operations would suffer in the event of system failures, security breaches, including any cybersecurity incidents, adverse events or other disruptions within our information technology infrastructure at our corporate headquarters; or in the event of intellectual property infringement.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depends on effective, secure and operational information systems which include systems provided by external contractors and other service providers. Despite the implementation of security measures, our computer systems and information technology infrastructure, including those resources at our corporate headquarters, are vulnerable to damage from cyber-attacks, computer viruses, unauthorized access, natural disasters, terrorism, war and telecommunication and electrical failures. Our business is at risk from and may be impacted by information security incidents, including ransomware, malware, phishing, social engineering, and other security events. Such incidents can range from individual attempts to gain unauthorized access to information technology systems to more sophisticated security threats. These events can also result from internal compromises, such as human error or malicious acts. These events can occur on our systems or on the systems of our partners and subcontractors. In the ordinary course of our business, we store sensitive data, including intellectual property, our proprietary business information and that of our customers. We also maintain personally identifiable information of our employees in our data centers and on our networks. The secure processing and maintenance of this information is critical to our operations. Problems with, or the failure of, our technology and systems or any system upgrades or programming changes associated with such technology and systems would have a substantial and material negative effect on our operations. Furthermore, any system failure, accident or security breach that causes interruptions in our operations could result in a material disruption of our drug development programs. </w:t>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continue to invest in data protection and information technology,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If we are subject to cyber-attacks or security breaches, this could result in business interruptions and delays; the loss, misappropriation, corruption or unauthorized access of data; litigation and potential liability under privacy, security and consumer protection laws or other applicable laws; reputational damage and federal and state governmental inquiries. Any such problems or failures and the costs incurred in correcting any such problems or failures, could have a material adverse effect on our business and financial condition, results of operations and cash flows. To the extent that any disruption or security breach results in a loss or damage to our data or applications, or inappropriate disclosure of confidential or proprietary information, we may incur liability and the further development of our products or product candidates may be delayed. A failure to restore our information systems after the occurrence of any of these events could have a material adverse effect on our business and financial condition, results of operations and cash flows.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information systems and applications also require maintenance, upgrading and enhancement to meet our operational needs. We regularly upgrade and expand our information systems’ capabilities. If we experience difficulties with the transition and integration of information systems or are unable to implement, maintain, or expand our systems properly, we could suffer from, among other things, operational disruptions, regulatory problems and increases in administrative expenses.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cyber threats continue to evolve (including through the use of artificial intelligence), we may be required to expend significant capital and other resources to protect against the threat of security breaches or to mitigate and alleviate problems caused by breaches, including unauthorized access to proprietary information and personally identifiable information stored in our information systems, and the introduction of computer viruses or other malicious software programs to our systems. Our security measures may be inadequate to prevent security breaches and our business operations could be materially adversely affected by federal and state fines and penalties, legal claims or proceedings, cancellation of contracts and loss of customers if security breaches are not prevented.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subcontractors and vendors take precautionary measures to prevent problems that could affect our business operations as a result of failure or disruption to their information systems. However, there is no guarantee such efforts will be successful in preventing a disruption, and it is possible that we may be impacted by information system failures. The occurrence of any information system failures could result in interruptions, delays, loss or corruption of data and cessations or interruptions in the availability of these systems. All of these events or circumstances, among others, could have an adverse effect on our business, results of operations, financial position and cash flows, and they could harm our business reputation.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have all the necessary licenses from third parties to use technology and software that we do not own. A third party could, however, allege that we are infringing its rights, which may deter our ability to obtain licenses on commercially reasonable terms from the third party, if at all, or cause the third party to commence litigation against us. In addition, we may find it necessary to initiate litigation to protect our trade secrets, to enforce our intellectual property rights and to determine the scope and validity of any proprietary rights of others. Any such litigation, or the failure to obtain any necessary licenses or other rights, could materially and adversely affect our business.</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license our products globally; therefore, we may have exposure to foreign regulatory requirements and fluctuations in foreign currency exchange rates.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Continued foreign licensure inherently subjects us to a number of risks and uncertainties, including:</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longer payment cycles and difficulties in enforcing agreements and collecting receivables through certain foreign legal systems;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political and economic instability or sanctions in areas in which we operate;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potentially adverse tax consequences, tariffs, customs charges, bureaucratic requirements and other trade barriers;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regulations related to customs and import/export matters (including sanctions);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tax issues, such as tax law changes and variations in tax laws;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challenges in collecting accounts receivable from customers in the jurisdictions in which we operate;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complying with laws, rules and regulations relating to the manufacturing, marketing, distribution and sale of pharmaceutical products in the jurisdictions in which we do or will operate;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operating under regulations in jurisdictions related to obtaining eligibility for government or private payor reimbursement for our products at the wholesale/retail level;</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competition from local, regional and international competitors;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difficulties and costs of staffing and managing foreign operations, including cultural and language differences and additional employment regulations, union workforce negotiations and potential disputes in the jurisdictions in which we operate;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difficulties associated with compliance with a variety of laws and regulations governing international trade, including the Foreign Corrupt Practices Act;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difficulties protecting or procuring intellectual property rights;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fluctuations in foreign currency exchange rates.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may, individually or as a group, have a material adverse effect on our business and results of operations. These or other similar risks could adversely affect our revenue and profitability. As we continue to develop internationally, our exposure to these factors will increase.</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may decide not to commercialize one of our drug candidates once it obtains regulatory approval if we determine that commercialization of that product would require more capital and time than we are willing to invest.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any of our drug candidates receives regulatory approval, it could be subject to matters such as post-regulatory surveillance, additional clinical trials or testing, reformulation, changes in labeling, warnings to the public, recall, competition from similar or superior products, and lack of sufficient payor reimbursement by insurance companies or Medicare. As a result, we may not commercialize or continue to commercialize a product that has obtained regulatory approval. </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Any approved drug product that we bring to the market may not gain market acceptance by physicians, patients, healthcare payors and others in the medical community.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Even if we are successful in gaining regulatory approval of any of our drug candidates or acquire rights to approved drug products, we may not generate significant product revenues and we may not become profitable if these drug products do not achieve an adequate level of acceptance. Physicians may not recommend our drug products until longer-term clinical data or other factors demonstrate the safety and efficacy of our drug products as compared to other alternative treatments. Even if the clinical safety and efficacy of our drug products is established, physicians may elect not to prescribe these drug products for a variety of reasons, including the reimbursement policies of government and other third-party payors and the effectiveness of our competitors in marketing their products.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 acceptance of our drug products, if approved for commercial sale, will depend on a number of factors, including:</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willingness and ability of patients and the healthcare community to use our drug products;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ability to manufacture our drug products in sufficient quantities with acceptable quality and to offer our drug products for sale at competitive prices;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perception of patients and the healthcare community, including third-party payors, regarding the safety, efficacy and benefits of our drug products compared to those of competing products or therapies;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label and promotional claims allowed by the FDA;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pricing and reimbursement of our drug products relative to existing treatments.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may acquire businesses or assets, form joint ventures or make investments in other companies that may be unsuccessful, divert our management’s attention and harm our operating results and prospects.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In addition, if we choose to issue shares of our stock as consideration for any acquisition, dilution to our shareholders could result.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may be required to modify our business practices, pay fines and significant expenses or experience other losses due to governmental investigations or other enforcement activities.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become subject to litigation or governmental investigations in the United States and foreign jurisdictions that may arise from the conduct of our business. Like many companies in our industry, we have from time to time received inquiries and other types of information requests from government authorities.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the ultimate outcomes of investigations and legal proceedings are difficult to predict, adverse resolutions or settlements of those matters could result in, among other things: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significant damage awards, fines, penalties or other payments, and administrative remedies, such as exclusion and/or debarment from government programs, or other rulings that preclude us from operating our business in a certain manner;</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changes and additional costs to our business operations to avoid risks associated with such litigation or investigations;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product recalls;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reputational damage and decreased demand for our products;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expenditure of significant time and resources that would otherwise be available for operating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86" w:before="160" w:after="283"/>
        <w:jc w:val="both"/>
        <w:rPr>
          <w:rFonts w:ascii="Times New Roman;sans-serif" w:hAnsi="Times New Roman;sans-serif"/>
          <w:b/>
          <w:color w:val="000000"/>
          <w:sz w:val="20"/>
        </w:rPr>
      </w:pPr>
      <w:r>
        <w:rPr>
          <w:rFonts w:ascii="Times New Roman;sans-serif" w:hAnsi="Times New Roman;sans-serif"/>
          <w:b/>
          <w:color w:val="000000"/>
          <w:sz w:val="20"/>
        </w:rPr>
        <w:t>RISKS RELATING TO GOVERNMENT REGULATION</w:t>
      </w:r>
    </w:p>
    <w:p>
      <w:pPr>
        <w:pStyle w:val="TextBody"/>
        <w:bidi w:val="0"/>
        <w:spacing w:lineRule="auto" w:line="288" w:before="160" w:after="283"/>
        <w:jc w:val="both"/>
        <w:rPr/>
      </w:pPr>
      <w:r>
        <w:rPr>
          <w:rFonts w:ascii="Times New Roman;sans-serif" w:hAnsi="Times New Roman;sans-serif"/>
          <w:b w:val="false"/>
          <w:color w:val="000000"/>
          <w:sz w:val="20"/>
        </w:rPr>
        <w:t xml:space="preserve">Virtually all aspects of our business activities are regulated by government agencies. The manufacturing, processing, formulation, packaging, labeling, distribution, promotion and sampling, advertising of our products, and disposal of waste products arising from such activities are subject to governmental regulation. These activities are regulated by one or more of the FDA, the Federal Trade Commission, ("FTC"), the Consumer Product Safety Commission, the U.S. Department of Agriculture and the U.S. Environmental Protection Agency, ("EPA"), as well as by comparable agencies in foreign countries. These activities are also regulated by various agencies of the states and localities in which our products are sold. For more information, see “ </w:t>
      </w:r>
      <w:r>
        <w:rPr>
          <w:rFonts w:ascii="Times New Roman;sans-serif" w:hAnsi="Times New Roman;sans-serif"/>
          <w:b w:val="false"/>
          <w:i/>
          <w:color w:val="000000"/>
          <w:sz w:val="20"/>
        </w:rPr>
        <w:t>Business—Government Regulation"</w:t>
      </w:r>
      <w:r>
        <w:rPr>
          <w:color w:val="000000"/>
        </w:rPr>
        <w:t xml:space="preserve"> </w:t>
      </w:r>
      <w:r>
        <w:rPr>
          <w:rFonts w:ascii="Times New Roman;sans-serif" w:hAnsi="Times New Roman;sans-serif"/>
          <w:b w:val="false"/>
          <w:color w:val="000000"/>
          <w:sz w:val="20"/>
        </w:rPr>
        <w:t>in Part I, Item 1 of this Form 10-K.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Like all pharmaceutical manufacturers, we are subject to regulation by the FDA under the Federal Food, Drug and Cosmetic Act ("FDCA"). All new drugs must be the subject of an FDA-approved new drug application, ("NDA"), before they may be marketed in the United States. The FDA has the authority to withdraw existing NDA approvals and to review the regulatory status of products marketed under the enforcement policy. The FDA may require an approved NDA for any drug product marketed under the enforcement policy if new information reveals questions about the drug’s safety and effectiveness. All drugs must be manufactured in conformity with GMP, and drug products subject to an approved NDA must be manufactured, processed, packaged, held and labeled in accordance with information contained in the NDA. Since we rely on third parties to manufacture our products, GMP requirements directly affect our third party manufacturers and indirectly affect us. The manufacturing facilities of our third-party manufacturers are continually subject to inspection by such governmental agencies, and manufacturing operations could be interrupted or halted in any such facilities if such inspections prove unsatisfactory. Our third-party manufacturers are subject to periodic inspection by the FDA to assure such compliance.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Even after regulatory approval, certain developments may decrease demand for our products, including the following:</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re-review of products that are already marketed;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new scientific information and evolution of scientific theories;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recall or loss of marketing approval of products that are already marketed;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changing government standards or public expectations regarding safety, efficacy or labeling changes;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greater scrutiny in advertising and promotion.</w:t>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regulatory changes or decisions could make it more difficult for us to sell our products and could have a material adverse effect on our business, results of operations, financial condition and cash flows. Manufacturers of drug products and their facilities are subject to continual review and periodic inspections by the FDA and other regulatory authorities for compliance with GMP and other applicable regulations. If we or a regulatory agency discovers previously unknown problems with a product, such as adverse events of unanticipated severity or frequency, or problems with a facility where the product is manufactured, a regulatory agency may impose restrictions on that product or the manufacturer, including withdrawal of the product from the market or suspension of manufacturing. If we, our partners or the manufacturing facilities for our products fail to comply with applicable regulatory requirements or violate healthcare laws, a regulatory agency may take the following actions, among others: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issue warning letters or untitled letters;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impose civil or criminal penalties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suspend or withdraw regulatory approval;</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suspend any ongoing clinical trials;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refuse to approve pending applications or supplements to applications submitted by us;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impose restrictions on operations, including costly new manufacturing requirements; or</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seize or detain products or require us to initiate a product recall.</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change in the FDA’s enforcement policy could have a material adverse effect on our business, financial condition and results of operations. We cannot determine what effect changes in regulations or statutes or legal interpretation, when and if promulgated or enacted, may have on our business in the future. Such changes, or new legislation, could have a material adverse effect on our business, financial condition and results of operations.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Proposed legislation may permit re-importation of drugs from other countries into the U.S., including foreign countries where the drugs are sold at lower prices than in the U.S., which could materially and adversely affect our operating results and our overall financial condition.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previous years, legislation has been introduced in Congress that, if enacted, would permit more widespread re-importation of drugs from foreign countries into the U.S., which may include re-importation from foreign countries where the drugs are sold at lower prices than in the U.S. Such legislation, or similar regulatory changes, if enacted, could decrease the price we receive for any approved products which, in turn, could materially and adversely affect our operating results and our overall financial condition.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must comply with the CREATES Act.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a number of recent regulatory and legislative initiatives designed to encourage generic competition for pharmaceutical products, including expedited review procedures for generic manufacturers and incentives designed to spur generic competition of branded drugs. In particular, FDA and FTC have been focused on brand companies’ denial of drug supply to potential generic competitors for testing. In December 2019, the Creating and Restoring Equal Access to Equivalent Samples Act, or the CREATES Act, was enacted, which provides a legislatively defined private right of action under which eligible product developers can bring suit against companies who refuse to sell sufficient quantities of their branded products on commercially reasonable, market-based terms to support such eligible product developers’ marketing applications. We cannot currently predict the specific outcome or impact on our business of such regulatory and legislative initiatives. </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must comply with the Foreign Corrupt Practices Act.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comply with the United States Foreign Corrupt Practices Act, which prohibits U.S. companies from engaging in bribery or other prohibited payments to foreign officials for the purpose of obtaining or retaining business. Foreign companies, including some of our competitors, are not subject to these prohibitions. If our competitors engage in these practices, they may receive preferential treatment from officials or agencies in some countries, giving our competitors an advantage in securing business from government officials who might give them priority in obtaining new licenses, which would put us at a disadvantage. We have established formal policies or procedures for prohibiting or monitoring this conduct, but we cannot assure you that our employees or other agents will not engage in such conduct for which we might be held responsible. If our employees or other agents are found to have engaged in such practices, we could suffer severe penalties.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must comply with the Physician Payment Sunshine Act.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comply with the United States Physician Payment Sunshine Act, which requires manufacturers of drugs, medical devices and biologicals that participate in U.S. federal healthcare programs to report certain payments and items of value given to physicians and teaching hospitals. Manufacturers are required to report this information annually to The Centers for Medicare &amp; Medicaid Services ("CMS"). In addition, some states require reporting information concerning payments to health care providers or other transfers of value by drug manufacturers beyond the requirements of the Federal Sunshine Act. Cumberland has implemented a series of policies and procedures for every employee involved in the data collection process, and has systems in place to capture the data, which is verified by an outside firm that specializes in reporting the payments. Cumberland has also established a system to ensure that data was reported completely, in the correct format, and on time. Despite these policies, procedures and systems, we cannot assure you that we will collect and report all data accurately. If we fail to accurately report this information, we could suffer severe penalties.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 </w:t>
      </w:r>
    </w:p>
    <w:p>
      <w:pPr>
        <w:pStyle w:val="TextBody"/>
        <w:bidi w:val="0"/>
        <w:spacing w:lineRule="auto" w:line="288" w:before="160" w:after="283"/>
        <w:jc w:val="both"/>
        <w:rPr/>
      </w:pPr>
      <w:r>
        <w:rPr>
          <w:rFonts w:ascii="Times New Roman;sans-serif" w:hAnsi="Times New Roman;sans-serif"/>
          <w:b w:val="false"/>
          <w:color w:val="000000"/>
          <w:sz w:val="20"/>
        </w:rPr>
        <w:t>We participate in the Medicaid Drug Rebate program, the 340B program, and other governmental pricing programs and have obligations to report the average sales price for certain of our drugs to CMS. These programs and rebate calculations vary across products and programs, are complex, and are often subject to interpretation by us, governmental or regulatory agencies and the courts, which can change over time.</w:t>
      </w:r>
      <w:r>
        <w:rPr>
          <w:color w:val="000000"/>
        </w:rPr>
        <w:t xml:space="preserv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CMS, could also decide to terminate our Medicaid drug rebate agreement, in which case federal payments may not be available under Medicaid or Medicare Part B for our covered outpatient drugs. We cannot assure you that our submissions will not be found by CMS to be incomplete or incorrect. Our failure to comply with our reporting and payment obligations under the Medicaid Drug Rebate program and other governmental programs could negatively impact our financial results.</w:t>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may be subject to foreign, federal, and state data privacy and security laws, and failure to protect our information systems against security breaches, service interruptions, or misappropriation of data could disrupt operations, compromise sensitive data, and expose us to liability, possibly causing our business and reputation to suffer.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numerous federal and state laws and regulations govern the collection, use, disclosure and protection of health-related and other personal information and could apply to our operations or the operations of our collaborators and third-party providers. Certain of these laws grant individual rights with respect to their information, and we may be required to expend significant resources to comply with these laws. For example, the California Consumer Privacy Act, or CCPA, was enacted in 2020. These laws and regulations are evolving and subject to interpretation and may impose limitations on our activities or otherwise adversely affect our business. Similarly, there are a number of legislative proposals in the European Union, the United States, at both the federal and state level, as well as other jurisdictions that could impose new obligations or limitations in areas affecting our business. These changes may lead to additional costs and increase our overall risk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RISKS RELATING TO INTELLECTUAL PROPERTY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Our strategy to secure and extend marketing exclusivity or patent rights may provide only limited or no protection from competition.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seek to secure and extend marketing exclusivity for our products through a variety of means, including FDA exclusivity and patent rights. Additional barriers for competitors seeking to enter the market include the time and cost associated with the development, regulatory approval and manufacturing of a similar product formulation.</w:t>
      </w:r>
    </w:p>
    <w:p>
      <w:pPr>
        <w:pStyle w:val="TextBody"/>
        <w:bidi w:val="0"/>
        <w:spacing w:lineRule="auto" w:line="288" w:before="160" w:after="283"/>
        <w:jc w:val="both"/>
        <w:rPr/>
      </w:pPr>
      <w:r>
        <w:rPr>
          <w:rFonts w:ascii="Times New Roman;sans-serif" w:hAnsi="Times New Roman;sans-serif"/>
          <w:b w:val="false"/>
          <w:color w:val="000000"/>
          <w:sz w:val="20"/>
        </w:rPr>
        <w:t xml:space="preserve">As discussed in Part I, Item 1, </w:t>
      </w:r>
      <w:r>
        <w:rPr>
          <w:rFonts w:ascii="Times New Roman;sans-serif" w:hAnsi="Times New Roman;sans-serif"/>
          <w:b w:val="false"/>
          <w:i/>
          <w:color w:val="000000"/>
          <w:sz w:val="20"/>
        </w:rPr>
        <w:t>Business - Patents, Trademarks, and Other Intellectual Proprietary Rights,</w:t>
      </w:r>
      <w:r>
        <w:rPr>
          <w:color w:val="000000"/>
        </w:rPr>
        <w:t xml:space="preserve"> </w:t>
      </w:r>
      <w:r>
        <w:rPr>
          <w:rFonts w:ascii="Times New Roman;sans-serif" w:hAnsi="Times New Roman;sans-serif"/>
          <w:b w:val="false"/>
          <w:color w:val="000000"/>
          <w:sz w:val="20"/>
        </w:rPr>
        <w:t xml:space="preserve">of this report on Form 10-K, we have several patents for formulations of Acetadote, and have previously engaged in litigation to enforce our patent rights.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vigorously defend and protect our Acetadote product and related intellectual property rights. If we are unsuccessful in protecting our Acetadote intellectual property rights, our competitors may be able to introduce products into the marketplace that reduce the sales and market share of our Acetadote product which may require us to take measures such as reducing prices or increasing our marketing expense, any of which may result in a material adverse effect to our financial condition and results of operations.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we consider patent protection when evaluating product acquisition opportunities, any products we acquire in the future may not have significant patent protection. Neither the USPTO nor the courts have a consistent policy regarding the breadth of claims allowed or the degree of protection afforded under many pharmaceutical patents. Patent applications in the U.S. and many foreign jurisdictions are typically not published until 18 months following the filing date of the first related application, and in some cases not at all. In addition, publication of discoveries in scientific literature often lags significantly behind actual discoveries. Therefore, neither we nor our licensors can be certain that we or they were the first to make the inventions claimed in our issued patents or pending patent applications, or that we or they were the first to file for protection of the inventions set forth in these patent applications. Obtaining and enforcing patents in the biopharmaceutical industry involves both technological and legal complexity and is therefore costly, time consuming and inherently uncertain. In addition, changes in either patent laws or in interpretations of patent laws in the U.S. and other countries may increase the uncertainties and costs, diminish the value of our intellectual property, or narrow the scope of our patent protection. Furthermore, our competitors may independently develop similar technologies or duplicate technology developed by us in a manner that does not infringe our patents or other intellectual property. As a result of these factors, our patent rights may not provide any commercially valuable protection from competing products.</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proprietary information and know-how, the value of our technology and products could be adversely affected.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patents, we rely upon trade secrets, unpatented proprietary know-how and continuing technological innovation where we do not believe patent protection is appropriate or attainable. For example, the manufacturing process for Kristalose involves substantial trade secrets and proprietary know-how. We have entered into confidentiality agreements with certain key employees and consultants pursuant to which such employees and consultants must assign to us any inventions relating to our business if made by them while they are our employees, as well as certain confidentiality agreements relating to the acquisition of rights to products. Confidentiality agreements can be breached, though, and we might not have adequate remedies for any breach. Also, others could acquire or independently develop similar technology.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may depend on certain licensors for the maintenance and enforcement of intellectual property rights and have limited, if any, control over the amount or timing of resources that our licensors devote on our behalf.</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we license products, we often depend on our licensors to protect the proprietary rights covering those products. We have limited, if any, control over the amount or timing of resources that our licensors devote on our behalf or the priority they place on maintaining patent or other rights and prosecuting patent applications to our advantage. While any such licensor is expected to be contractually obligated to diligently pursue its patent applications and allow us the opportunity to consult, review and comment on patent office communications, we cannot be sure that it will perform as required. If a licensor does not perform and if we do not assume the maintenance of the licensed patents in sufficient time to make required payments or filings with the appropriate governmental agencies, we risk losing the benefit of all or some of those patent rights.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If the use of our technology conflicts with the intellectual property rights of third parties, we may incur substantial liabilities, and we may be unable to commercialize products based on this technology in a profitable manner or at all.</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our products conflict with the intellectual property rights of others, they could bring legal action against us or our licensors, licensees, manufacturers, customers or collaborators. If we were found to be infringing a patent or other intellectual property rights held by a third party, we could be forced to seek a license to use the patented or otherwise protected technology. We might not be able to obtain such a license on terms acceptable to us or at all. If legal action involving an alleged infringement or misappropriation were to be brought against us or our licensors, we would incur substantial costs in defending the action. If such a dispute were to be resolved against us, we could be subject to significant damages, and the manufacturing or sale of one or more of our products could be enjoined.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may be involved in lawsuits to protect or enforce our patents or the patents of our collaborators or licensors, which could be costly and time consuming.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involved in lawsuits for infringement of the Acetadote Patents as previously described. Because of their nature, these lawsuits can be costly and time-consuming, and we only experience limited benefits and patent protection. A significant adverse ruling in any such lawsuit could put our patents at risk of being invalidated or interpreted narrowly and could compromise the issuance of our existing patent applications.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Competitors may infringe on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or interpreted narrowly and could put our patent applications at risk of not issuing.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Interference proceedings brought by the USPTO may be necessary to determine the priority of inventions with respect to our patent applications or those of our collaborators or licensors. Litigation or interference proceedings may fail and, even if successful, may result in substantial costs and distraction of our management. We may not be able, alone or with our collaborators and licensors, to prevent misappropriation of our proprietary rights, particularly in countries where the laws may not protect such rights as fully as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some of our confidential information could be disclosed during this type of litigation. In addition, there could be public announcements of the results of hearings, motions or other interim proceedings or developments.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may be involved in lawsuits to protect or enforce our trademarks or for allegedly infringing the trademark rights of others, which could be costly and time consuming.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own certain trademark registrations for each of our branded pharmaceutical products as well as for our corporate name and logo. We have applied for trademark registration for other various names and logos. We also may have common law trademark rights in unregistered names, phrases, and logos under which we market or offer certain products and services. Over time, we intend to obtain and maintain registrations on trademarks that remain valuable to our business.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may oppose registration of our federal trademark applications. Further, we could be involved in lawsuits for allegedly infringing the rights of others with respect to their prior-existing trademarks. These lawsuits or opposition proceedings can be costly and time-consuming. A significant adverse ruling in any such lawsuit could put our trademarks at risk of being invalidated and could compromise the issuance of our existing trademark applications.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Competitors may infringe on our trademarks or the trademarks of our collaborators or licensors. To counter infringement or unauthorized use, we may be required to file trademark infringement claims, which can be expensive and time-consuming. In addition, in a trademark infringement proceeding, a court may decide that a trademark registration of ours is not valid or is unenforceable, or may refuse to stop the other party from using the mark or a mark that is similar to our registered mark at issue on the grounds that the competitor’s use of the mark is not confusingly similar to our registered trademark. An adverse result in any litigation or defense proceeding could put one or more of our trademark registrations at risk of being invalidated or interpreted narrowly and could put our trademark applications at risk of not registering.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some of our confidential information could be disclosed during this type of litigation. In addition, there could be public announcements of the results of hearings, motions or other interim proceedings or developments.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If we breach any of the agreements under which we license rights to our products and product candidates from others, we could lose the ability to continue commercialization of our products and development and commercialization of our product candidates.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exclusive licenses for the marketing and sale of certain products and may acquire additional licenses. Such licenses may terminate prior to expiration if we breach our obligations under the license agreement related to these pharmaceutical products. For example, the licenses may terminate if we fail to meet specified quality control standards, including GMP with respect to the products, or commit a material breach of other terms and conditions of the licenses. Such early termination could have a material adverse effect on our business, financial condition and results of operations.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may be subject to claims that our employees have wrongfully used or disclosed alleged trade secrets of their former employers.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we or these employees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 We are subject to stringent government regulation. All of our products face regulatory challenges.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FINANCIAL CONDITION AND RESULTS OF OPERATIONS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Our operating results are likely to fluctuate from period to period.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company actively seeking to deliver significant growth. As we execute our business strategy of adding new products, increasing market share in our existing growth products and striving to maintain market share in our other products, we anticipate that there may be fluctuations in our future operating results. We may not be able to maintain or improve our current levels of revenue or income. Potential causes of future fluctuations in our operating results may include: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New product launches, which could increase revenues but also increase sales and marketing expenses;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Acquisition activity and other charges;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Increases in research and development expenses resulting from the acquisition of a product candidate that requires significant additional studies and development;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Ability to utilize unrecognized federal and state net operating loss carryforwards as a result of the exercise of nonqualified options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Changes in the competitive, regulatory or reimbursement environment, which could drive down revenues or drive up sales and marketing or compliance costs;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Unexpected product liability or intellectual property claims and lawsuits.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also “Management’s discussion and analysis of financial condition and results of operations—Liquidity and capital resources.” Fluctuation in operating results, particularly if not anticipated by investors and other members of the financial community, could add to volatility in our stock price.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Our focus on acquisitions as a growth strategy has created intangible assets whose amortization could negatively affect our results of operations.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total assets include intangible assets related to our acquisitions. As of December 31, 2024, intangible assets relating to products, which are being amortized, represented approximately 24 percent of our total assets. We may never realize the value of these assets. U.S. Generally Accepted Accounting Principles ("GAAP") require that we evaluate on a regular basis whether events and circumstances have occurred that indicate that all or a portion of the carrying amount of the asset may no longer be recoverable, in which case we would write down the value of the asset and take a corresponding charge to earnings. Any determination requiring the write-off of a significant portion of unamortized intangible assets would adversely affect our results of operations.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may need additional funding and may be unable to raise capital when needed, which could force us to delay, reduce or eliminate our product development or commercialization and marketing efforts.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need to raise additional funds in order to meet the capital requirements of running our business and acquiring and developing new pharmaceutical products. If we require additional funding, we may seek to sell common stock or other equity or equity-linked securities, which could result in dilution to our shareholders. We may also seek to raise capital through a debt financing, which would result in ongoing debt-service payments and increased interest expense. Furthermore, the terms of any additional debt securities we may issue in the future may impose restrictions on our operations, which may include limiting our ability to incur additional indebtedness, pay dividends on or repurchase our common shares, or make certain acquisitions or investments. In addition, we may be subject to covenants requiring us to satisfy certain financial tests and ratios, and our ability to satisfy such covenants may be affected by events outside of our control. Any financings would also likely involve operational and financial restrictions being imposed on us. If we are unable to obtain any needed additional funding, we may be required to reduce the scope of, delay, or eliminate some or all of, our planned research, development and commercialization activities or to license to third parties the rights to develop and/or commercialize products or technologies that we would otherwise seek to develop and/or commercialize ourselves or on terms that are less attractive than they might otherwise be, any of which could materially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might also seek to sell assets or rights in one or more commercial products or product development programs. Additional capital might not be available to us when we need it. We are unable to predict the impact of global credit market trends, and if economic conditions deteriorate, our business, results of operations and ability to raise needed capital could be materially and adversely affected. If we are unable to raise additional capital when needed due to the reasons listed above and lack of creditworthiness, bank failures, or price decline in market investments, we could be forced to scale back our operations to conserve cash.</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may incur losses in the future and we may not achieve or maintain profitability.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spend significant amounts on our efforts to discover and develop drugs. As a result, we may incur losses in future periods.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our drug discovery and development efforts and related expenditures will increase as we focus on the studies, including clinical trials prior to seeking regulatory approval, that are required before we can sell a drug product.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of drug products will require us to spend significant funds on research, development, testing, obtaining regulatory approvals, manufacturing and marketing.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cannot be certain whether or when we will achieve profitability because of the significant uncertainties relating to our ability to generate commercially successful drug products. Even if we are successful in obtaining regulatory approvals for manufacturing and commercializing additional drug products, we may incur losses if our drug products do not generate significant revenues. If we achieve profitability, we may not be able to sustain or increase profitability.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Our officers, directors, and principal shareholders, acting as a group, could significantly influence corporate actions.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our officers and directors control approximately 44.41 percent of our common stock. Acting together, these shareholders could significantly influence any matter requiring approval by our shareholders, including the election of directors and the approval of mergers or other business combinations. The interests of this group may not always coincide with our interests or the interests of other shareholders and may prevent or delay a change in control. This significant concentration of share ownership may adversely affect the trading price of our common stock because many investors perceive disadvantages to owning stock in companies with controlling shareholders.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Research analysts may not continue to provide or initiate coverage of our common stock or may issue negative reports.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our common stock may be affected by the reports financial analysts publish about us. If one of the analysts covering us downgrades our stock, its price could decline rapidly and significantly. Securities analysts covering our common stock may discontinue coverage. A lack of research coverage may adversely affect our stock’s market price.</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RISKS RELATED TO OWNING OUR STOCK</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The market price of our common stock may fluctuate substantially.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price for the shares of our common stock sold in our initial public offering was determined by negotiation between the representatives of the underwriters and us. This price may not have reflected the market price of our common stock following our initial public offering. Moreover, the market price of our common stock might decline below current levels. In addition, the market price of our common stock is likely to be highly volatile and may fluctuate substantially. Sales of a substantial number of shares of our common stock in the public market or the perception that these sales may occur could cause the market price of our common stock to decline.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realization of any of the risks described in these “Risk Factors” could have a dramatic and material adverse impact on the market price of our common stock. In addition, securities class action litigation has often been instituted against companies whose securities have experienced periods of volatility in market price. Any such securities litigation brought against us could result in substantial costs and a diversion of management’s attention and resources, which could negatively impact our business, operating results and financial condition.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Unstable market conditions may have serious adverse consequences on our business.</w:t>
      </w:r>
    </w:p>
    <w:p>
      <w:pPr>
        <w:pStyle w:val="TextBody"/>
        <w:bidi w:val="0"/>
        <w:spacing w:lineRule="auto" w:line="288" w:before="160" w:after="283"/>
        <w:jc w:val="both"/>
        <w:rPr/>
      </w:pPr>
      <w:r>
        <w:rPr>
          <w:rFonts w:ascii="Times New Roman;sans-serif" w:hAnsi="Times New Roman;sans-serif"/>
          <w:b w:val="false"/>
          <w:color w:val="000000"/>
          <w:sz w:val="20"/>
        </w:rPr>
        <w:t xml:space="preserve">Our general business strategy may be adversely affected by unpredictable and unstable market conditions. While we believe we have adequate capital resources to meet current working capital and capital expenditure requirements, a radical economic downturn or increase in our expenses could require additional financing on less than attractive rates or on terms that are dilutive to existing shareholders. Failure to secure any necessary financing in a timely manner and on favorable terms could have a material adverse effect on our growth strategy, financial performance and stock price and could require us to delay or abandon clinical developments plans. There is a risk that one or more of our current service providers, manufacturers and other partners may encounter difficult economic circumstances, which would directly affect our ability to attain our operating goals on schedule and on budget. </w:t>
      </w:r>
      <w:r>
        <w:rPr>
          <w:rFonts w:ascii="Times New Roman;sans-serif" w:hAnsi="Times New Roman;sans-serif"/>
          <w:b w:val="false"/>
          <w:color w:val="000000"/>
          <w:sz w:val="20"/>
          <w:shd w:fill="FFFFFF" w:val="clear"/>
        </w:rPr>
        <w:t>The equity and lending markets have been and will most likely continue to be negatively impacted for an unknown period of time due to global events such as the COVID-19 pandemic, increased inflation and the U.S. government’s response thereto.</w:t>
      </w:r>
    </w:p>
    <w:p>
      <w:pPr>
        <w:pStyle w:val="TextBody"/>
        <w:bidi w:val="0"/>
        <w:spacing w:lineRule="auto" w:line="288" w:before="160" w:after="283"/>
        <w:ind w:left="0" w:right="0" w:firstLine="90"/>
        <w:jc w:val="both"/>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shares</w:t>
      </w:r>
      <w:r>
        <w:rPr>
          <w:rFonts w:ascii="Times New Roman;sans-serif" w:hAnsi="Times New Roman;sans-serif"/>
          <w:b/>
          <w:color w:val="000000"/>
          <w:sz w:val="20"/>
        </w:rPr>
        <w:t xml:space="preserv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when required, may reveal deficiencies in our internal controls over financial reporting that are deemed to be material weaknesses or that may require prospective or retrospective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shares. There is also a risk that neither we nor our independent registered public accounting firm (when applicable in the future) will be able to conclude within the prescribed timeframe that internal controls over financial reporting is effective as required by Section 404. This could result in an adverse reaction in the financial markets due to a loss of confidence in the reliability of our financial statements. </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may not be able to maintain our listing on the NASDAQ Global Select Market (“NASDAQ”), which could have a material adverse effect on us and our stockholders.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standards for continued listing on NASDAQ include, among other things, that the minimum bid price for the listed securities not fall below $1.00 for a period in excess of thirty consecutive business days. If the closing bid price of our common stock were to fail to meet NASDAQ’s minimum closing bid price requirement, or if we otherwise fail to meet any other applicable requirements of NASDAQ and we are unable to regain compliance, NASDAQ may make a determination to delist our common stock. The delisting of our common stock from NASDAQ could negatively impact us by (i) reducing the liquidity and market price of our common stock; (ii) reducing the number of investors willing to hold or acquire our common stock, which could negatively impact our ability to raise equity financing; (iii) impacting our ability to use a registration statement to offer and sell freely tradable securities, thereby preventing or limiting us from accessing the public capital markets; and (iv) impairing our ability to provide equity incentives to our employees.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Some provisions of our third amended and restated charter, bylaws and Tennessee law may inhibit potential acquisition bids that you may consider favorable.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documents contain provisions that may enable our board of directors to resist a change in control of our company even if a change in control were to be considered favorable by you and other shareholders. These provisions include: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authorization of undesignated preferred stock, the terms of which may be established and shares of which may be issued without shareholder approval;</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Advance notice procedures required for shareholders to nominate candidates for election as directors or to bring matters before an annual meeting of shareholders;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Limitations on persons authorized to call a special meeting of shareholders;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 staggered board of directors;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 restriction prohibiting shareholders from removing directors without cause;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 requirement that vacancies in directorships are to be filled by a majority of the directors then in office and the number of directors is to be fixed by the board of directors;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No cumulative voting.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provisions contained in our third amended and restated charter and bylaws could delay or discourage transactions involving an actual or potential change in control of us or our management, including transactions in which our shareholders might otherwise receive a premium for their shares over then current prices, and may limit the ability of shareholders to remove our current management or approve transactions that our shareholders may deem to be in their best interests and, therefore, could adversely affect the price of our common stock.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control share acquisitions provisions and affiliated transaction provisions of the Tennessee Business Corporation Act, the applications of which may have the effect of delaying or preventing a merger, takeover or other change in control of us and therefore could discourage attempts to acquire our company.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have never paid cash dividends on our capital stock.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paid cash dividends on our capital stock. The availability of funds for distributions to shareholders will depend on our financial performance and assets. Any future decision to declare or pay dividends will be at the sole discretion of our Board of Directors.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DEBT-RELATED RISKS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Our Revolving Credit Agreement impose restrictive and financial covenants on us. Our failure to comply with these covenants could trigger events that would have a material adverse effect on our business.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Revolving Credit Agreement contains covenants that restrict the way we conduct business and require us to satisfy certain financial tests in order to incur debt or take other actions. Additionally, our Revolving Credit Agreement contains financial covenants that, for example, require us to maintain certain financial ratios which are measured at the end of each fiscal quarter.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Revolving Credit Agreement contains specified quarterly financial maintenance covenants. As of December 31, 2024, we were in compliance with the Borrowing Base financial covenant of the Revolving Credit Agreement and associated amendments. However, we can make no assurance that we will be able to comply with the restrictive and financial covenants contained in the Revolving Credit Agreement in the future.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inability to comply with the covenants in our debt instruments could lead to a default or an event of default under the terms thereof, for which we may need to seek relief from our lender in order to waive the associated default or event of default and avoid a potential acceleration of the related indebtedness or cross-default or cross-acceleration to other debt. There can be no assurance that we would be able to obtain such relief on commercially reasonable terms or otherwise and we may be required to incur significant additional costs. In addition, the lender under our Revolving Credit Agreement may impose additional operating and financial restrictions on us as a condition to granting any such waiver. If an event of default is not cured or is not otherwise waived, the lender under our Revolving Credit Agreement may accelerate the maturity of the related debt, foreclose upon any collateral securing the debt and terminate any commitments to lend, any of which would have a material adverse effect on our business, financial condition, cash flows and results of operations and would cause the market value of our securities to decline.</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have risks related to interest rates.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revolving credit facility bears interest based on variable interest. Thus, a change in the short-term interest rate environment (especially a material change) could have a material adverse effect on our business, financial condition, cash flows and results of operations. As of December 31, 2024, we did not have any outstanding interest rate swap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1B. Unresolved Staff Comments.</w:t>
      </w:r>
    </w:p>
    <w:p>
      <w:pPr>
        <w:pStyle w:val="TextBody"/>
        <w:bidi w:val="0"/>
        <w:spacing w:lineRule="auto" w:line="333"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1C. Cybersecurity</w:t>
      </w:r>
    </w:p>
    <w:p>
      <w:pPr>
        <w:pStyle w:val="TextBody"/>
        <w:bidi w:val="0"/>
        <w:spacing w:lineRule="auto" w:line="288" w:before="160" w:after="283"/>
        <w:jc w:val="both"/>
        <w:rPr/>
      </w:pPr>
      <w:r>
        <w:rPr>
          <w:rFonts w:ascii="Times New Roman;sans-serif" w:hAnsi="Times New Roman;sans-serif"/>
          <w:b/>
          <w:i/>
          <w:color w:val="000000"/>
          <w:sz w:val="20"/>
        </w:rPr>
        <w:t>Risk Management and Strategy.</w:t>
      </w:r>
      <w:r>
        <w:rPr>
          <w:color w:val="000000"/>
        </w:rPr>
        <w:t xml:space="preserve"> </w:t>
      </w:r>
      <w:r>
        <w:rPr>
          <w:rFonts w:ascii="Times New Roman;sans-serif" w:hAnsi="Times New Roman;sans-serif"/>
          <w:b w:val="false"/>
          <w:color w:val="000000"/>
          <w:sz w:val="20"/>
        </w:rPr>
        <w:t xml:space="preserve">We rely on information technology and data to operate our business and develop, market, and deliver our products to our customers. We have implemented and maintain various information security processes designed to identify, assess and manage material risks from cybersecurity threats to our communication systems, and our critical data which includes confidential, personal, proprietary, and other sensitive information (collectively “Information Assets”).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we maintain certain risk assessment processes intended to identify cybersecurity threats, determine their likelihood of occurring, and assess potential material impact to our business. Based on our assessment, we implement and maintain risk management processes designed to protect the confidentiality, integrity, and availability of our Information Assets and mitigate harm to our business.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company’s general risk management program is designed to manage potential material risks, which includes material cybersecurity risks to our Information Assets. We engage in processes designed to identify such threats by, among other things, monitoring the threat environment using manual and automated tools, subscribing to services that identify cybersecurity threats, analyzing reports of threats and actors, conducting scans of the threat environment, evaluating threats reported to us, coordinating with law enforcement concerning threats, and conducting threats and vulnerability assessments. We rely on a multidisciplinary team to assess cybersecurity threats and a potential impact to our business. These assessments leverage industry tools and metrics designed to assist in the assessment of risks from such cybersecurity threats.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implement and maintain various technical, physical and organizational measures designed to manage and mitigate material risks from cybersecurity threats to our Information Assets. The cybersecurity risk management and mitigation measures we implement include policies and procedures designed to address cybersecurity threats, including an incident response plan and a disaster recovery/business continuity plan.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address the company’s cybersecurity risk, we utilize incident detection and response tools, internal and third-party assessments of our exposure to cybersecurity threats and compliance with risk mitigation procedures, and testing of our relevant controls including data segregation, insurance and assignment of cybersecurity responsibilities.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work with third parties from time to time to assist us in identification, assessment and management of cybersecurity risks.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informant and a description of the risks from cybersecurity threats that may materially affect us and how they may do so, refer to Part I, Item 1A. Risk Factors. </w:t>
      </w:r>
    </w:p>
    <w:p>
      <w:pPr>
        <w:pStyle w:val="TextBody"/>
        <w:bidi w:val="0"/>
        <w:spacing w:lineRule="auto" w:line="288" w:before="160" w:after="283"/>
        <w:jc w:val="both"/>
        <w:rPr/>
      </w:pPr>
      <w:r>
        <w:rPr>
          <w:rFonts w:ascii="Times New Roman;sans-serif" w:hAnsi="Times New Roman;sans-serif"/>
          <w:b/>
          <w:i/>
          <w:color w:val="000000"/>
          <w:sz w:val="20"/>
        </w:rPr>
        <w:t>Governance.</w:t>
      </w:r>
      <w:r>
        <w:rPr>
          <w:color w:val="000000"/>
        </w:rPr>
        <w:t xml:space="preserve"> </w:t>
      </w:r>
      <w:r>
        <w:rPr>
          <w:rFonts w:ascii="Times New Roman;sans-serif" w:hAnsi="Times New Roman;sans-serif"/>
          <w:b w:val="false"/>
          <w:color w:val="000000"/>
          <w:sz w:val="20"/>
        </w:rPr>
        <w:t>Our cybersecurity risk assessment and management processes are implemented and maintained by certain company employees. Management is responsible for hiring appropriate personnel, integrating cybersecurity considerations into our company’s overall risk management strategy, and for communicating key priorities to employees, helping prepare for cybersecurity incidents, approving cybersecurity processes, and reviewing security assessments and other security-related reports. Our cybersecurity incident response and vulnerability assessments processes involve management, who participates in our disclosure controls and procedures.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cybersecurity processes are designed to escalate certain incidents and vulnerabilities to members of management depending on the circumstances, including cooperation with our company’s incident response team to help mitigate and remediate cybersecurity incidents. In addition, these processes include reporting to the board of directors for certain cybersecurity incidents.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including information technology, legal and accounting executives are involved with our company’s efforts to prevent, detect, and mitigate cybersecurity incidents by overseeing preparation of cybersecurity policies and procedures, testing of incident response plans, and engaging vendors with appropriate expertise. They participates in cybersecurity incident response efforts and directs the company’s response to cybersecurity incidents.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addresses the company’s cybersecurity risk management as part of its general oversight function. The Board of Directors has access to various reports, summaries or presentations related to cybersecurity threats, risk, and mitigation.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2. Properties.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leased approximately 16,903 rentable square feet of space at the Broadwest development in Nashville, Tennessee for our corporate headquarters. The lease commencement date occurred in October 2022 with a term of 157 months leased through November 2035. We believe these facilities are adequate to meet our current needs for office space. Manufacturing, packaging or warehousing services are provided to us through contracts with third-party organizations.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laboratory space at CET, under an agreement amended in July 2012, is now leased through April 2028. During 2023, Cumberland exercised the 2nd Extension option to extend the lease for five more years through April 2028. CET leases approximately 14,200 square feet of office and wet laboratory space in Nashville, Tennessee to operate the CET Life Sciences Center. Cumberland’s product formulation and testing laboratories are located at this facility, along with CET’s offices. The CET Life Sciences Center also provides laboratory and office space, equipment and infrastructure to early-stage life sciences companies and university spin-outs.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3. Legal Proceedings.</w:t>
      </w:r>
    </w:p>
    <w:p>
      <w:pPr>
        <w:pStyle w:val="TextBody"/>
        <w:bidi w:val="0"/>
        <w:spacing w:lineRule="auto" w:line="288" w:before="160" w:after="283"/>
        <w:jc w:val="both"/>
        <w:rPr/>
      </w:pPr>
      <w:r>
        <w:rPr>
          <w:rFonts w:ascii="Times New Roman;sans-serif" w:hAnsi="Times New Roman;sans-serif"/>
          <w:b w:val="false"/>
          <w:color w:val="000000"/>
          <w:sz w:val="20"/>
        </w:rPr>
        <w:t xml:space="preserve">Please see discussion of </w:t>
      </w:r>
      <w:r>
        <w:rPr>
          <w:rFonts w:ascii="Times New Roman;sans-serif" w:hAnsi="Times New Roman;sans-serif"/>
          <w:b w:val="false"/>
          <w:i/>
          <w:color w:val="000000"/>
          <w:sz w:val="20"/>
        </w:rPr>
        <w:t>Melinta Litigation</w:t>
      </w:r>
      <w:r>
        <w:rPr>
          <w:color w:val="000000"/>
        </w:rPr>
        <w:t xml:space="preserve"> </w:t>
      </w:r>
      <w:r>
        <w:rPr>
          <w:rFonts w:ascii="Times New Roman;sans-serif" w:hAnsi="Times New Roman;sans-serif"/>
          <w:b w:val="false"/>
          <w:color w:val="000000"/>
          <w:sz w:val="20"/>
        </w:rPr>
        <w:t>in Note 19 Commitments and Contingencies contained in the Notes to Consolidated Financial Statements,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4. Mine Safety Disclosures.</w:t>
      </w:r>
    </w:p>
    <w:p>
      <w:pPr>
        <w:pStyle w:val="TextBody"/>
        <w:bidi w:val="0"/>
        <w:spacing w:lineRule="auto" w:line="333"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before="160" w:after="283"/>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5. Market for Registrant’s Common Equity, Related Stockholder Matters and Issuer Purchases of Equity Securities.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no par value, has been traded on the Nasdaq Global Select Market since August 11, 2009 under the symbol “CPIX.” As of March 4, 2025, we had 93 shareholders of record of our common stock. This excludes shareholders whose shares are held by brokers and other institutions on behalf of shareholders. The closing price of our common stock on the Nasdaq Global Select Market on March 4, 2025 was $6.05 per share.</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declared or paid any cash dividends on our common stock. Any future decision to declare or pay dividends will be at the sole discretion of our Board of Directors.</w:t>
      </w:r>
    </w:p>
    <w:p>
      <w:pPr>
        <w:pStyle w:val="TextBody"/>
        <w:bidi w:val="0"/>
        <w:spacing w:before="160" w:after="283"/>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 performance graph below illustrates a comparison of the total cumulative stockholder return on our common stock since December 31, 2019 to the Nasdaq Composite and a composite of ten Nasdaq Pharmaceutical and Specialty Pharmaceutical Stocks which most closely compare to our Company - Avadel Pharmaceuticals plc, Harrow Health, Inc., Eagle Pharmaceuticals, Inc., Assertio Holdings, Inc., HLS Therapeutics Inc., EyePoint Pharmaceuticals, Inc., Eton Pharmaceuticals, Inc., Theratechnologies Inc. and Talphera, Inc. The graph assumes an initial investment of $100 on December 31, 2018, and that all dividends were reinvested.</w:t>
      </w:r>
    </w:p>
    <w:p>
      <w:pPr>
        <w:pStyle w:val="TextBody"/>
        <w:bidi w:val="0"/>
        <w:spacing w:before="160" w:after="283"/>
        <w:jc w:val="center"/>
        <w:rPr/>
      </w:pPr>
      <w:r>
        <w:rPr/>
        <w:drawing>
          <wp:inline distT="0" distB="0" distL="0" distR="0">
            <wp:extent cx="6124575" cy="3562350"/>
            <wp:effectExtent l="0" t="0" r="0" b="0"/>
            <wp:docPr id="6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 descr=""/>
                    <pic:cNvPicPr>
                      <a:picLocks noChangeAspect="1" noChangeArrowheads="1"/>
                    </pic:cNvPicPr>
                  </pic:nvPicPr>
                  <pic:blipFill>
                    <a:blip r:embed="rId2"/>
                    <a:stretch>
                      <a:fillRect/>
                    </a:stretch>
                  </pic:blipFill>
                  <pic:spPr bwMode="auto">
                    <a:xfrm>
                      <a:off x="0" y="0"/>
                      <a:ext cx="6124575" cy="3562350"/>
                    </a:xfrm>
                    <a:prstGeom prst="rect">
                      <a:avLst/>
                    </a:prstGeom>
                  </pic:spPr>
                </pic:pic>
              </a:graphicData>
            </a:graphic>
          </wp:inline>
        </w:drawing>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Purchases of Equity Securities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has a share repurchase program to repurchase up to $10.0 million of our common stock pursuant to Rule 10b-18 of the Securities Exchange Act of 1934, as amended. In January 2019, the Company’s Board of Directors established the current $10.0 million repurchase program to replace the prior authorizations. We repurchased 339,200 and 402,143 shares of common stock for approximately $0.6 million and $0.7 million during the years ended December 31, 2024 and 2023, respectively. The following table summarizes the activity, by month, during the fourth quarter of 2024:</w:t>
      </w:r>
    </w:p>
    <w:tbl>
      <w:tblPr>
        <w:tblW w:w="7641" w:type="dxa"/>
        <w:jc w:val="center"/>
        <w:tblInd w:w="0" w:type="dxa"/>
        <w:tblLayout w:type="fixed"/>
        <w:tblCellMar>
          <w:top w:w="28" w:type="dxa"/>
          <w:left w:w="28" w:type="dxa"/>
          <w:bottom w:w="28" w:type="dxa"/>
          <w:right w:w="28" w:type="dxa"/>
        </w:tblCellMar>
      </w:tblPr>
      <w:tblGrid>
        <w:gridCol w:w="346"/>
        <w:gridCol w:w="304"/>
        <w:gridCol w:w="311"/>
        <w:gridCol w:w="109"/>
        <w:gridCol w:w="109"/>
        <w:gridCol w:w="109"/>
        <w:gridCol w:w="375"/>
        <w:gridCol w:w="375"/>
        <w:gridCol w:w="376"/>
        <w:gridCol w:w="109"/>
        <w:gridCol w:w="109"/>
        <w:gridCol w:w="109"/>
        <w:gridCol w:w="285"/>
        <w:gridCol w:w="285"/>
        <w:gridCol w:w="286"/>
        <w:gridCol w:w="109"/>
        <w:gridCol w:w="109"/>
        <w:gridCol w:w="109"/>
        <w:gridCol w:w="519"/>
        <w:gridCol w:w="519"/>
        <w:gridCol w:w="521"/>
        <w:gridCol w:w="109"/>
        <w:gridCol w:w="109"/>
        <w:gridCol w:w="109"/>
        <w:gridCol w:w="536"/>
        <w:gridCol w:w="536"/>
        <w:gridCol w:w="759"/>
      </w:tblGrid>
      <w:tr>
        <w:trPr/>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of Shares (or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Units)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 Paid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 Share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 (or Units)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Purchased as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Part of Publicly</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Announced Plans or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Maximum Number (or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Approximate Dollar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Value) of Shares (or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Units) that May Yet Be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Purchased Under the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Plans or Programs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$2,491,306</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17,908 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17,908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$2,469,705</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$2,433,312</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64,112 </w:t>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6. Reserved.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7. Management’s Discussion and Analysis of Financial Condition and Results of Operations.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position and results of operations should be read together with our audited consolidated financial statements and related notes appearing elsewhere in this Form 10-K. This discussion and analysis may contain forward-looking statements that involve risks and uncertainties – please refer to the section entitled, “Special Note Regarding Forward-Looking Statements,” contained in Part I, Item 1A, “Risk Factors,” of this Form 10-K. You should review the “Risk Factors” section of this Form 10-K for a discussion of important factors that could cause actual results to differ materially from the results described in or implied by the forward-looking statements described in the following discussion and analysis.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specialty pharmaceutical company focused on the acquisition, development and commercialization of branded prescription pharmaceutical products. We are dedicated to our mission of working together to provide unique products that improve the quality of patient care.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portfolio includes six branded products approved for marketing by the FDA. In addition to these commercial brands, we have Phase II clinical programs underway evaluating our ifetroban product candidate for patients with 1) Systemic Sclerosis or scleroderma, a debilitating autoimmune disorder characterized by fibrosis of the skin and internal organs and 2) Idiopathic Pulmonary Fibrosis, the most common form of progressive fibrosing interstitial lung disease. Additionally, we recently completed a Phase II study in patients with cardiomyopathy associated with Duchenne muscular dystrophy, a rare, fatal, genetic neuromuscular disease results in deterioration of the skeletal, heart and lung muscles. Next steps include further data analysis and completion of a full study report in preparation for an end-of-Phase-II meeting with the FDA to determine next steps associated with the product’s development and commercialization.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target markets are hospital acute care, gastroenterology and oncology. These medical specialties are characterized by relatively concentrated prescriber bases that we believe can be served effectively by small, targeted sales forces. We promote our approved products through our hospital, field and oncology sales divisions in the United States and are building a network of international partners to register and provide our medicines to patients in their countries.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the capabilities needed to acquire, develop and commercialize branded pharmaceuticals in the U.S. We believe we can leverage this existing infrastructure to support new products and our expected growth.</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team consists of pharmaceutical industry veterans with significant experience in their areas of responsibility. Our business development team identifies, evaluates and negotiates product acquisition, licensing and co-promotion agreements. Our product development team creates proprietary formulations, manages our clinical studies, prepares our FDA submissions and staffs our medical call center. Our quality and manufacturing professionals oversee the manufacturing, release and shipment of our products. Our marketing and sales organization is responsible for our commercial activities, and we work closely with our distribution partners to ensure the availability of our brands.</w:t>
      </w:r>
    </w:p>
    <w:p>
      <w:pPr>
        <w:pStyle w:val="TextBody"/>
        <w:bidi w:val="0"/>
        <w:spacing w:before="0" w:after="0"/>
        <w:jc w:val="both"/>
        <w:rPr/>
      </w:pPr>
      <w:r>
        <w:rPr/>
      </w:r>
    </w:p>
    <w:p>
      <w:pPr>
        <w:pStyle w:val="TextBody"/>
        <w:bidi w:val="0"/>
        <w:spacing w:before="0" w:after="0"/>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2024 Highlights</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list of our Company’s highlights from 2024. For more information, please see Part I, Item I, Business of this Form 10-K.</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Announced the publication of new real-world outcomes research involving 150,000 patients, which compared our Caldolor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(ibuprofen) injection to its key competitor – ketorolac. The results provided compelling evidence that Caldolor is associated with a significantly reduced incidence of adverse drug reactions and also improved healthcare utilization.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Shared a Caldolor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Special Report, which was published in </w:t>
      </w:r>
      <w:r>
        <w:rPr>
          <w:rFonts w:ascii="Times New Roman;sans-serif" w:hAnsi="Times New Roman;sans-serif"/>
          <w:b w:val="false"/>
          <w:i/>
          <w:color w:val="000000"/>
          <w:sz w:val="20"/>
        </w:rPr>
        <w:t>Anesthesiology News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 xml:space="preserve">General Surgery News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Pharmacy Practice News</w:t>
      </w:r>
      <w:r>
        <w:rPr>
          <w:color w:val="000000"/>
        </w:rPr>
        <w:t xml:space="preserve"> </w:t>
      </w:r>
      <w:r>
        <w:rPr>
          <w:rFonts w:ascii="Times New Roman;sans-serif" w:hAnsi="Times New Roman;sans-serif"/>
          <w:b w:val="false"/>
          <w:color w:val="000000"/>
          <w:sz w:val="20"/>
        </w:rPr>
        <w:t>that presented the growing amount of data supporting the use of Caldolor as a standard of care for the treatment of pain and fever. The results demonstrated that the product is a safe and effective treatment for pain and fever in adults, children and infants as young as 3 months of age.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Announced the FDA approval of a supplemental New Drug Application for Acetadote</w:t>
      </w:r>
      <w:r>
        <w:rPr>
          <w:rFonts w:ascii="Times New Roman;sans-serif" w:hAnsi="Times New Roman;sans-serif"/>
          <w:b w:val="false"/>
          <w:color w:val="000000"/>
          <w:sz w:val="13"/>
        </w:rPr>
        <w:t>®</w:t>
      </w:r>
      <w:r>
        <w:rPr>
          <w:rFonts w:ascii="Times New Roman;sans-serif" w:hAnsi="Times New Roman;sans-serif"/>
          <w:b w:val="false"/>
          <w:color w:val="000000"/>
          <w:sz w:val="20"/>
        </w:rPr>
        <w:t>, our IV treatment for preventing or lessening liver injury after ingestion of potentially toxic quantities of acetaminophen. The new, streamlined approach reduces the frequency of medication errors and potentially serious non-allergic anaphylactoid reactions without compromising the effectiveness of Acetadote. By simplifying the dosing regimen, health care providers can administer the life-saving treatment more efficiently, potentially improving patient outcomes.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Introduced our newly Cumberland-packaged Sancuso</w:t>
      </w:r>
      <w:r>
        <w:rPr>
          <w:rFonts w:ascii="Times New Roman;sans-serif" w:hAnsi="Times New Roman;sans-serif"/>
          <w:b w:val="false"/>
          <w:color w:val="000000"/>
          <w:sz w:val="13"/>
        </w:rPr>
        <w:t>®</w:t>
      </w:r>
      <w:r>
        <w:rPr>
          <w:rFonts w:ascii="Times New Roman;sans-serif" w:hAnsi="Times New Roman;sans-serif"/>
          <w:b w:val="false"/>
          <w:color w:val="000000"/>
          <w:sz w:val="20"/>
        </w:rPr>
        <w:t>, supported by our expanded oncology sales division, after successfully transferring its supply to a new facility that previously received FDA approval for manufacturing the product there.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Helped advance the submissions for the approval of Vibativ</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China and Saudi Arabia.</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Progressed our clinical trials evaluating ifetroban for patients with Systemic Sclerosis, Duchenne muscular dystrophy and Idiopathic Pulmonary Fibrosis.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Received both Orphan Drug Designation and Rare Pediatric Disease Designation from the FDA for the use of ifetroban for the treatment of Duchenne muscular dystrophy heart disease, reflecting its potential significance in treating this devastating condition.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Continued our corporate share repurchase initiative, with a group of our board members also purchasing shares through trading plans in order to add to their holdings in the Company.</w:t>
      </w:r>
    </w:p>
    <w:p>
      <w:pPr>
        <w:pStyle w:val="TextBody"/>
        <w:bidi w:val="0"/>
        <w:spacing w:before="160" w:after="283"/>
        <w:ind w:left="0" w:right="0" w:hanging="360"/>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SIGNIFICANT JUDGMENTS AND ESTIMATES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Accounting Estimates and Judgments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condensed consolidated financial statements in conformity with U.S. generally accepted accounting principles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cannot be determined from other sources. Actual results could differ from these estimates. The Company’s most significant estimates include: (1) its allowances for chargebacks and accruals for rebates and product returns, (2) the allowances for obsolescent or unmarketable inventory, (3) valuation of contingent consideration liabilities associated with business combinations and (4) valuation of continuing utility of intangible assets.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in accordance with the Accounting Standards Codification (ASC) Topic 606. Effective January 1, 2018, we adopted the Financial Accounting Standards Board’s (“FASB”) amended guidance in the form of Accounting Standards Update (“ASU”) No. 2014-09, "Revenue from Contracts with Customers," (ASC 606).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is derived primarily from the product sales of our FDA approved pharmaceutical brands. Revenue from sales of products is recognized at the point where the customer obtains control of the goods and we satisfy our performance obligation, which occurs upon either shipment of the product or arrival at its destination, depending upon the shipping terms of the transaction. Payment terms typically range from 30 to 60 days from date of shipment. Our net product revenue reflects the reduction from gross product revenue for estimated allowances for chargebacks, and discounts and reflects sales related accruals for rebates, coupons, product returns, and certain administrative and service fees. Significant judgments must be made in determining the transaction price for our sales of products related to these adjustments. Other revenue, which is a component of net revenues, includes non-refundable upfront payments and milestone payments under licensing agreements along with grant and rental income. Other revenue was approximately 3.5% of net revenues in 2024 and 5.2% in 2023.</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statements reflect accounts receivable allowances of $1.1 million and $0.6 million at December 31, 2024 and 2023, respectively, for chargebacks and early pay discounts for products. </w:t>
      </w:r>
    </w:p>
    <w:p>
      <w:pPr>
        <w:pStyle w:val="TextBody"/>
        <w:bidi w:val="0"/>
        <w:spacing w:before="16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our sales-related accrual activity for the periods indicated below:</w:t>
      </w:r>
    </w:p>
    <w:tbl>
      <w:tblPr>
        <w:tblW w:w="6929" w:type="dxa"/>
        <w:jc w:val="left"/>
        <w:tblInd w:w="0" w:type="dxa"/>
        <w:tblLayout w:type="fixed"/>
        <w:tblCellMar>
          <w:top w:w="28" w:type="dxa"/>
          <w:left w:w="28" w:type="dxa"/>
          <w:bottom w:w="28" w:type="dxa"/>
          <w:right w:w="28" w:type="dxa"/>
        </w:tblCellMar>
      </w:tblPr>
      <w:tblGrid>
        <w:gridCol w:w="1238"/>
        <w:gridCol w:w="1089"/>
        <w:gridCol w:w="1093"/>
        <w:gridCol w:w="109"/>
        <w:gridCol w:w="109"/>
        <w:gridCol w:w="109"/>
        <w:gridCol w:w="211"/>
        <w:gridCol w:w="976"/>
        <w:gridCol w:w="109"/>
        <w:gridCol w:w="109"/>
        <w:gridCol w:w="109"/>
        <w:gridCol w:w="109"/>
        <w:gridCol w:w="211"/>
        <w:gridCol w:w="976"/>
        <w:gridCol w:w="109"/>
        <w:gridCol w:w="109"/>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20,235,610 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22,184,661 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product returns and credits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(19,981,182)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(22,952,092)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7,834,211 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7,579,783 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allowances for chargebacks and discounts and sales related accruals for rebates, fee for service and product returns are determined on a product-by-product basis. We establish them using our best estimate at the time of sale based on: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Each product’s historical experience adjusted to reflect known changes in the factors that impact such allowances;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contractual terms with direct and indirect customers;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Analyses of historical levels of chargebacks, discounts and returns of product;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Communications with customers;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Purchased information about the rate of prescriptions being written and the level of inventory remaining in the distribution channel, if known;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Expectations about the market for each product, including any anticipated introduction of competitive products.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organizations, such as managed care providers, pharmacy benefit management companies and government agencies, may receive rebates from us based on either negotiated contracts to carry our products or reimbursements for filled prescriptions. These entities are considered our indirect customers. When recognizing a sale to a wholesaler, sales revenues are reduced and accrued liabilities are increased by our estimate of the rebate that may be claimed.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allowances for chargebacks and accruals for rebates and product returns are the most significant estimates used in the recognition of our revenue from product sales. Of the accounts receivable allowances and our sales related accruals, our accrual for product returns and rebates represents the majority of the balance. Sales related accrued liabilities for rebates, product returns, service fees, and administrative fees totaled $7.8 million and $7.6 million as of December 31, 2024 and 2023, respectively. Of these amounts, our estimated liability for fee for services represented $1.5 million and $1.4 million, respectively, while our accrual for product returns totaled $2.7 million and $2.6 million, respectively. If the actual amount of cash discounts, chargebacks, rebates, and product returns differs from the amounts estimated by management, material differences may result from the amount of our revenue recognized from product sales. A change in our rebate estimate of one percentage point would have impacted net sales by approximately $0.6 million for the years ended December 31, 2024 and 2023. A change in our product return estimate of one percentage point would have impacted net sales by $0.4 million for the years ended December 31, 2024 and 2023.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Inventories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 amounts for estimated obsolescence or unmarketable inventory in an amount equal to the difference between the cost of inventory and the net realizable value based upon assumptions about remaining shelf life, future demand and market conditions. The estimated inventory obsolescence amounts are calculated based upon specific review of the inventory expiration dates and the quantity on-hand at December 31, 2024, in comparison to our expected inventory usage. The amount of actual inventory obsolescence and unmarketable inventory could differ (either higher or lower) in the near term from the estimated amounts. Changes in our estimates would be recorded in our statement of operations in the period of the change.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Non-current inventories consist of active pharmaceutical ingredients which typically have an extended life and selected finished good products with an extended life longer than one year.</w:t>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provide for deferred taxes using the asset and liability approach. Under this method, deferred tax assets and liabilities are recognized for the future tax consequences attributable to operating loss and tax credit carry-forwards and differences between the financial statement carrying amounts of existing assets and liabilities and their respective tax bases. Our principal differences are related to the timing of deductibility of certain items such as depreciation, amortization and expense for options issued to nonemployees. Deferred tax assets and liabilities are measured using management’s estimate of tax rates expected to apply to taxable income in the years in which management believes those temporary differences are expected to be recovered or settled. The effect on deferred tax assets and liabilities of a change in tax rates is recognized in our results of operations in the period that includes the enactment date.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accounting policy with respect to interest and penalties arising from income tax settlements is to recognize them as part of the provision for income taxes.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Share-Based Payments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compensation expense for all share-based payments based on the fair value of the award on the date of grant. In addition, incremental compensation expense is recognized upon the modification of equity awards.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issue restricted stock and incentive stock option awards to employees, directors and consultants. Compensation expense for restricted equity awards granted to employees and directors is generally equal to the fair market value of the underlying common stock on the date of grant. If a sufficient disincentive for nonperformance does not exist at the date of grant, the compensation cost is remeasured at each reporting date at the then-current fair market value of the underlying common stock until the award vests.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accrue for and expense research and development costs based on estimates of work performed, patient enrollment or fixed-fee-for-services. As work is performed and/or invoices are received, we adjust our estimates and accruals. To date, our accruals have not differed materially from our estimates. Total research and development costs are a function of studies being conducted and will increase or decrease based on the level of activity in any particular year.</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Intangible Assets and Goodwill</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include product rights, license agreements, other identifiable intangible assets and goodwill associated with the Vibativ acquisition. We assess the impairment of goodwill at least annually. We assess the impairment of identifiable intangible assets subject to amortization whenever events or changes in circumstances indicate the carrying value may not be recoverable. In determining the recoverability of our intangible assets, we make assumptions regarding estimated future cash flows and other factors. If the estimated undiscounted future cash flows do not exceed the carrying value of the intangible assets, we must determine the fair value of the intangible assets. If the fair value of the intangible assets is less than the carrying value, an impairment loss will be recognized in an amount equal to the difference. Fair value is determined through various valuation techniques including quoted market prices, third-party independent appraisals and discounted cash flow models, as considered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Year ended December 31, 2024 compared to year ended December 31, 2023</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statements of operations for the years ended December 31, 2024 and 2023:</w:t>
      </w:r>
    </w:p>
    <w:tbl>
      <w:tblPr>
        <w:tblW w:w="8550" w:type="dxa"/>
        <w:jc w:val="left"/>
        <w:tblInd w:w="0" w:type="dxa"/>
        <w:tblLayout w:type="fixed"/>
        <w:tblCellMar>
          <w:top w:w="28" w:type="dxa"/>
          <w:left w:w="28" w:type="dxa"/>
          <w:bottom w:w="28" w:type="dxa"/>
          <w:right w:w="28" w:type="dxa"/>
        </w:tblCellMar>
      </w:tblPr>
      <w:tblGrid>
        <w:gridCol w:w="1290"/>
        <w:gridCol w:w="1137"/>
        <w:gridCol w:w="1142"/>
        <w:gridCol w:w="211"/>
        <w:gridCol w:w="1081"/>
        <w:gridCol w:w="109"/>
        <w:gridCol w:w="109"/>
        <w:gridCol w:w="109"/>
        <w:gridCol w:w="109"/>
        <w:gridCol w:w="211"/>
        <w:gridCol w:w="1081"/>
        <w:gridCol w:w="109"/>
        <w:gridCol w:w="109"/>
        <w:gridCol w:w="109"/>
        <w:gridCol w:w="109"/>
        <w:gridCol w:w="211"/>
        <w:gridCol w:w="1051"/>
        <w:gridCol w:w="109"/>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54" w:type="dxa"/>
            <w:tcBorders/>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37,867,945 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39,552,507 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(1,684,562)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sold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17,023,023 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11,126,901 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10,651,915 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and impairment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44,300,354 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49,107,168 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(4,806,814)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(6,432,409)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(9,554,661)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 settlement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 gain on insurance proceeds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(6,466,384)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(6,284,997)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(6,443,715)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(6,330,766)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net revenues for the years presented:</w:t>
      </w:r>
    </w:p>
    <w:tbl>
      <w:tblPr>
        <w:tblW w:w="6492" w:type="dxa"/>
        <w:jc w:val="left"/>
        <w:tblInd w:w="0" w:type="dxa"/>
        <w:tblLayout w:type="fixed"/>
        <w:tblCellMar>
          <w:top w:w="28" w:type="dxa"/>
          <w:left w:w="28" w:type="dxa"/>
          <w:bottom w:w="28" w:type="dxa"/>
          <w:right w:w="28" w:type="dxa"/>
        </w:tblCellMar>
      </w:tblPr>
      <w:tblGrid>
        <w:gridCol w:w="585"/>
        <w:gridCol w:w="513"/>
        <w:gridCol w:w="522"/>
        <w:gridCol w:w="211"/>
        <w:gridCol w:w="1081"/>
        <w:gridCol w:w="109"/>
        <w:gridCol w:w="109"/>
        <w:gridCol w:w="109"/>
        <w:gridCol w:w="109"/>
        <w:gridCol w:w="211"/>
        <w:gridCol w:w="1081"/>
        <w:gridCol w:w="109"/>
        <w:gridCol w:w="109"/>
        <w:gridCol w:w="109"/>
        <w:gridCol w:w="109"/>
        <w:gridCol w:w="211"/>
        <w:gridCol w:w="1051"/>
        <w:gridCol w:w="154"/>
      </w:tblGrid>
      <w:tr>
        <w:trPr/>
        <w:tc>
          <w:tcPr>
            <w:tcW w:w="58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Kristalose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15,315,259 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15,981,850 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(666,591)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Sancuso</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9,005,129 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8,096,788 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Vibativ</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8,812,692 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(1,652,567)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Caldolor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Acetadote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(273,577)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Omeclamox</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Vaprisol</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(325,874)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RediTrex</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(708,774)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37,867,945 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39,552,507 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(1,684,562)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ans-serif" w:hAnsi="Times New Roman;sans-serif"/>
          <w:b w:val="false"/>
          <w:i/>
          <w:color w:val="000000"/>
          <w:sz w:val="20"/>
        </w:rPr>
        <w:t>Net revenues.</w:t>
      </w:r>
      <w:r>
        <w:rPr>
          <w:color w:val="000000"/>
        </w:rPr>
        <w:t xml:space="preserve"> </w:t>
      </w:r>
      <w:r>
        <w:rPr>
          <w:rFonts w:ascii="Times New Roman;sans-serif" w:hAnsi="Times New Roman;sans-serif"/>
          <w:b w:val="false"/>
          <w:color w:val="000000"/>
          <w:sz w:val="20"/>
        </w:rPr>
        <w:t>Net revenues for the year ended December 31, 2024, were approximately $37.9 million compared to $39.6 million for the year ended December 31, 2023. As detailed in the table above, net revenue increased during 2024 for two of our marketed products: Sancuso and Caldolor. These increases were mainly offset by decreases in net product sales of Kristalose and Vibativ.</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Kristalose revenue decreased by $0.7 million, compared to December 31, 2023, primarily as a result of decreased shipments of the product.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Sancuso revenue was $9.0 million compared to $8.1 million in the prior year, an increase of $0.9 million or 11.2% for the year ended December 31, 2024. This increase in net revenue was impacted by an improvement in product returns in 2024.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Vibativ revenue decreased to $7.2 million for the year ended December 31, 2024, compared to $8.8 million in the same prior year period. The decrease was the result of decreased shipments of the product and higher product returns.</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 xml:space="preserve">Caldolor revenue was $5.0 million during the year ended December 31, 2024, compared to $4.3 million in the same period last year. This </w:t>
      </w:r>
      <w:r>
        <w:rPr>
          <w:rFonts w:ascii="Times New Roman;sans-serif" w:hAnsi="Times New Roman;sans-serif"/>
          <w:b w:val="false"/>
          <w:color w:val="000000"/>
          <w:sz w:val="20"/>
        </w:rPr>
        <w:t>14.4%</w:t>
      </w:r>
      <w:r>
        <w:rPr>
          <w:color w:val="000000"/>
          <w:shd w:fill="FFFFFF" w:val="clear"/>
        </w:rPr>
        <w:t xml:space="preserve"> </w:t>
      </w:r>
      <w:r>
        <w:rPr>
          <w:rFonts w:ascii="Times New Roman;sans-serif" w:hAnsi="Times New Roman;sans-serif"/>
          <w:b w:val="false"/>
          <w:color w:val="000000"/>
          <w:sz w:val="20"/>
        </w:rPr>
        <w:t>increase</w:t>
      </w:r>
      <w:r>
        <w:rPr>
          <w:color w:val="000000"/>
          <w:shd w:fill="FFFFFF" w:val="clear"/>
        </w:rPr>
        <w:t xml:space="preserve"> </w:t>
      </w:r>
      <w:r>
        <w:rPr>
          <w:rFonts w:ascii="Times New Roman;sans-serif" w:hAnsi="Times New Roman;sans-serif"/>
          <w:b w:val="false"/>
          <w:color w:val="000000"/>
          <w:sz w:val="20"/>
          <w:shd w:fill="FFFFFF" w:val="clear"/>
        </w:rPr>
        <w:t>in Caldolor revenue for the year ended December 31, 2024, w</w:t>
      </w:r>
      <w:r>
        <w:rPr>
          <w:rFonts w:ascii="Times New Roman;sans-serif" w:hAnsi="Times New Roman;sans-serif"/>
          <w:b w:val="false"/>
          <w:color w:val="000000"/>
          <w:sz w:val="20"/>
        </w:rPr>
        <w:t xml:space="preserve">as impacted by an increase in international shipments. </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 xml:space="preserve">There was no Vaprisol revenue for the year ended December 31, 2024, </w:t>
      </w:r>
      <w:r>
        <w:rPr>
          <w:rFonts w:ascii="Times New Roman;sans-serif" w:hAnsi="Times New Roman;sans-serif"/>
          <w:b w:val="false"/>
          <w:color w:val="000000"/>
          <w:sz w:val="20"/>
        </w:rPr>
        <w:t xml:space="preserve">as Cumberland is currently out of commercial inventory of the product. Net revenue was negatively impacted by various sales deduction adjustments. </w:t>
      </w:r>
    </w:p>
    <w:p>
      <w:pPr>
        <w:pStyle w:val="TextBody"/>
        <w:bidi w:val="0"/>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Acetadote revenue included net sales of our branded product and our share of net sales from our Authorized Generic. For the year ended December 31, 2024, the Acetadote net revenue was $0.2 million, as compared to $0.5 million from the prior year period. This decrease results from lower sales for our Authorized Generic.</w:t>
      </w:r>
    </w:p>
    <w:p>
      <w:pPr>
        <w:pStyle w:val="TextBody"/>
        <w:bidi w:val="0"/>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Omeclamox-Pak had no sales for the years ended December 31, 2024 and 2023 as Cumberland is currently out of commercial inventory of this product. The packager for our Omeclamox-Pak product encountered financial difficulties and currently is under new management and is reorganizing.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discontinued the product RediTrex in 2023. Net revenue was positively impacted by various sales deduction adjustments.</w:t>
      </w:r>
    </w:p>
    <w:p>
      <w:pPr>
        <w:pStyle w:val="TextBody"/>
        <w:bidi w:val="0"/>
        <w:spacing w:lineRule="auto" w:line="288" w:before="160" w:after="283"/>
        <w:jc w:val="both"/>
        <w:rPr/>
      </w:pPr>
      <w:r>
        <w:rPr>
          <w:rFonts w:ascii="Times New Roman;sans-serif" w:hAnsi="Times New Roman;sans-serif"/>
          <w:b w:val="false"/>
          <w:i/>
          <w:color w:val="000000"/>
          <w:sz w:val="20"/>
        </w:rPr>
        <w:t xml:space="preserve">Other Revenue. </w:t>
      </w:r>
      <w:r>
        <w:rPr>
          <w:rFonts w:ascii="Times New Roman;sans-serif" w:hAnsi="Times New Roman;sans-serif"/>
          <w:b w:val="false"/>
          <w:color w:val="000000"/>
          <w:sz w:val="20"/>
        </w:rPr>
        <w:t>Other revenue decreased from 2023 when milestone payments of $1 million associated with our Vibativ product were recorded.</w:t>
      </w:r>
    </w:p>
    <w:p>
      <w:pPr>
        <w:pStyle w:val="TextBody"/>
        <w:bidi w:val="0"/>
        <w:spacing w:lineRule="auto" w:line="288" w:before="160" w:after="283"/>
        <w:jc w:val="both"/>
        <w:rPr/>
      </w:pPr>
      <w:r>
        <w:rPr>
          <w:rFonts w:ascii="Times New Roman;sans-serif" w:hAnsi="Times New Roman;sans-serif"/>
          <w:b w:val="false"/>
          <w:i/>
          <w:color w:val="000000"/>
          <w:sz w:val="20"/>
        </w:rPr>
        <w:t>Cost of products sold</w:t>
      </w:r>
      <w:r>
        <w:rPr>
          <w:rFonts w:ascii="Times New Roman;sans-serif" w:hAnsi="Times New Roman;sans-serif"/>
          <w:b w:val="false"/>
          <w:color w:val="000000"/>
          <w:sz w:val="20"/>
        </w:rPr>
        <w:t xml:space="preserve">. Cost of products sold for the year ended December 31, 2024, were $6.6 million compared to $6.1 million in the prior year, an increase of $0.5 million. The gross margin for the years ended December 31, 2024 and 2023, were 82.6% and 84.7%, respectively. </w:t>
      </w:r>
    </w:p>
    <w:p>
      <w:pPr>
        <w:pStyle w:val="TextBody"/>
        <w:bidi w:val="0"/>
        <w:spacing w:lineRule="auto" w:line="288" w:before="160" w:after="283"/>
        <w:jc w:val="both"/>
        <w:rPr/>
      </w:pPr>
      <w:r>
        <w:rPr>
          <w:rFonts w:ascii="Times New Roman;sans-serif" w:hAnsi="Times New Roman;sans-serif"/>
          <w:b w:val="false"/>
          <w:i/>
          <w:color w:val="000000"/>
          <w:sz w:val="20"/>
        </w:rPr>
        <w:t>Selling and marketing</w:t>
      </w:r>
      <w:r>
        <w:rPr>
          <w:rFonts w:ascii="Times New Roman;sans-serif" w:hAnsi="Times New Roman;sans-serif"/>
          <w:b w:val="false"/>
          <w:color w:val="000000"/>
          <w:sz w:val="20"/>
        </w:rPr>
        <w:t>. Selling and marketing expense for the year ended December 31, 2024, were $17.0 million compared to $18.5 million in the prior year, which was a decrease of $1.4 million. This decrease was primarily a result of a decrease in marketing expenses associated with royalty costs and promotional spending.</w:t>
      </w:r>
    </w:p>
    <w:p>
      <w:pPr>
        <w:pStyle w:val="TextBody"/>
        <w:bidi w:val="0"/>
        <w:spacing w:lineRule="auto" w:line="288" w:before="160" w:after="283"/>
        <w:jc w:val="both"/>
        <w:rPr/>
      </w:pPr>
      <w:r>
        <w:rPr>
          <w:rFonts w:ascii="Times New Roman;sans-serif" w:hAnsi="Times New Roman;sans-serif"/>
          <w:b w:val="false"/>
          <w:i/>
          <w:color w:val="000000"/>
          <w:sz w:val="20"/>
        </w:rPr>
        <w:t>Research and development</w:t>
      </w:r>
      <w:r>
        <w:rPr>
          <w:rFonts w:ascii="Times New Roman;sans-serif" w:hAnsi="Times New Roman;sans-serif"/>
          <w:b w:val="false"/>
          <w:color w:val="000000"/>
          <w:sz w:val="20"/>
        </w:rPr>
        <w:t xml:space="preserve">. Research and development costs for the year ended December 31, 2024, were $4.8 million, compared to $5.8 million in the prior year, representing a decrease of $1.0 million due primarily to reduced FDA fees, salaries and consulting expenses. A portion of our research and development costs is variable based on the number of trials, study sites, number of patients and the cost per patient in each of our clinical programs. We continue to fund our ongoing clinical initiatives associated with our pipeline products. </w:t>
      </w:r>
    </w:p>
    <w:p>
      <w:pPr>
        <w:pStyle w:val="TextBody"/>
        <w:bidi w:val="0"/>
        <w:spacing w:lineRule="auto" w:line="288" w:before="160" w:after="283"/>
        <w:jc w:val="both"/>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General and administrative expenses for the year ended December 31, 2024, were $11.1 million compared to $10.7 million in the prior year. The primary driver of the increase was higher salary costs.</w:t>
      </w:r>
    </w:p>
    <w:p>
      <w:pPr>
        <w:pStyle w:val="TextBody"/>
        <w:bidi w:val="0"/>
        <w:spacing w:before="16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components of the statements of operations discussed above reflect the following impacts from Vibativ:</w:t>
      </w:r>
    </w:p>
    <w:tbl>
      <w:tblPr>
        <w:tblW w:w="6239" w:type="dxa"/>
        <w:jc w:val="left"/>
        <w:tblInd w:w="0" w:type="dxa"/>
        <w:tblLayout w:type="fixed"/>
        <w:tblCellMar>
          <w:top w:w="28" w:type="dxa"/>
          <w:left w:w="28" w:type="dxa"/>
          <w:bottom w:w="28" w:type="dxa"/>
          <w:right w:w="28" w:type="dxa"/>
        </w:tblCellMar>
      </w:tblPr>
      <w:tblGrid>
        <w:gridCol w:w="988"/>
        <w:gridCol w:w="868"/>
        <w:gridCol w:w="874"/>
        <w:gridCol w:w="109"/>
        <w:gridCol w:w="109"/>
        <w:gridCol w:w="109"/>
        <w:gridCol w:w="211"/>
        <w:gridCol w:w="976"/>
        <w:gridCol w:w="109"/>
        <w:gridCol w:w="109"/>
        <w:gridCol w:w="109"/>
        <w:gridCol w:w="109"/>
        <w:gridCol w:w="211"/>
        <w:gridCol w:w="976"/>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Impact of Vibativ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revenue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7,161,413 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products sold </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1,829,824 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1,423,399 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Vibativ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3,577,178 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6,009,354 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2023 net revenue includes a $1,000,000 payment to Cumberland related to a settlement agreement of milestone payments.</w:t>
      </w:r>
    </w:p>
    <w:p>
      <w:pPr>
        <w:pStyle w:val="TextBody"/>
        <w:bidi w:val="0"/>
        <w:spacing w:lineRule="auto" w:line="288" w:before="160" w:after="283"/>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The Vibativ inventory included in the costs of product sold during the period was acquired and paid for by Cumberland as part of the acquisition of the brand during 2018.</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components of the statements of operations discussed above reflect the following impacts from Sancuso:</w:t>
      </w:r>
    </w:p>
    <w:tbl>
      <w:tblPr>
        <w:tblW w:w="6238" w:type="dxa"/>
        <w:jc w:val="left"/>
        <w:tblInd w:w="0" w:type="dxa"/>
        <w:tblLayout w:type="fixed"/>
        <w:tblCellMar>
          <w:top w:w="28" w:type="dxa"/>
          <w:left w:w="28" w:type="dxa"/>
          <w:bottom w:w="28" w:type="dxa"/>
          <w:right w:w="28" w:type="dxa"/>
        </w:tblCellMar>
      </w:tblPr>
      <w:tblGrid>
        <w:gridCol w:w="988"/>
        <w:gridCol w:w="868"/>
        <w:gridCol w:w="873"/>
        <w:gridCol w:w="109"/>
        <w:gridCol w:w="109"/>
        <w:gridCol w:w="109"/>
        <w:gridCol w:w="211"/>
        <w:gridCol w:w="976"/>
        <w:gridCol w:w="109"/>
        <w:gridCol w:w="109"/>
        <w:gridCol w:w="109"/>
        <w:gridCol w:w="109"/>
        <w:gridCol w:w="211"/>
        <w:gridCol w:w="976"/>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Impact of Sancuso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9,005,132 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8,096,788 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products sold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856,608 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1,214,826 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Sancuso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4,371,364 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3,506,139 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The Sancuso inventory included in the costs of product sold during the period was acquired and paid for by Cumberland as part of the acquisition of the brand during 2022.</w:t>
      </w:r>
    </w:p>
    <w:p>
      <w:pPr>
        <w:pStyle w:val="TextBody"/>
        <w:bidi w:val="0"/>
        <w:spacing w:lineRule="auto" w:line="288" w:before="160" w:after="283"/>
        <w:jc w:val="both"/>
        <w:rPr/>
      </w:pPr>
      <w:r>
        <w:rPr>
          <w:rFonts w:ascii="Times New Roman;sans-serif" w:hAnsi="Times New Roman;sans-serif"/>
          <w:b w:val="false"/>
          <w:i/>
          <w:color w:val="000000"/>
          <w:sz w:val="20"/>
        </w:rPr>
        <w:t>Amortization.</w:t>
      </w:r>
      <w:r>
        <w:rPr>
          <w:color w:val="000000"/>
        </w:rPr>
        <w:t xml:space="preserve"> </w:t>
      </w:r>
      <w:r>
        <w:rPr>
          <w:rFonts w:ascii="Times New Roman;sans-serif" w:hAnsi="Times New Roman;sans-serif"/>
          <w:b w:val="false"/>
          <w:color w:val="000000"/>
          <w:sz w:val="20"/>
        </w:rPr>
        <w:t>Amortization expense represent the ratable use of our capitalized intangible assets including product and license rights, patents, trademarks and patent defense costs. Amortization for 2024 totaled approximately $4.7 million which is a decrease of $3.4 million due to a $3.3 million write down of our Omeclamox intangible assets for the year ended December 31, 2023.</w:t>
      </w:r>
    </w:p>
    <w:p>
      <w:pPr>
        <w:pStyle w:val="TextBody"/>
        <w:bidi w:val="0"/>
        <w:spacing w:lineRule="auto" w:line="288" w:before="160" w:after="283"/>
        <w:jc w:val="both"/>
        <w:rPr/>
      </w:pPr>
      <w:r>
        <w:rPr>
          <w:rFonts w:ascii="Times New Roman;sans-serif" w:hAnsi="Times New Roman;sans-serif"/>
          <w:b w:val="false"/>
          <w:i/>
          <w:color w:val="000000"/>
          <w:sz w:val="20"/>
        </w:rPr>
        <w:t>Income taxes</w:t>
      </w:r>
      <w:r>
        <w:rPr>
          <w:rFonts w:ascii="Times New Roman;sans-serif" w:hAnsi="Times New Roman;sans-serif"/>
          <w:b w:val="false"/>
          <w:color w:val="000000"/>
          <w:sz w:val="20"/>
        </w:rPr>
        <w:t xml:space="preserve">. Income taxes totaled $22,669 as a benefit for the year ended December 31, 2024, and $45,769 tax expense for the year ended December 31, 2023. </w:t>
      </w:r>
    </w:p>
    <w:p>
      <w:pPr>
        <w:pStyle w:val="TextBody"/>
        <w:bidi w:val="0"/>
        <w:spacing w:lineRule="auto" w:line="288" w:before="160" w:after="283"/>
        <w:jc w:val="both"/>
        <w:rPr/>
      </w:pPr>
      <w:r>
        <w:rPr>
          <w:rFonts w:ascii="Times New Roman;sans-serif" w:hAnsi="Times New Roman;sans-serif"/>
          <w:b w:val="false"/>
          <w:i/>
          <w:color w:val="000000"/>
          <w:sz w:val="20"/>
        </w:rPr>
        <w:t xml:space="preserve">Other income. </w:t>
      </w:r>
      <w:r>
        <w:rPr>
          <w:rFonts w:ascii="Times New Roman;sans-serif" w:hAnsi="Times New Roman;sans-serif"/>
          <w:b w:val="false"/>
          <w:color w:val="000000"/>
          <w:sz w:val="20"/>
        </w:rPr>
        <w:t>For the year ended December 31, 2024, we recognized a gain of $0.2 million for a payout earned on a company owned insurance policy. For the year ended December 31, 2023, we recognized a $2.8 million refund of FDA fees for the periods of 2023 and 2022 to further our product research efforts.</w:t>
      </w:r>
      <w:r>
        <w:rPr>
          <w:color w:val="000000"/>
        </w:rPr>
        <w:t xml:space="preserve"> </w:t>
      </w:r>
      <w:r>
        <w:rPr>
          <w:rFonts w:ascii="Times New Roman;sans-serif" w:hAnsi="Times New Roman;sans-serif"/>
          <w:b w:val="false"/>
          <w:color w:val="000000"/>
          <w:sz w:val="20"/>
        </w:rPr>
        <w:t>In addition, in 2023 we recognized a gain of $0.5 million to settle a manufacturing dispute and a gain of $0.3 million for a payout earned on a company owned insurance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are cash flows provided by our operations, the amounts borrowed and available under our line of credit and the cash proceeds from our initial public offering of common stock that was completed in August 2009. We believe that our internally generated cash flows, existing working capital and our line of credit will be adequate to finance internal growth, finance business development initiatives, and fund capital expenditures for the foreseeable future.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and December 31, 2023, all our investments had original maturities of less than ninety days and as a result were classified as cash equivalents.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liquidity and working capital as of the years ended December 31:</w:t>
      </w:r>
    </w:p>
    <w:tbl>
      <w:tblPr>
        <w:tblW w:w="8169" w:type="dxa"/>
        <w:jc w:val="left"/>
        <w:tblInd w:w="0" w:type="dxa"/>
        <w:tblLayout w:type="fixed"/>
        <w:tblCellMar>
          <w:top w:w="28" w:type="dxa"/>
          <w:left w:w="28" w:type="dxa"/>
          <w:bottom w:w="28" w:type="dxa"/>
          <w:right w:w="28" w:type="dxa"/>
        </w:tblCellMar>
      </w:tblPr>
      <w:tblGrid>
        <w:gridCol w:w="1810"/>
        <w:gridCol w:w="1588"/>
        <w:gridCol w:w="1597"/>
        <w:gridCol w:w="211"/>
        <w:gridCol w:w="1081"/>
        <w:gridCol w:w="109"/>
        <w:gridCol w:w="109"/>
        <w:gridCol w:w="109"/>
        <w:gridCol w:w="109"/>
        <w:gridCol w:w="211"/>
        <w:gridCol w:w="1081"/>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17,964,184 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18,321,624 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17,964,184 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18,321,624 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(current assets less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7,732,161 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ratio (multiple of current assets to current liabilities)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 availability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4,723,830 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7,215,856 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net changes in cash and cash equivalents for the years ended December 31:</w:t>
      </w:r>
    </w:p>
    <w:tbl>
      <w:tblPr>
        <w:tblW w:w="5660" w:type="dxa"/>
        <w:jc w:val="left"/>
        <w:tblInd w:w="0" w:type="dxa"/>
        <w:tblLayout w:type="fixed"/>
        <w:tblCellMar>
          <w:top w:w="28" w:type="dxa"/>
          <w:left w:w="28" w:type="dxa"/>
          <w:bottom w:w="28" w:type="dxa"/>
          <w:right w:w="28" w:type="dxa"/>
        </w:tblCellMar>
      </w:tblPr>
      <w:tblGrid>
        <w:gridCol w:w="858"/>
        <w:gridCol w:w="753"/>
        <w:gridCol w:w="758"/>
        <w:gridCol w:w="211"/>
        <w:gridCol w:w="901"/>
        <w:gridCol w:w="109"/>
        <w:gridCol w:w="109"/>
        <w:gridCol w:w="109"/>
        <w:gridCol w:w="109"/>
        <w:gridCol w:w="211"/>
        <w:gridCol w:w="1051"/>
        <w:gridCol w:w="109"/>
        <w:gridCol w:w="109"/>
        <w:gridCol w:w="109"/>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in):</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(7,424,472)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decrease in cash and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equivalents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(357,440)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(1,436,346)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$0.4 million decrease in cash and cash equivalents for the year ended December 31, 2024, was attributable to cash used in operating activities offset by cash provided by financing and investing activities. Cash used in operating activities of $0.6 million is primarily due to an increase in accounts receivable of $1.9 million, a decrease in non-cash contingent consideration of $1.5 million, an increase in CSV of life insurance policies over premiums paid of $0.1 million, the gain on insurance proceeds of $0.2 million and a $1.0 million decrease in operating lease liabilities, partially offset by an increase in inventory of $2.4 million and an increase in accounts payable and other accrued liabilities. </w:t>
      </w:r>
    </w:p>
    <w:p>
      <w:pPr>
        <w:pStyle w:val="TextBody"/>
        <w:bidi w:val="0"/>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investing activities less than $0.1 million was the result of more life insurance proceeds received offset by additions of intangibles and property. </w:t>
      </w:r>
    </w:p>
    <w:p>
      <w:pPr>
        <w:pStyle w:val="TextBody"/>
        <w:bidi w:val="0"/>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of $0.2 million was primarily due to a $2.5 million net borrowing, partially offset by payments of $1.7 million of contingent consideration for Vibativ and Sancuso, and $0.6 million in cash used to repurchase shares of our common stock.</w:t>
      </w:r>
    </w:p>
    <w:p>
      <w:pPr>
        <w:pStyle w:val="TextBody"/>
        <w:bidi w:val="0"/>
        <w:spacing w:lineRule="auto" w:line="288" w:before="160" w:after="120"/>
        <w:jc w:val="both"/>
        <w:rPr/>
      </w:pPr>
      <w:r>
        <w:rPr>
          <w:rFonts w:ascii="Times New Roman;sans-serif" w:hAnsi="Times New Roman;sans-serif"/>
          <w:b w:val="false"/>
          <w:color w:val="000000"/>
          <w:sz w:val="20"/>
        </w:rPr>
        <w:t xml:space="preserve">As noted above, we continue to repurchase shares of our common stock, as discussed in Part II, Item 5, </w:t>
      </w:r>
      <w:r>
        <w:rPr>
          <w:rFonts w:ascii="Times New Roman;sans-serif" w:hAnsi="Times New Roman;sans-serif"/>
          <w:b w:val="false"/>
          <w:i/>
          <w:color w:val="000000"/>
          <w:sz w:val="20"/>
        </w:rPr>
        <w:t>"Market for Registrant’s Common Equity, Related Stockholder Matters and Issuer Purchases of Equity Securities",</w:t>
      </w:r>
      <w:r>
        <w:rPr>
          <w:color w:val="000000"/>
        </w:rPr>
        <w:t xml:space="preserve"> </w:t>
      </w:r>
      <w:r>
        <w:rPr>
          <w:rFonts w:ascii="Times New Roman;sans-serif" w:hAnsi="Times New Roman;sans-serif"/>
          <w:b w:val="false"/>
          <w:color w:val="000000"/>
          <w:sz w:val="20"/>
        </w:rPr>
        <w:t>of this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net $1.4 million decrease in cash and cash equivalents for the year ended December 31, 2023, was attributable to cash provided by operating activities offset by cash used in investing and financing activities. Cash provided by operating activities of $6.1 million is primarily due to an increase in accounts payable and other accrued liabilities of $3.7 million, and a $3.4 million decrease in accounts receivable, partially offset by a decrease in non-cash contingent consideration of $1.3 million. Cash used in investing activities of $0.1 million was the result of additions of intangibles and property and equipment offset by life insurance proceeds received. Our financing activities included payments of $3.3 million of contingent consideration for Vibativ and Sancuso, a pay down on our line of credit of $3.4 and $0.7 million in cash used to repurchase shares of our common stock.</w:t>
      </w:r>
    </w:p>
    <w:p>
      <w:pPr>
        <w:pStyle w:val="TextBody"/>
        <w:bidi w:val="0"/>
        <w:spacing w:lineRule="auto" w:line="288" w:before="160" w:after="120"/>
        <w:jc w:val="both"/>
        <w:rPr>
          <w:rFonts w:ascii="Times New Roman;sans-serif" w:hAnsi="Times New Roman;sans-serif"/>
          <w:b/>
          <w:i/>
          <w:color w:val="000000"/>
          <w:sz w:val="20"/>
        </w:rPr>
      </w:pPr>
      <w:r>
        <w:rPr>
          <w:rFonts w:ascii="Times New Roman;sans-serif" w:hAnsi="Times New Roman;sans-serif"/>
          <w:b/>
          <w:i/>
          <w:color w:val="000000"/>
          <w:sz w:val="20"/>
        </w:rPr>
        <w:t>Shelf Registration</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14, 2023, the Company filed a Shelf Registration on Form S-3 with the SEC associated with the sale of up to $100 million in corporate securities which also was declared effective on December 26, 2023. The Company entered into a Sales Agreement (the “Sales Agreement”) with H.C. Wainwright &amp; Co., LLC (“H.C. Wainwright”) on March 20, 2024, in order to allow the Company to sell shares at market prices. The Company did not issue any shares under its ATM program during the year ended December 31, 2024.</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5, 2025, the Company utilized the Sales Agreement with H. C. Wainwright and sold 1,000,000 shares of Cumberland’s common shares. These shares sold at a volume weighted average price of $5.4688 per share for aggregate gross proceeds of $5,468,800.</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14, 2025, the Company increased the maximum aggregate offering amount of the shares of the Company’s common stock issuable under the Sales Agreement with H.C. Wainwright for to up to $10 million and filed a prospectus supplement under the Sales Agreement for that aggregate offering amount.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Debt Agreement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5, 2023, the Company entered into a new Revolving Credit Loan Agreement with Pinnacle Bank. This facility provides for an aggregate principal funding amount of up to $25 million. The initial revolving line of credit is up to $20 million, with the ability for Cumberland to increase the amount to $25 million, under certain conditions. It has a three year term expiring on October 1, 2026. The interest rate is based on Benchmark (Term SOFR) plus a spread of 2.75%. Cumberland is subject to one financial covenant, the maintenance of a Funded Debt Ratio, determined on a quarterly basis. Borrowings under the line of credit are collateralized by substantially all of our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6, 2024, the Company entered into a First Amendment to the Loan Agreement which provides an alternative to the financial covenant by delivering to the lender a borrowing base certificate and complying with certain borrowing base requirements which set forth a maximum revolver amount equal to the lessor of (a) up to $20 million or (b) the sum of the Company's cash balances and eligible accounts receivable.</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Minimum Product Purchase Requirements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manufacturing and supply agreements do not require minimum annual purchase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Contractual cash obligations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contractual cash obligations as of December 31, 2024:</w:t>
      </w:r>
    </w:p>
    <w:tbl>
      <w:tblPr>
        <w:tblW w:w="10897" w:type="dxa"/>
        <w:jc w:val="left"/>
        <w:tblInd w:w="0" w:type="dxa"/>
        <w:tblLayout w:type="fixed"/>
        <w:tblCellMar>
          <w:top w:w="28" w:type="dxa"/>
          <w:left w:w="28" w:type="dxa"/>
          <w:bottom w:w="28" w:type="dxa"/>
          <w:right w:w="28" w:type="dxa"/>
        </w:tblCellMar>
      </w:tblPr>
      <w:tblGrid>
        <w:gridCol w:w="561"/>
        <w:gridCol w:w="334"/>
        <w:gridCol w:w="336"/>
        <w:gridCol w:w="211"/>
        <w:gridCol w:w="1081"/>
        <w:gridCol w:w="109"/>
        <w:gridCol w:w="109"/>
        <w:gridCol w:w="109"/>
        <w:gridCol w:w="109"/>
        <w:gridCol w:w="211"/>
        <w:gridCol w:w="976"/>
        <w:gridCol w:w="109"/>
        <w:gridCol w:w="109"/>
        <w:gridCol w:w="109"/>
        <w:gridCol w:w="109"/>
        <w:gridCol w:w="211"/>
        <w:gridCol w:w="108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5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by Year</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Contractual obligations</w:t>
            </w:r>
            <w:r>
              <w:rPr>
                <w:rFonts w:ascii="Times New Roman;sans-serif" w:hAnsi="Times New Roman;sans-serif"/>
                <w:b/>
                <w:color w:val="000000"/>
                <w:sz w:val="12"/>
              </w:rPr>
              <w:t>(1)</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2029 and after</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Line of credit</w:t>
            </w:r>
            <w:r>
              <w:rPr>
                <w:rFonts w:ascii="Times New Roman;sans-serif" w:hAnsi="Times New Roman;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15,276,170 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15,276,170 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Estimated interest on debt </w:t>
            </w:r>
            <w:r>
              <w:rPr>
                <w:rFonts w:ascii="Times New Roman;sans-serif" w:hAnsi="Times New Roman;sans-serif"/>
                <w:b w:val="false"/>
                <w:color w:val="000000"/>
                <w:sz w:val="13"/>
              </w:rPr>
              <w:t>(2)</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1,904,747 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1,088,427 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816,320 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Vibativ contingent consideration liability payments </w:t>
            </w:r>
            <w:r>
              <w:rPr>
                <w:rFonts w:ascii="Times New Roman;sans-serif" w:hAnsi="Times New Roman;sans-serif"/>
                <w:b w:val="false"/>
                <w:color w:val="000000"/>
                <w:sz w:val="13"/>
              </w:rPr>
              <w:t>(3)</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Sancuso contingent consideration liability payments </w:t>
            </w:r>
            <w:r>
              <w:rPr>
                <w:rFonts w:ascii="Times New Roman;sans-serif" w:hAnsi="Times New Roman;sans-serif"/>
                <w:b w:val="false"/>
                <w:color w:val="000000"/>
                <w:sz w:val="13"/>
              </w:rPr>
              <w:t>(4)</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leases</w:t>
            </w:r>
            <w:r>
              <w:rPr>
                <w:rFonts w:ascii="Times New Roman;sans-serif" w:hAnsi="Times New Roman;sans-serif"/>
                <w:b w:val="false"/>
                <w:color w:val="000000"/>
                <w:sz w:val="13"/>
              </w:rPr>
              <w:t>(5)</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w:t>
            </w:r>
            <w:r>
              <w:rPr>
                <w:rFonts w:ascii="Times New Roman;sans-serif" w:hAnsi="Times New Roman;sans-serif"/>
                <w:b w:val="false"/>
                <w:color w:val="000000"/>
                <w:sz w:val="13"/>
              </w:rPr>
              <w:t>(1)</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30,208,298 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2,639,110 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17,813,837 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1,772,224 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1,426,898 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6,556,229 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1.The sum of the individual amounts may not agree due to rounding.</w:t>
      </w:r>
    </w:p>
    <w:p>
      <w:pPr>
        <w:pStyle w:val="TextBody"/>
        <w:bidi w:val="0"/>
        <w:spacing w:lineRule="auto" w:line="288" w:before="1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2.The line of credit payments represent the estimated unused line of credit payments and the amount due at maturity. The estimated interest on debt represents the interest on the principal outstanding on the line of credit. These amounts are based on the $15.3 million line of credit assuming the current $15.3 million balance outstanding on December 31, 2024 is consistently outstanding through maturity of October 2026. Interest and unused line of credit payments are due and payable quarterly in arrears. </w:t>
      </w:r>
    </w:p>
    <w:p>
      <w:pPr>
        <w:pStyle w:val="TextBody"/>
        <w:bidi w:val="0"/>
        <w:spacing w:lineRule="auto" w:line="288" w:before="1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3.The contingent consideration liability represents the fair value of the royalty payments of up to 20% of future net sales as part of the Vibativ acquisition.</w:t>
      </w:r>
    </w:p>
    <w:p>
      <w:pPr>
        <w:pStyle w:val="TextBody"/>
        <w:bidi w:val="0"/>
        <w:spacing w:lineRule="auto" w:line="288" w:before="1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4.The contingent consideration liability represents the fair value of the royalty payments of up to 10% of future net sales as part of the Sancuso acquisition.</w:t>
      </w:r>
    </w:p>
    <w:p>
      <w:pPr>
        <w:pStyle w:val="TextBody"/>
        <w:bidi w:val="0"/>
        <w:spacing w:lineRule="auto" w:line="288" w:before="1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5.The Broadwest contractual cash obligation began upon commencement in October 2022 and CET began May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and 2023 we did not engage in any off-balance sheet arrangements.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2016, the FASB issued ASU No. 2016-13, “Financial Instruments-Credit Losses,” which changes the impairment model for most financial assets and certain other instruments. For trade and other receivables, held-to-maturity debt securities, loans and other instruments, companies will be required to use a new forward-looking “expected loss” model that generally will result in the earlier recognition of allowances for losses. For available-for-sale debt securities with unrealized losses, companies will measure credit losses in a manner similar to what they do today, except that the losses will be recognized as allowances rather than as reductions in the amortized cost of the securities. Companies will have to disclose additional information, including information they use to track credit quality by year of origination for most financing receivables. Companies will apply the ASU’s provisions as a cumulative-effect adjustment, if any, to accumulated deficit as of the beginning of the first reporting period in which the guidance is adopted.</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Related to ASU No. 2016-13 discussed above, in May 2019, the FASB issued ASU 2019-05, "Financial Instruments-Credit Losses (Topic 326): Targeted Transition Relief" which provides transition relief for ASU 2016-13 by providing entities with an alternative to irrevocably electing the fair value option for eligible financial assets measured at amortized cost upon adoption of the new credit losses standard. Certain eligibility requirements must be met and the election must be applied on an instrument-by-instrument basis. The election is not available for either available-for-sale or held-to-maturity debt securities. We</w:t>
      </w:r>
      <w:r>
        <w:rPr>
          <w:color w:val="000000"/>
        </w:rPr>
        <w:t xml:space="preserve"> </w:t>
      </w:r>
      <w:r>
        <w:rPr>
          <w:rFonts w:ascii="Times New Roman;sans-serif" w:hAnsi="Times New Roman;sans-serif"/>
          <w:b w:val="false"/>
          <w:color w:val="000000"/>
          <w:sz w:val="20"/>
        </w:rPr>
        <w:t>adopted both ASU 2016-13 and ASU 2019-05 on January 1, 2023. The adoption of ASU 2016-13 and ASU 2019-05 did not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7A. Quantitative and Qualitative Disclosures About Market Risk.</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related to changes in interest rates on our cash on deposit in highly-liquid money market accounts and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 Our investment policy focuses on principal preservation and liquidity.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The Company did not have any investments in marketable securities at December 31, 2024.</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rate risk related to borrowings under our line of credit is based on a benchmark (Term SOFR) plus a spread of 2.75%. As of December 31, 2024, we had $15.3 million in borrowings outstanding under our revolving line of credit.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Exchange Rate Risk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operate primarily in the U.S., we are exposed to foreign currency risk. A portion of our research and development is performed abroad.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losses were immaterial for 2024 and 2023. Neither a five percent increase nor decrease from current exchange rates would have had a material effect on our operating results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8. Financial Statements and Supplementary Data.</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consolidated financial statements, including the reports of the independent registered public accounting firm, starting on page F-1,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both"/>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9. Changes in and Disagreements with Accountants on Accounting and Financial Disclosure.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9A. Controls and Procedures.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Chief Executive Officer and Chief Financial Officer, with the participation of other members of management, have evaluated the effectiveness of our disclosure controls and procedures (as defined in Rules 13a-15(e) and 15d-15(e) under the Securities Exchange Act of 1934, as amended (the "Exchange Act") as of December 31, 2024. Based on such evaluations, our Chief Executive Officer and Chief Financial Officer concluded that, as of such date, our disclosure controls and procedures were effective (at the reasonable assurance level) to ensure that the information required to be disclosed by the Company in the reports that it files or submits under the Exchange Act is recorded, processed, summarized, and reported, within the time periods specified in the SEC’s rules and forms and to ensure that such information is accumulated and communicated to the Company’s management, including its Chief Executive Officer and Chief Financial Officer, as appropriate to allow timely decisions regarding required disclosure.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report on internal control over financial reporting is included on page F-1 of this annual report on Form 10-K, and incorporated herein by reference. During our fourth quarter of 2024, there were no changes in our internal control over financial reporting (as defined in Rule 13a-15(f) or 15d-15(f)) that have materially affected, or are reasonably likely to materially affect, our internal control over financial reporting.</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9B. Other Information.</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(a) Recent Developments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Form 8-K, Item 5.02(e). Compensatory Arrangements of Certain Officers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On March 4, 2025, the Company entered into new employment agreements with each of A.J. Kazimi, our Chief Executive Officer (the “</w:t>
      </w:r>
      <w:r>
        <w:rPr>
          <w:rFonts w:ascii="Times New Roman;sans-serif" w:hAnsi="Times New Roman;sans-serif"/>
          <w:b w:val="false"/>
          <w:color w:val="000000"/>
          <w:sz w:val="20"/>
          <w:u w:val="single"/>
        </w:rPr>
        <w:t>Kazimi Employment Agreement</w:t>
      </w:r>
      <w:r>
        <w:rPr>
          <w:color w:val="000000"/>
        </w:rPr>
        <w:t>”</w:t>
      </w:r>
      <w:r>
        <w:rPr>
          <w:rFonts w:ascii="Times New Roman;sans-serif" w:hAnsi="Times New Roman;sans-serif"/>
          <w:b w:val="false"/>
          <w:color w:val="000000"/>
          <w:sz w:val="20"/>
        </w:rPr>
        <w:t>), Jim Herman, our Vice President Trade and Distribution (the “</w:t>
      </w:r>
      <w:r>
        <w:rPr>
          <w:rFonts w:ascii="Times New Roman;sans-serif" w:hAnsi="Times New Roman;sans-serif"/>
          <w:b w:val="false"/>
          <w:color w:val="000000"/>
          <w:sz w:val="20"/>
          <w:u w:val="single"/>
        </w:rPr>
        <w:t>Herman Employment Agreement</w:t>
      </w:r>
      <w:r>
        <w:rPr>
          <w:color w:val="000000"/>
        </w:rPr>
        <w:t>”</w:t>
      </w:r>
      <w:r>
        <w:rPr>
          <w:rFonts w:ascii="Times New Roman;sans-serif" w:hAnsi="Times New Roman;sans-serif"/>
          <w:b w:val="false"/>
          <w:color w:val="000000"/>
          <w:sz w:val="20"/>
        </w:rPr>
        <w:t>), Todd Anthony, our Vice President Organizational Development (the “Anthony Employment Agreement”), Chris T. Bitterman, Vice President Sales and Marketing (the “Bitterman Employment Agreement”) and John M. Hamm, our Vice President, Chief Financial Officer (the “Hamm</w:t>
      </w:r>
      <w:r>
        <w:rPr>
          <w:color w:val="000000"/>
          <w:u w:val="single"/>
        </w:rPr>
        <w:t xml:space="preserve"> </w:t>
      </w:r>
      <w:r>
        <w:rPr>
          <w:rFonts w:ascii="Times New Roman;sans-serif" w:hAnsi="Times New Roman;sans-serif"/>
          <w:b w:val="false"/>
          <w:color w:val="000000"/>
          <w:sz w:val="20"/>
          <w:u w:val="single"/>
        </w:rPr>
        <w:t>Employment Agreement</w:t>
      </w:r>
      <w:r>
        <w:rPr>
          <w:color w:val="000000"/>
        </w:rPr>
        <w:t>”</w:t>
      </w:r>
      <w:r>
        <w:rPr>
          <w:rFonts w:ascii="Times New Roman;sans-serif" w:hAnsi="Times New Roman;sans-serif"/>
          <w:b w:val="false"/>
          <w:color w:val="000000"/>
          <w:sz w:val="20"/>
        </w:rPr>
        <w:t>), and together with the Kazimi Employment Agreement, the Herman Employment Agreement, the Anthony Employment Agreement, the Bitterman Employment Agreement and the Hamm Employment Agreement, (the “</w:t>
      </w:r>
      <w:r>
        <w:rPr>
          <w:rFonts w:ascii="Times New Roman;sans-serif" w:hAnsi="Times New Roman;sans-serif"/>
          <w:b w:val="false"/>
          <w:color w:val="000000"/>
          <w:sz w:val="20"/>
          <w:u w:val="single"/>
        </w:rPr>
        <w:t>Employment Agreements</w:t>
      </w:r>
      <w:r>
        <w:rPr>
          <w:color w:val="000000"/>
        </w:rPr>
        <w:t>”</w:t>
      </w:r>
      <w:r>
        <w:rPr>
          <w:rFonts w:ascii="Times New Roman;sans-serif" w:hAnsi="Times New Roman;sans-serif"/>
          <w:b w:val="false"/>
          <w:color w:val="000000"/>
          <w:sz w:val="20"/>
        </w:rPr>
        <w:t>). The Employment Agreements were effective as of January 1, 2025.</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Employment Agreements</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Each Employment Agreement provides for a salary for services performed, a potential annual bonus and a grant of restricted incentive stock options pursuant to a restricted stock agreement.</w:t>
      </w:r>
      <w:r>
        <w:rPr>
          <w:color w:val="000000"/>
        </w:rPr>
        <w:t xml:space="preserve"> </w:t>
      </w:r>
      <w:r>
        <w:rPr>
          <w:rFonts w:ascii="Times New Roman;sans-serif" w:hAnsi="Times New Roman;sans-serif"/>
          <w:b w:val="false"/>
          <w:color w:val="000000"/>
          <w:sz w:val="20"/>
        </w:rPr>
        <w:t>Under the terms of each Employment Agreement, employment is at-will and may be terminated by the Company at any time, with or without notice and with or without cause. Similarly, each of Mr. Kazimi, Mr. Herman, Mr. Anthony, Mr. Bitterman, and Mr. Hamm may terminate his respective employment with us at any time, with or without notice. The Employment Agreements do not provide for any severance payments in the event employment is terminated for cause nor any severance benefits in the event employment is terminated as a result of death or permanent disability. The Employment Agreements include non-competition, non-solicitation and non-disclosure covenants on the part of employees. The Employment Agreements impose obligations regarding confidential information and state that any discoveries or improvements conceived, developed or otherwise made by the employees, or with others, are deemed our sole property. The Employment Agreements do not contain any termination or change in control provisions.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Kazimi Employment Agreement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Kazimi Employment Agreement, Mr. Kazimi will serve as the Company’s Chief Executive Officer and will receive a base salary of $730,080.</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Kazimi Employment Agreement is qualified in its entirety by reference to the Kazimi Employment Agreement, which is included as Exhibit 10.11 to this Annual Report on Form 10-K and is incorporated by reference into this Item. The foregoing description of the Kazimi Employment Agreement does not purport to be complete and is qualified in its entirety by reference to such exhibit.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Herman Employment Agreement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Herman Employment Agreement, Mr. Herman will serve as the Company’s Vice President Trade and Distribution and will receive a base salary of $200,000.</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Herman Employment Agreement is qualified in its entirety by reference to the Herman Employment Agreement, which is included as Exhibit 10.12 to this Annual Report on Form 10-K and is incorporated by reference into this Item. The foregoing description of the Herman Employment Agreement does not purport to be complete and is qualified in its entirety by reference to such exhibit.</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Anthony Employment Agreement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Anthony Employment Agreement, Mr. Anthony will serve as the Company’s Vice President Organizational Development and will receive a base salary of $297,570.</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Anthony Employment Agreement is qualified in its entirety by reference to the Anthony Employment Agreement, which is included as Exhibit 10.13 to this Annual Report on Form 10-K and is incorporated by reference into this Item. The foregoing description of the Anthony Employment Agreement does not purport to be complete and is qualified in its entirety by reference to such exhibit.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Bitterman Employment Agreement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Bitterman Employment Agreement, Mr. Bitterman will serve as the Company’s Vice President Sales and Marketing and will receive a base salary of $268,840.</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Bitterman Employment Agreement is qualified in its entirety by reference to the Bitterman Employment Agreement, which is included as Exhibit 10.14 to this Annual Report on Form 10-K and is incorporated by reference into this Item. The foregoing description of the Bitterman Employment Agreement does not purport to be complete and is qualified in its entirety by reference to such exhibit.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Hamm Employment Agreement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Hamm Employment Agreement, Mr. Hamm will serve as the Company’s Vice President, Chief Financial Officer and will receive a base salary of $256,090.</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Hamm Employment Agreement is qualified in its entirety by reference to the Hamm Employment Agreement, which is included as Exhibit 10.15 to this Annual Report on Form 10-K and is incorporated by reference into this Item. The foregoing description of the Hamm Employment Agreement does not purport to be complete and is qualified in its entirety by reference to such exhibit.</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(b) Insider Trading Arrangements and Policies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2024, no “director” or “officer” (as defined in Rule 16a-1(f) under the Exchange Act) of the Company adopted or terminated a “Rule 10b5-1 trading arrangement” or a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pPr>
      <w:r>
        <w:rPr>
          <w:rFonts w:ascii="Times New Roman;sans-serif" w:hAnsi="Times New Roman;sans-serif"/>
          <w:b/>
          <w:color w:val="000000"/>
          <w:sz w:val="20"/>
          <w:u w:val="single"/>
        </w:rPr>
        <w:t>Item 9C:</w:t>
      </w:r>
      <w:r>
        <w:rPr>
          <w:color w:val="000000"/>
          <w:u w:val="single"/>
        </w:rPr>
        <w:t xml:space="preserve"> </w:t>
      </w:r>
      <w:r>
        <w:rPr>
          <w:rFonts w:ascii="Times New Roman;sans-serif" w:hAnsi="Times New Roman;sans-serif"/>
          <w:b/>
          <w:color w:val="000000"/>
          <w:sz w:val="20"/>
          <w:u w:val="single"/>
        </w:rPr>
        <w:t>Disclosure Regarding Foreign Jurisdictions that Prevent Inspections.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called for by Part III of Form 10-K (Item 10 – Directors, Executive Officers and Corporate Governance, Item 11 – Executive Compensation, Item 12 – Security Ownership of Certain Beneficial Owners and Management and Related Stockholder Matters, Item 13 – Certain Relationships and Related Transactions, and Director Independence, Item 14 – Principal Accountant Fees and Services), is incorporated by reference from our proxy statement related to our 2025 annual meeting of shareholders, which is expected to be filed with the SEC on or around March 10,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15. Exhibits, Financial Statement Schedules.</w:t>
      </w:r>
    </w:p>
    <w:p>
      <w:pPr>
        <w:pStyle w:val="TextBody"/>
        <w:bidi w:val="0"/>
        <w:spacing w:lineRule="auto" w:line="288" w:before="160" w:after="283"/>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a.Documents filed as part of this report: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Financial Statements</w:t>
      </w:r>
    </w:p>
    <w:tbl>
      <w:tblPr>
        <w:tblW w:w="10205" w:type="dxa"/>
        <w:jc w:val="left"/>
        <w:tblInd w:w="0" w:type="dxa"/>
        <w:tblLayout w:type="fixed"/>
        <w:tblCellMar>
          <w:top w:w="28" w:type="dxa"/>
          <w:left w:w="28" w:type="dxa"/>
          <w:bottom w:w="28" w:type="dxa"/>
          <w:right w:w="28" w:type="dxa"/>
        </w:tblCellMar>
      </w:tblPr>
      <w:tblGrid>
        <w:gridCol w:w="3139"/>
        <w:gridCol w:w="2765"/>
        <w:gridCol w:w="2771"/>
        <w:gridCol w:w="109"/>
        <w:gridCol w:w="109"/>
        <w:gridCol w:w="109"/>
        <w:gridCol w:w="351"/>
        <w:gridCol w:w="351"/>
        <w:gridCol w:w="501"/>
      </w:tblGrid>
      <w:tr>
        <w:trPr/>
        <w:tc>
          <w:tcPr>
            <w:tcW w:w="3139"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Page Number</w:t>
            </w:r>
          </w:p>
        </w:tc>
      </w:tr>
      <w:tr>
        <w:trPr/>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5151bdf0354e2997b8004e987b2949_172">
              <w:r>
                <w:rPr>
                  <w:rStyle w:val="InternetLink"/>
                  <w:rFonts w:ascii="Times New Roman;sans-serif" w:hAnsi="Times New Roman;sans-serif"/>
                  <w:b w:val="false"/>
                  <w:color w:val="0000FF"/>
                  <w:sz w:val="20"/>
                  <w:u w:val="single"/>
                </w:rPr>
                <w:t>Management’s Report on Internal Control over Financial Reporting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3051F2"/>
                <w:sz w:val="20"/>
                <w:u w:val="single"/>
              </w:rPr>
              <w:t>F-</w:t>
            </w:r>
            <w:hyperlink w:anchor="i605151bdf0354e2997b8004e987b2949_172">
              <w:r>
                <w:rPr>
                  <w:rStyle w:val="InternetLink"/>
                  <w:rFonts w:ascii="Times New Roman;sans-serif" w:hAnsi="Times New Roman;sans-serif"/>
                  <w:b w:val="false"/>
                  <w:color w:val="000080"/>
                  <w:sz w:val="20"/>
                  <w:u w:val="single"/>
                </w:rPr>
                <w:t>1</w:t>
              </w:r>
            </w:hyperlink>
          </w:p>
        </w:tc>
      </w:tr>
      <w:tr>
        <w:trPr/>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 - Consolidated Financial Statements - Carr, Riggs &amp; Ingram; Nashville, TN; PCAOB ID: 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5151bdf0354e2997b8004e987b2949_178">
              <w:r>
                <w:rPr>
                  <w:rStyle w:val="InternetLink"/>
                  <w:rFonts w:ascii="Times New Roman;sans-serif" w:hAnsi="Times New Roman;sans-serif"/>
                  <w:b w:val="false"/>
                  <w:color w:val="0000FF"/>
                  <w:sz w:val="20"/>
                  <w:u w:val="single"/>
                </w:rPr>
                <w:t>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3051F2"/>
                <w:sz w:val="20"/>
                <w:u w:val="single"/>
              </w:rPr>
              <w:t>F-</w:t>
            </w:r>
            <w:hyperlink w:anchor="i605151bdf0354e2997b8004e987b2949_178">
              <w:r>
                <w:rPr>
                  <w:rStyle w:val="InternetLink"/>
                  <w:rFonts w:ascii="Times New Roman;sans-serif" w:hAnsi="Times New Roman;sans-serif"/>
                  <w:b w:val="false"/>
                  <w:color w:val="000080"/>
                  <w:sz w:val="20"/>
                  <w:u w:val="single"/>
                </w:rPr>
                <w:t>4</w:t>
              </w:r>
            </w:hyperlink>
          </w:p>
        </w:tc>
      </w:tr>
      <w:tr>
        <w:trPr/>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5151bdf0354e2997b8004e987b2949_181">
              <w:r>
                <w:rPr>
                  <w:rStyle w:val="InternetLink"/>
                  <w:rFonts w:ascii="Times New Roman;sans-serif" w:hAnsi="Times New Roman;sans-serif"/>
                  <w:b w:val="false"/>
                  <w:color w:val="0000FF"/>
                  <w:sz w:val="20"/>
                  <w:u w:val="single"/>
                </w:rPr>
                <w:t>Consolidated Statements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3051F2"/>
                <w:sz w:val="20"/>
                <w:u w:val="single"/>
              </w:rPr>
              <w:t>F-</w:t>
            </w:r>
            <w:hyperlink w:anchor="i605151bdf0354e2997b8004e987b2949_181">
              <w:r>
                <w:rPr>
                  <w:rStyle w:val="InternetLink"/>
                  <w:rFonts w:ascii="Times New Roman;sans-serif" w:hAnsi="Times New Roman;sans-serif"/>
                  <w:b w:val="false"/>
                  <w:color w:val="000080"/>
                  <w:sz w:val="20"/>
                  <w:u w:val="single"/>
                </w:rPr>
                <w:t>5</w:t>
              </w:r>
            </w:hyperlink>
          </w:p>
        </w:tc>
      </w:tr>
      <w:tr>
        <w:trPr/>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5151bdf0354e2997b8004e987b2949_184">
              <w:r>
                <w:rPr>
                  <w:rStyle w:val="InternetLink"/>
                  <w:rFonts w:ascii="Times New Roman;sans-serif" w:hAnsi="Times New Roman;sans-serif"/>
                  <w:b w:val="false"/>
                  <w:color w:val="0000FF"/>
                  <w:sz w:val="20"/>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3051F2"/>
                <w:sz w:val="20"/>
                <w:u w:val="single"/>
              </w:rPr>
              <w:t>F-</w:t>
            </w:r>
            <w:hyperlink w:anchor="i605151bdf0354e2997b8004e987b2949_184">
              <w:r>
                <w:rPr>
                  <w:rStyle w:val="InternetLink"/>
                  <w:rFonts w:ascii="Times New Roman;sans-serif" w:hAnsi="Times New Roman;sans-serif"/>
                  <w:b w:val="false"/>
                  <w:color w:val="000080"/>
                  <w:sz w:val="20"/>
                  <w:u w:val="single"/>
                </w:rPr>
                <w:t>6</w:t>
              </w:r>
            </w:hyperlink>
          </w:p>
        </w:tc>
      </w:tr>
      <w:tr>
        <w:trPr/>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5151bdf0354e2997b8004e987b2949_187">
              <w:r>
                <w:rPr>
                  <w:rStyle w:val="InternetLink"/>
                  <w:rFonts w:ascii="Times New Roman;sans-serif" w:hAnsi="Times New Roman;sans-serif"/>
                  <w:b w:val="false"/>
                  <w:color w:val="0000FF"/>
                  <w:sz w:val="20"/>
                  <w:u w:val="single"/>
                </w:rPr>
                <w:t>Consolidated Statements of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3051F2"/>
                <w:sz w:val="20"/>
                <w:u w:val="single"/>
              </w:rPr>
              <w:t>F-</w:t>
            </w:r>
            <w:hyperlink w:anchor="i605151bdf0354e2997b8004e987b2949_187">
              <w:r>
                <w:rPr>
                  <w:rStyle w:val="InternetLink"/>
                  <w:rFonts w:ascii="Times New Roman;sans-serif" w:hAnsi="Times New Roman;sans-serif"/>
                  <w:b w:val="false"/>
                  <w:color w:val="000080"/>
                  <w:sz w:val="20"/>
                  <w:u w:val="single"/>
                </w:rPr>
                <w:t>8</w:t>
              </w:r>
            </w:hyperlink>
          </w:p>
        </w:tc>
      </w:tr>
      <w:tr>
        <w:trPr/>
        <w:tc>
          <w:tcPr>
            <w:tcW w:w="8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5151bdf0354e2997b8004e987b2949_190">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3051F2"/>
                <w:sz w:val="20"/>
                <w:u w:val="single"/>
              </w:rPr>
              <w:t>F-</w:t>
            </w:r>
            <w:hyperlink w:anchor="i605151bdf0354e2997b8004e987b2949_190">
              <w:r>
                <w:rPr>
                  <w:rStyle w:val="InternetLink"/>
                  <w:rFonts w:ascii="Times New Roman;sans-serif" w:hAnsi="Times New Roman;sans-serif"/>
                  <w:b w:val="false"/>
                  <w:color w:val="000080"/>
                  <w:sz w:val="20"/>
                  <w:u w:val="single"/>
                </w:rPr>
                <w:t>9</w:t>
              </w:r>
            </w:hyperlink>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Financial Statement Schedule</w:t>
      </w:r>
    </w:p>
    <w:tbl>
      <w:tblPr>
        <w:tblW w:w="3867" w:type="dxa"/>
        <w:jc w:val="left"/>
        <w:tblInd w:w="0" w:type="dxa"/>
        <w:tblLayout w:type="fixed"/>
        <w:tblCellMar>
          <w:top w:w="28" w:type="dxa"/>
          <w:left w:w="28" w:type="dxa"/>
          <w:bottom w:w="28" w:type="dxa"/>
          <w:right w:w="28" w:type="dxa"/>
        </w:tblCellMar>
      </w:tblPr>
      <w:tblGrid>
        <w:gridCol w:w="1091"/>
        <w:gridCol w:w="959"/>
        <w:gridCol w:w="965"/>
        <w:gridCol w:w="109"/>
        <w:gridCol w:w="109"/>
        <w:gridCol w:w="109"/>
        <w:gridCol w:w="154"/>
        <w:gridCol w:w="154"/>
        <w:gridCol w:w="217"/>
      </w:tblGrid>
      <w:tr>
        <w:trPr/>
        <w:tc>
          <w:tcPr>
            <w:tcW w:w="10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5151bdf0354e2997b8004e987b2949_253">
              <w:r>
                <w:rPr>
                  <w:rStyle w:val="InternetLink"/>
                  <w:rFonts w:ascii="Times New Roman;sans-serif" w:hAnsi="Times New Roman;sans-serif"/>
                  <w:b w:val="false"/>
                  <w:color w:val="0000FF"/>
                  <w:sz w:val="20"/>
                  <w:u w:val="single"/>
                </w:rPr>
                <w:t>Valuation and Qualifying Accounts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F-</w:t>
            </w:r>
            <w:hyperlink w:anchor="i605151bdf0354e2997b8004e987b2949_253">
              <w:r>
                <w:rPr>
                  <w:rStyle w:val="InternetLink"/>
                  <w:rFonts w:ascii="Times New Roman;sans-serif" w:hAnsi="Times New Roman;sans-serif"/>
                  <w:b w:val="false"/>
                  <w:color w:val="000080"/>
                  <w:sz w:val="20"/>
                  <w:u w:val="single"/>
                </w:rPr>
                <w:t>37</w:t>
              </w:r>
            </w:hyperlink>
          </w:p>
        </w:tc>
      </w:tr>
    </w:tbl>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 Exhibits</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663"/>
        <w:gridCol w:w="2663"/>
        <w:gridCol w:w="3786"/>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8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Exhibit</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Asset Purchase Agreement, dated December 31, 2021, by and between Cumberland Pharmaceuticals Inc. and Kyowa Kirin, Inc., incorporated herein by reference to the corresponding exhibit 2.1 of the Registrant’s Form 8-K (File No. 001- 001-33637) as filed with the SEC on January 6, 2022</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forthamendedcharter.htm">
              <w:r>
                <w:rPr>
                  <w:rStyle w:val="InternetLink"/>
                  <w:rFonts w:ascii="Times New Roman;sans-serif" w:hAnsi="Times New Roman;sans-serif"/>
                  <w:b w:val="false"/>
                  <w:color w:val="0000FF"/>
                  <w:sz w:val="20"/>
                  <w:u w:val="single"/>
                </w:rPr>
                <w:t>Fourth Amended and Restated Charter of Cumberland Pharmaceuticals Inc.</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Second Amended and Restated Bylaws of Cumberland Pharmaceuticals Inc., incorporated herein by reference to the corresponding exhibit to Amendment No. 19 of the Registrant’s Registration Statement on Form S-1 (File No. 333-142535) as filed with the SEC on July 17, 2009</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Specimen Common Stock Certificate of Cumberland Pharmaceuticals Inc., incorporated herein by reference to the corresponding exhibit to Amendment No. 5 of the Registrant’s Registration Statement on Form S-1 (File No. 333-142535) as filed with the SEC on August 6, 2007</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Preferred Stock Terms, Rights, and Provisions, incorporated herein by reference to the corresponding exhibit to Registrant's Registration Statement Form S-3 (File No. 333-221402) as filed with the SEC on December 19, 2017</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20"/>
                  <w:u w:val="single"/>
                </w:rPr>
                <w:t>Form of Senior Indenture, incorporated herein by reference to the corresponding exhibit to Registrant's Registration Statement Form S-3 (File No. 333-221402) as filed with the SEC on November 7, 2017</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20"/>
                  <w:u w:val="single"/>
                </w:rPr>
                <w:t>Form of Subordinated Indenture, incorporated herein by reference to the corresponding exhibit to Registrant's Registration Statement Form S-3 (File No. 333-221402) as filed with the SEC on November 7, 2017</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7"/>
        <w:gridCol w:w="208"/>
        <w:gridCol w:w="215"/>
        <w:gridCol w:w="109"/>
        <w:gridCol w:w="109"/>
        <w:gridCol w:w="109"/>
        <w:gridCol w:w="2715"/>
        <w:gridCol w:w="2694"/>
        <w:gridCol w:w="3809"/>
      </w:tblGrid>
      <w:tr>
        <w:trPr/>
        <w:tc>
          <w:tcPr>
            <w:tcW w:w="2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0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FF"/>
                  <w:sz w:val="20"/>
                  <w:u w:val="single"/>
                </w:rPr>
                <w:t>Form of Option Agreement under 1999 Stock Option Plan of Cumberland Pharmaceuticals Inc., incorporated herein by reference to the corresponding exhibit to the Registrant’s Registration Statement on Form S-1 (File No. 333-142535) as filed with the SEC on May 1, 2007</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ans-serif" w:hAnsi="Times New Roman;sans-serif"/>
                  <w:b w:val="false"/>
                  <w:color w:val="0000FF"/>
                  <w:sz w:val="20"/>
                  <w:u w:val="single"/>
                </w:rPr>
                <w:t>Form of Incentive Stock Option Agreement under the Amended and Restated 2007 Long-Term Incentive Compensation Plan of Cumberland Pharmaceuticals Inc. incorporated herein by reference to the corresponding exhibit to the Registrant’s Annual Report on Form 10-K (File No. 001-33637) as filed with the SEC on March 12, 2013</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ans-serif" w:hAnsi="Times New Roman;sans-serif"/>
                  <w:b w:val="false"/>
                  <w:color w:val="0000FF"/>
                  <w:sz w:val="20"/>
                  <w:u w:val="single"/>
                </w:rPr>
                <w:t>Form of Non-Statutory Stock Option Agreement under the Amended and Restated 2007 Long-Term Incentive Compensation Plan of Cumberland Pharmaceuticals Inc. incorporated herein by reference to the corresponding exhibit to the Registrant’s Annual Report on Form 10-K (File No. 001-33637) as filed with the SEC on March 12, 2013</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ans-serif" w:hAnsi="Times New Roman;sans-serif"/>
                  <w:b w:val="false"/>
                  <w:color w:val="0000FF"/>
                  <w:sz w:val="20"/>
                  <w:u w:val="single"/>
                </w:rPr>
                <w:t>Form of Non-Statutory Stock Option Agreement under the Amended and Restated 2007 Directors’ Compensation Plan of Cumberland Pharmaceuticals Inc. incorporated herein by reference to the corresponding exhibit to the Registrant’s Annual Report on Form 10-K (File No. 001-33637) as filed with the SEC on March 12, 2013</w:t>
              </w:r>
            </w:hyperlink>
          </w:p>
        </w:tc>
      </w:tr>
      <w:tr>
        <w:trPr/>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8" w:type="dxa"/>
            <w:gridSpan w:val="3"/>
            <w:tcBorders/>
            <w:vAlign w:val="center"/>
          </w:tcPr>
          <w:p>
            <w:pPr>
              <w:pStyle w:val="TableContents"/>
              <w:bidi w:val="0"/>
              <w:spacing w:before="0" w:after="283"/>
              <w:jc w:val="left"/>
              <w:rPr>
                <w:sz w:val="4"/>
                <w:szCs w:val="4"/>
              </w:rPr>
            </w:pPr>
            <w:r>
              <w:rPr>
                <w:sz w:val="4"/>
                <w:szCs w:val="4"/>
              </w:rPr>
            </w:r>
          </w:p>
        </w:tc>
      </w:tr>
      <w:tr>
        <w:trPr/>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8" w:type="dxa"/>
            <w:gridSpan w:val="3"/>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ans-serif" w:hAnsi="Times New Roman;sans-serif"/>
                  <w:b w:val="false"/>
                  <w:color w:val="0000FF"/>
                  <w:sz w:val="20"/>
                  <w:u w:val="single"/>
                </w:rPr>
                <w:t>Form of Senior Indenture, incorporated herein by reference to the corresponding exhibit to Registrant's Registration Statement Form S-3 (File No. 333-184091) as filed with the SEC on September 25, 2012.</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ans-serif" w:hAnsi="Times New Roman;sans-serif"/>
                  <w:b w:val="false"/>
                  <w:color w:val="0000FF"/>
                  <w:sz w:val="20"/>
                  <w:u w:val="single"/>
                </w:rPr>
                <w:t>Form of Subordinated Indenture, incorporated herein by reference to the corresponding exhibit to Registrant's Registration Statement Form S-3 (File No. 333-184091) as filed with the SEC on September 25, 2012</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ans-serif" w:hAnsi="Times New Roman;sans-serif"/>
                  <w:b w:val="false"/>
                  <w:color w:val="0000FF"/>
                  <w:sz w:val="20"/>
                  <w:u w:val="single"/>
                </w:rPr>
                <w:t>Description of Cumberland Pharmaceutical's Common Stock</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ans-serif" w:hAnsi="Times New Roman;sans-serif"/>
                  <w:b w:val="false"/>
                  <w:color w:val="0000FF"/>
                  <w:sz w:val="20"/>
                  <w:u w:val="single"/>
                </w:rPr>
                <w:t>Exclusive Distribution Agreement, effective as of July 1, 2010, by and between Cardinal Health 105, Inc. and Cumberland Pharmaceuticals Inc., incorporated herein by reference to the corresponding exhibit of the Registrant’s Current Report on Form 8-K (File No. 001-33637) as filed with the SEC on August 13, 2010</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ans-serif" w:hAnsi="Times New Roman;sans-serif"/>
                  <w:b w:val="false"/>
                  <w:color w:val="0000FF"/>
                  <w:sz w:val="20"/>
                  <w:u w:val="single"/>
                </w:rPr>
                <w:t>First Amendment to Exclusive Distribution Agreement, dated March 31, 2013, by and between Cardinal Health 105, Inc. and Cumberland Pharmaceuticals Inc., incorporated herein by reference to the corresponding exhibit of the Registrant's Current Report on Form 8-K (File No. 001-33637) as filed with the SEC on June 3, 2013</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ans-serif" w:hAnsi="Times New Roman;sans-serif"/>
                  <w:b w:val="false"/>
                  <w:color w:val="0000FF"/>
                  <w:sz w:val="20"/>
                  <w:u w:val="single"/>
                </w:rPr>
                <w:t>License Agreement, dated May 28, 1999, by and between Vanderbilt University and Cumberland Pharmaceuticals Inc., incorporated herein by reference to the corresponding exhibit to Amendment No. 3 of the Registrant’s Registration Statement on Form S-1 (File No. 333-142535) as filed with the SEC on July 11, 2007</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Registrant's Quarterly Report on Form 10-Q (File No. 001-33637) as filed with the SEC on May13, 2022</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11-ajkazimixemployment.htm">
              <w:r>
                <w:rPr>
                  <w:rStyle w:val="InternetLink"/>
                  <w:rFonts w:ascii="Times New Roman;sans-serif" w:hAnsi="Times New Roman;sans-serif"/>
                  <w:b w:val="false"/>
                  <w:color w:val="0000FF"/>
                  <w:sz w:val="20"/>
                  <w:u w:val="single"/>
                </w:rPr>
                <w:t>Employment Agreement dated March 4, 2025, effective as of January 1, 2025, by and between A.J. Kazimi and Cumberland Pharmaceuticals Inc.</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8" w:type="dxa"/>
            <w:gridSpan w:val="3"/>
            <w:tcBorders/>
            <w:vAlign w:val="center"/>
          </w:tcPr>
          <w:p>
            <w:pPr>
              <w:pStyle w:val="TableContents"/>
              <w:bidi w:val="0"/>
              <w:spacing w:before="0" w:after="283"/>
              <w:jc w:val="left"/>
              <w:rPr>
                <w:sz w:val="4"/>
                <w:szCs w:val="4"/>
              </w:rPr>
            </w:pPr>
            <w:r>
              <w:rPr>
                <w:sz w:val="4"/>
                <w:szCs w:val="4"/>
              </w:rPr>
            </w:r>
          </w:p>
        </w:tc>
      </w:tr>
      <w:tr>
        <w:trPr/>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8" w:type="dxa"/>
            <w:gridSpan w:val="3"/>
            <w:tcBorders/>
            <w:vAlign w:val="center"/>
          </w:tcPr>
          <w:p>
            <w:pPr>
              <w:pStyle w:val="TableContents"/>
              <w:bidi w:val="0"/>
              <w:spacing w:before="0" w:after="283"/>
              <w:jc w:val="left"/>
              <w:rPr>
                <w:sz w:val="4"/>
                <w:szCs w:val="4"/>
              </w:rPr>
            </w:pPr>
            <w:r>
              <w:rPr>
                <w:sz w:val="4"/>
                <w:szCs w:val="4"/>
              </w:rPr>
            </w:r>
          </w:p>
        </w:tc>
      </w:tr>
      <w:tr>
        <w:trPr/>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8" w:type="dxa"/>
            <w:gridSpan w:val="3"/>
            <w:tcBorders/>
            <w:vAlign w:val="center"/>
          </w:tcPr>
          <w:p>
            <w:pPr>
              <w:pStyle w:val="TableContents"/>
              <w:bidi w:val="0"/>
              <w:spacing w:before="0" w:after="283"/>
              <w:jc w:val="left"/>
              <w:rPr>
                <w:sz w:val="4"/>
                <w:szCs w:val="4"/>
              </w:rPr>
            </w:pPr>
            <w:r>
              <w:rPr>
                <w:sz w:val="4"/>
                <w:szCs w:val="4"/>
              </w:rPr>
            </w:r>
          </w:p>
        </w:tc>
      </w:tr>
      <w:tr>
        <w:trPr/>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8" w:type="dxa"/>
            <w:gridSpan w:val="3"/>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12-jimhermanxemploymen.htm">
              <w:r>
                <w:rPr>
                  <w:rStyle w:val="InternetLink"/>
                  <w:rFonts w:ascii="Times New Roman;sans-serif" w:hAnsi="Times New Roman;sans-serif"/>
                  <w:b w:val="false"/>
                  <w:color w:val="0000FF"/>
                  <w:sz w:val="20"/>
                  <w:u w:val="single"/>
                </w:rPr>
                <w:t>Employment Agreement dated March 4, 2025, effective as of January 1, 2025, by and between Jim Herman and Cumberland Pharmaceuticals Inc.</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13-toddanthonyxemploym.htm">
              <w:r>
                <w:rPr>
                  <w:rStyle w:val="InternetLink"/>
                  <w:rFonts w:ascii="Times New Roman;sans-serif" w:hAnsi="Times New Roman;sans-serif"/>
                  <w:b w:val="false"/>
                  <w:color w:val="0000FF"/>
                  <w:sz w:val="20"/>
                  <w:u w:val="single"/>
                </w:rPr>
                <w:t>Employment Agreement dated March 4, 2025, effective as of January 1, 2025, by and between Todd Anthony and Cumberland Pharmaceuticals Inc.</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14-chrisbittermanxempl.htm">
              <w:r>
                <w:rPr>
                  <w:rStyle w:val="InternetLink"/>
                  <w:rFonts w:ascii="Times New Roman;sans-serif" w:hAnsi="Times New Roman;sans-serif"/>
                  <w:b w:val="false"/>
                  <w:color w:val="0000FF"/>
                  <w:sz w:val="20"/>
                  <w:u w:val="single"/>
                </w:rPr>
                <w:t>Employment Agreement dated March 4, 2025, effective as of January 1, 2025, by and between Chris Bitterman and Cumberland Pharmaceuticals Inc.</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15-johnhammxemployment.htm">
              <w:r>
                <w:rPr>
                  <w:rStyle w:val="InternetLink"/>
                  <w:rFonts w:ascii="Times New Roman;sans-serif" w:hAnsi="Times New Roman;sans-serif"/>
                  <w:b w:val="false"/>
                  <w:color w:val="0000FF"/>
                  <w:sz w:val="20"/>
                  <w:u w:val="single"/>
                </w:rPr>
                <w:t>Employment Agreement dated March 4, 2025, effective as of January 1, 2025, by and between John M. Hamm and Cumberland Pharmaceuticals Inc.</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ans-serif" w:hAnsi="Times New Roman;sans-serif"/>
                  <w:b w:val="false"/>
                  <w:color w:val="0000FF"/>
                  <w:sz w:val="20"/>
                  <w:u w:val="single"/>
                </w:rPr>
                <w:t>1999 Stock Option Plan of Cumberland Pharmaceuticals Inc., incorporated herein by reference to the corresponding exhibit to the Registrant’s Registration Statement on Form S-1 (File No. 333-142535) as filed with the SEC on May 1, 2007</w:t>
              </w:r>
            </w:hyperlink>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2"/>
        <w:gridCol w:w="195"/>
        <w:gridCol w:w="197"/>
        <w:gridCol w:w="109"/>
        <w:gridCol w:w="109"/>
        <w:gridCol w:w="109"/>
        <w:gridCol w:w="2713"/>
        <w:gridCol w:w="2713"/>
        <w:gridCol w:w="3838"/>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383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ans-serif" w:hAnsi="Times New Roman;sans-serif"/>
                  <w:b w:val="false"/>
                  <w:color w:val="0000FF"/>
                  <w:sz w:val="20"/>
                  <w:u w:val="single"/>
                </w:rPr>
                <w:t xml:space="preserve">Amended and Restated 2007 Long-Term Incentive Compensation Plan of Cumberland Pharmaceuticals Inc., incorporated herein by reference to Appendix A of the Registrant’s Schedule 14A as filed with the SEC on March 12, 2012 and approved by the Registrant's shareholders on April 17, 2012 </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ans-serif" w:hAnsi="Times New Roman;sans-serif"/>
                  <w:b w:val="false"/>
                  <w:color w:val="0000FF"/>
                  <w:sz w:val="20"/>
                  <w:u w:val="single"/>
                </w:rPr>
                <w:t>Amended and Restated 2007 Directors’ Incentive Plan of Cumberland Pharmaceuticals Inc., incorporated herein by reference to Appendix B of the Registrant's Schedule 14A as filed with the SEC on March 12, 2012 and approved by the Registrant's shareholders on April 17, 2012</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ans-serif" w:hAnsi="Times New Roman;sans-serif"/>
                  <w:b w:val="false"/>
                  <w:color w:val="0000FF"/>
                  <w:sz w:val="20"/>
                  <w:u w:val="single"/>
                </w:rPr>
                <w:t>Form of Indemnification Agreement between Cumberland Pharmaceuticals Inc. and all members of its Board of Directors, incorporated herein by reference to the corresponding exhibit to the Registrant’s Registration Statement on Form S-1 (File No. 333-142535) as filed with the SEC on May 1, 2007</w:t>
              </w:r>
            </w:hyperlink>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ans-serif" w:hAnsi="Times New Roman;sans-serif"/>
                  <w:b w:val="false"/>
                  <w:color w:val="0000FF"/>
                  <w:sz w:val="20"/>
                  <w:u w:val="single"/>
                </w:rPr>
                <w:t>Amended and Restated Lease Agreement, dated November 11, 2004, by and between The Gateway to Nashville LLC and Cumberland Emerging Technologies, Inc., incorporated herein by reference to the corresponding exhibit to the Registrant’s Registration Statement on Form S-1 (File No. 333-142535) as filed with the SEC on May 1, 2007</w:t>
              </w:r>
            </w:hyperlink>
          </w:p>
        </w:tc>
      </w:tr>
    </w:tbl>
    <w:tbl>
      <w:tblPr>
        <w:tblW w:w="10205" w:type="dxa"/>
        <w:jc w:val="left"/>
        <w:tblInd w:w="0" w:type="dxa"/>
        <w:tblLayout w:type="fixed"/>
        <w:tblCellMar>
          <w:top w:w="28" w:type="dxa"/>
          <w:left w:w="28" w:type="dxa"/>
          <w:bottom w:w="28" w:type="dxa"/>
          <w:right w:w="28" w:type="dxa"/>
        </w:tblCellMar>
      </w:tblPr>
      <w:tblGrid>
        <w:gridCol w:w="275"/>
        <w:gridCol w:w="241"/>
        <w:gridCol w:w="245"/>
        <w:gridCol w:w="109"/>
        <w:gridCol w:w="109"/>
        <w:gridCol w:w="109"/>
        <w:gridCol w:w="2988"/>
        <w:gridCol w:w="2874"/>
        <w:gridCol w:w="2881"/>
        <w:gridCol w:w="109"/>
        <w:gridCol w:w="109"/>
        <w:gridCol w:w="156"/>
      </w:tblGrid>
      <w:tr>
        <w:trPr/>
        <w:tc>
          <w:tcPr>
            <w:tcW w:w="2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ans-serif" w:hAnsi="Times New Roman;sans-serif"/>
                  <w:b w:val="false"/>
                  <w:color w:val="0000FF"/>
                  <w:sz w:val="20"/>
                  <w:u w:val="single"/>
                </w:rPr>
                <w:t>First Amendment to Amended and Restated Lease Agreement, dated August 23, 2005, by and between The Gateway to Nashville LLC and Cumberland Emerging Technologies, Inc., incorporated herein by reference to the corresponding exhibit to the Registrant’s Registration Statement on Form S-1 (File No. 333-142535) as filed with the SEC on May 1, 2007</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ans-serif" w:hAnsi="Times New Roman;sans-serif"/>
                  <w:b w:val="false"/>
                  <w:color w:val="0000FF"/>
                  <w:sz w:val="20"/>
                  <w:u w:val="single"/>
                </w:rPr>
                <w:t>Second Amendment to Amended and Restated Lease Agreement, dated January 9, 2006, by and between The Gateway to Nashville LLC and Cumberland Emerging Technologies, Inc., incorporated herein by reference to the corresponding exhibit to Amendment No. 10 of the Registrant’s Registration Statement on Form S-1 (File No. 333-142535) as filed with the SEC on May 21, 2008</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ans-serif" w:hAnsi="Times New Roman;sans-serif"/>
                  <w:b w:val="false"/>
                  <w:color w:val="0000FF"/>
                  <w:sz w:val="20"/>
                  <w:u w:val="single"/>
                </w:rPr>
                <w:t>Third Amendment to Amended and Restated Lease Agreement, dated July 3, 2012, by and between The Gateway to Nashville LLC and Cumberland Emerging Technologies, Inc., incorporated herein by reference to the corresponding exhibit to the Registrant's Quarterly Report on Form 10-Q (File No. 001-33637) as filed with the SEC on August 9, 2012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3"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ans-serif" w:hAnsi="Times New Roman;sans-serif"/>
                  <w:b w:val="false"/>
                  <w:color w:val="0000FF"/>
                  <w:sz w:val="20"/>
                  <w:u w:val="single"/>
                </w:rPr>
                <w:t>Asset Purchase and Royalty Agreement for Kristalose dated November 15, 2011 by and between Mylan Inc. and Cumberland Pharmaceuticals Inc., incorporated herein by reference to the corresponding exhibit of the Registrant’s Current Report on Form 8-K (File No. 001-33637) as filed with the SEC on November 22, 2011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ans-serif" w:hAnsi="Times New Roman;sans-serif"/>
                  <w:b w:val="false"/>
                  <w:color w:val="0000FF"/>
                  <w:sz w:val="20"/>
                  <w:u w:val="single"/>
                </w:rPr>
                <w:t>Supplemental Executive Retirement and Savings Plan, incorporated herein by reference to the corresponding exhibit to the Registrant's Current Report on Form 8-K (File No. 001-33637) as filed with the SEC on May 24, 2012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ans-serif" w:hAnsi="Times New Roman;sans-serif"/>
                  <w:b w:val="false"/>
                  <w:color w:val="0000FF"/>
                  <w:sz w:val="20"/>
                  <w:u w:val="single"/>
                </w:rPr>
                <w:t>Settlement Agreement, dated November 9, 2012, by and between Cumberland Pharmaceuticals Inc., Paddock Laboratories, LLC and Perrigo Company incorporated herein by reference to the corresponding exhibit to the Registrant’s Annual Report on Form 10-K (File No. 001-33637) as filed with the SEC on March 12, 2013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ans-serif" w:hAnsi="Times New Roman;sans-serif"/>
                  <w:b w:val="false"/>
                  <w:color w:val="0000FF"/>
                  <w:sz w:val="20"/>
                  <w:u w:val="single"/>
                </w:rPr>
                <w:t>License and Supply Agreement, dated November 9, 2012, by and between Cumberland Pharmaceuticals Inc., Paddock Laboratories, LLC and Perrigo Company incorporated herein by reference to the corresponding exhibit to the Registrant’s Annual Report on Form 10-K (File No. 001-33637) as filed with the SEC on March 12, 2013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ans-serif" w:hAnsi="Times New Roman;sans-serif"/>
                  <w:b w:val="false"/>
                  <w:color w:val="0000FF"/>
                  <w:sz w:val="20"/>
                  <w:u w:val="single"/>
                </w:rPr>
                <w:t>Amendment Number 2 to the Amended and Restated 2007 Long-Term Incentive Plan, incorporated herein by reference to Exhibit 10.1 of the Registrant’s Quarterly Report on Form 10-Q (File No. 001-33637) as filed with the SEC on August 14, 2020</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ans-serif" w:hAnsi="Times New Roman;sans-serif"/>
                  <w:b w:val="false"/>
                  <w:color w:val="0000FF"/>
                  <w:sz w:val="20"/>
                  <w:u w:val="single"/>
                </w:rPr>
                <w:t>Amendment Number 2 to the Amended and Restated 2007 Directors’ Incentive Compensation Plan, incorporated herein by reference to Exhibit 10.2 of the Registrant’s Quarterly Report on Form 10-Q (File No. 001-33637) as filed with the SEC on August 14, 2020</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971"/>
        <w:gridCol w:w="2971"/>
        <w:gridCol w:w="2977"/>
        <w:gridCol w:w="109"/>
        <w:gridCol w:w="109"/>
        <w:gridCol w:w="155"/>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ans-serif" w:hAnsi="Times New Roman;sans-serif"/>
                  <w:b w:val="false"/>
                  <w:color w:val="0000FF"/>
                  <w:sz w:val="20"/>
                  <w:u w:val="single"/>
                </w:rPr>
                <w:t>Lease Agreement, dated November 15, 2021, by and between Cumberland Pharmaceuticals Inc. and 1600 West End Avenue Partners, LLC., incorporated herein by reference to the corresponding exhibit of the Registrant’s Annual Report on Form 10-K (File No. 001-33637) as filed with the SEC on March 11, 2022</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ans-serif" w:hAnsi="Times New Roman;sans-serif"/>
                  <w:b w:val="false"/>
                  <w:color w:val="0000FF"/>
                  <w:sz w:val="20"/>
                  <w:u w:val="single"/>
                </w:rPr>
                <w:t>Amendment Number 3 to the Amended and Restated 2007 Long-Term Incentive Compensation Plan, incorporated herein by reference to Exhibit 10.1 of the Company’s Quarterly Report on Form 10-Q (File No.: 001-33637) as filed with the SEC on August 11, 2023</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ans-serif" w:hAnsi="Times New Roman;sans-serif"/>
                  <w:b w:val="false"/>
                  <w:color w:val="0000FF"/>
                  <w:sz w:val="20"/>
                  <w:u w:val="single"/>
                </w:rPr>
                <w:t>Sales Agreement, dated March 20, 2024, by and between Cumberland Pharmaceuticals Inc. and H.C. Wainwright &amp; Co., LLC, incorporated herein by reference to Exhibit 1.1 of the Company’s Form 8-K (File No:001-33637) as filed with the SEC on March 20, 2024</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ans-serif" w:hAnsi="Times New Roman;sans-serif"/>
                  <w:b w:val="false"/>
                  <w:color w:val="0000FF"/>
                  <w:sz w:val="20"/>
                  <w:u w:val="single"/>
                </w:rPr>
                <w:t>Revolving Credit Loan Agreement, dated as of September 5, 2023, by and between Cumberland Pharmaceuticals Inc. and Pinnacle Bank, incorporated herein by reference to Exhibit 10.1 of the Company’s Form 8-K (File No.: 001-33637) as filed with the SEC on September 6, 2023</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ans-serif" w:hAnsi="Times New Roman;sans-serif"/>
                  <w:b w:val="false"/>
                  <w:color w:val="0000FF"/>
                  <w:sz w:val="20"/>
                  <w:u w:val="single"/>
                </w:rPr>
                <w:t>First Amendment to Amended and Restated Revolving Credit Loan Agreement, dated March 31, 2024, by and between Cumberland Pharmaceuticals Inc. and Pinnacle Bank, incorporated herein by reference to Exhibit 10.6 of the Company's Quarterly Report on Form 10-Q (File No. 001-33637)) as filed with the SEC on May 10, 2024</w:t>
              </w:r>
            </w:hyperlink>
          </w:p>
          <w:p>
            <w:pPr>
              <w:pStyle w:val="TableContents"/>
              <w:bidi w:val="0"/>
              <w:spacing w:before="0" w:after="0"/>
              <w:jc w:val="both"/>
              <w:rPr/>
            </w:pPr>
            <w:r>
              <w:rPr/>
            </w:r>
          </w:p>
          <w:p>
            <w:pPr>
              <w:pStyle w:val="TableContents"/>
              <w:bidi w:val="0"/>
              <w:spacing w:before="0" w:after="0"/>
              <w:jc w:val="both"/>
              <w:rPr/>
            </w:pPr>
            <w:r>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49"/>
        <w:gridCol w:w="204"/>
        <w:gridCol w:w="205"/>
        <w:gridCol w:w="109"/>
        <w:gridCol w:w="109"/>
        <w:gridCol w:w="109"/>
        <w:gridCol w:w="2875"/>
        <w:gridCol w:w="2620"/>
        <w:gridCol w:w="3725"/>
      </w:tblGrid>
      <w:tr>
        <w:trPr/>
        <w:tc>
          <w:tcPr>
            <w:tcW w:w="2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ans-serif" w:hAnsi="Times New Roman;sans-serif"/>
                  <w:b w:val="false"/>
                  <w:color w:val="0000FF"/>
                  <w:sz w:val="20"/>
                  <w:u w:val="single"/>
                </w:rPr>
                <w:t>Letter to the SEC from FORVIS, LLP, incorporated herein by reference to Exhibit 16.1 of the Company’s Current Report on Form 8-K (File No. 001-33637) as filed with the SEC on May 24, 2023</w:t>
              </w:r>
            </w:hyperlink>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9-insidertradingpolicy.htm">
              <w:r>
                <w:rPr>
                  <w:rStyle w:val="InternetLink"/>
                  <w:rFonts w:ascii="Times New Roman;sans-serif" w:hAnsi="Times New Roman;sans-serif"/>
                  <w:b w:val="false"/>
                  <w:color w:val="0000FF"/>
                  <w:sz w:val="20"/>
                  <w:u w:val="single"/>
                </w:rPr>
                <w:t>Insider Trading Policy</w:t>
              </w:r>
            </w:hyperlink>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ans-serif" w:hAnsi="Times New Roman;sans-serif"/>
                  <w:b w:val="false"/>
                  <w:color w:val="0000FF"/>
                  <w:sz w:val="20"/>
                  <w:u w:val="single"/>
                </w:rPr>
                <w:t>Subsidiaries of Cumberland Pharmaceuticals Inc., incorporated herein by reference to the corresponding exhibit to the Registrant’s Registration Statement on Form S-1 (File No. 333-142535) as filed with the SEC on May 1, 2007</w:t>
              </w:r>
            </w:hyperlink>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312024consentofaccountin.htm">
              <w:r>
                <w:rPr>
                  <w:rStyle w:val="InternetLink"/>
                  <w:rFonts w:ascii="Times New Roman;sans-serif" w:hAnsi="Times New Roman;sans-serif"/>
                  <w:b w:val="false"/>
                  <w:color w:val="0000FF"/>
                  <w:sz w:val="20"/>
                  <w:u w:val="single"/>
                </w:rPr>
                <w:t>Consent of Carr, Riggs &amp; Ingram, LLC</w:t>
              </w:r>
            </w:hyperlink>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4-10kxexhibit311.htm">
              <w:r>
                <w:rPr>
                  <w:rStyle w:val="InternetLink"/>
                  <w:rFonts w:ascii="Times New Roman;sans-serif" w:hAnsi="Times New Roman;sans-serif"/>
                  <w:b w:val="false"/>
                  <w:color w:val="0000FF"/>
                  <w:sz w:val="20"/>
                  <w:u w:val="single"/>
                </w:rPr>
                <w:t>Certification of Chief Executive Officer Pursuant to Rule 13-14(a) of the Securities Exchange Act of 1934 as Adopted Pursuant to Section 302 of the Sarbanes-Oxley Act of 2002</w:t>
              </w:r>
            </w:hyperlink>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4-10kxexhibit312.htm">
              <w:r>
                <w:rPr>
                  <w:rStyle w:val="InternetLink"/>
                  <w:rFonts w:ascii="Times New Roman;sans-serif" w:hAnsi="Times New Roman;sans-serif"/>
                  <w:b w:val="false"/>
                  <w:color w:val="0000FF"/>
                  <w:sz w:val="20"/>
                  <w:u w:val="single"/>
                </w:rPr>
                <w:t>Certification of Chief Financial Officer Pursuant to Rule 13-14(a) of the Securities Exchange Act of 1934 as Adopted Pursuant to Section 302 of the Sarbanes-Oxley Act of 2002</w:t>
              </w:r>
            </w:hyperlink>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4-10kxexhibit321.htm">
              <w:r>
                <w:rPr>
                  <w:rStyle w:val="InternetLink"/>
                  <w:rFonts w:ascii="Times New Roman;sans-serif" w:hAnsi="Times New Roman;sans-serif"/>
                  <w:b w:val="false"/>
                  <w:color w:val="0000FF"/>
                  <w:sz w:val="20"/>
                  <w:u w:val="single"/>
                </w:rPr>
                <w:t>Certification of Chief Financial Officer Pursuant to Rule 13-14(a) of the Securities Exchange Act of 1934 as Adopted Pursuant to Section 302 of the Sarbanes-Oxley Act of 2002</w:t>
              </w:r>
            </w:hyperlink>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ans-serif" w:hAnsi="Times New Roman;sans-serif"/>
                  <w:b w:val="false"/>
                  <w:color w:val="0000FF"/>
                  <w:sz w:val="20"/>
                  <w:u w:val="single"/>
                </w:rPr>
                <w:t>Policy for the Recovery of Previously Awarded Incentive Compensation, incorporated herein by reference to the corresponding exhibit of the Registrant’s Annual Report on Form 10-K (File No. 001-33637) as filed with the SEC on March 13, 2024</w:t>
              </w:r>
            </w:hyperlink>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tbl>
      <w:tblPr>
        <w:tblW w:w="8381" w:type="dxa"/>
        <w:jc w:val="left"/>
        <w:tblInd w:w="0" w:type="dxa"/>
        <w:tblLayout w:type="fixed"/>
        <w:tblCellMar>
          <w:top w:w="28" w:type="dxa"/>
          <w:left w:w="28" w:type="dxa"/>
          <w:bottom w:w="28" w:type="dxa"/>
          <w:right w:w="28" w:type="dxa"/>
        </w:tblCellMar>
      </w:tblPr>
      <w:tblGrid>
        <w:gridCol w:w="304"/>
        <w:gridCol w:w="267"/>
        <w:gridCol w:w="269"/>
        <w:gridCol w:w="109"/>
        <w:gridCol w:w="109"/>
        <w:gridCol w:w="109"/>
        <w:gridCol w:w="2110"/>
        <w:gridCol w:w="2110"/>
        <w:gridCol w:w="299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tbl>
      <w:tblPr>
        <w:tblW w:w="10205" w:type="dxa"/>
        <w:jc w:val="left"/>
        <w:tblInd w:w="0" w:type="dxa"/>
        <w:tblLayout w:type="fixed"/>
        <w:tblCellMar>
          <w:top w:w="28" w:type="dxa"/>
          <w:left w:w="28" w:type="dxa"/>
          <w:bottom w:w="28" w:type="dxa"/>
          <w:right w:w="28" w:type="dxa"/>
        </w:tblCellMar>
      </w:tblPr>
      <w:tblGrid>
        <w:gridCol w:w="125"/>
        <w:gridCol w:w="110"/>
        <w:gridCol w:w="110"/>
        <w:gridCol w:w="109"/>
        <w:gridCol w:w="109"/>
        <w:gridCol w:w="109"/>
        <w:gridCol w:w="2851"/>
        <w:gridCol w:w="2764"/>
        <w:gridCol w:w="3918"/>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Indicates a management contract or compensatory plan.</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Confidential treatment has been granted for portions of this exhibit. These portions have been omitted from the Registration Statement and submitted separately to the Securities and Exchange Commission.</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Confidential treatment has been requested for portions of this exhibit. These portions have been omitted from the Registration Statement and submitted separately to the Securities and Exchange Commission.</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Schedules have been omitted pursuant to Item 601(b)(2) of Regulation S-K. A copy of any omitted schedule will be furnished supplementally to the U.S. Securities and Exchange Commission upon request, provided, however, that the parties may request confidential treatment pursuant to Rule 24b-2 of the Securities Exchange Act of 1934, as amended for any document so furnished.</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Furnished herewith. </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Item 16. Form 10-K Summary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Registrants may voluntarily include a summary of information required by Form 10-K under this Item 16. The Company has elected not to include such summary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 on March 7, 2025.</w:t>
      </w:r>
    </w:p>
    <w:tbl>
      <w:tblPr>
        <w:tblW w:w="383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903"/>
        <w:gridCol w:w="903"/>
        <w:gridCol w:w="12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Cumberland Pharmaceuticals,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A. J. Kazimi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J. Kazimi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7628" w:type="dxa"/>
        <w:jc w:val="left"/>
        <w:tblInd w:w="0" w:type="dxa"/>
        <w:tblLayout w:type="fixed"/>
        <w:tblCellMar>
          <w:top w:w="28" w:type="dxa"/>
          <w:left w:w="28" w:type="dxa"/>
          <w:bottom w:w="28" w:type="dxa"/>
          <w:right w:w="28" w:type="dxa"/>
        </w:tblCellMar>
      </w:tblPr>
      <w:tblGrid>
        <w:gridCol w:w="753"/>
        <w:gridCol w:w="664"/>
        <w:gridCol w:w="668"/>
        <w:gridCol w:w="109"/>
        <w:gridCol w:w="109"/>
        <w:gridCol w:w="109"/>
        <w:gridCol w:w="1179"/>
        <w:gridCol w:w="1179"/>
        <w:gridCol w:w="1196"/>
        <w:gridCol w:w="109"/>
        <w:gridCol w:w="109"/>
        <w:gridCol w:w="109"/>
        <w:gridCol w:w="389"/>
        <w:gridCol w:w="389"/>
        <w:gridCol w:w="557"/>
      </w:tblGrid>
      <w:tr>
        <w:trPr/>
        <w:tc>
          <w:tcPr>
            <w:tcW w:w="75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r>
      <w:tr>
        <w:trPr/>
        <w:tc>
          <w:tcPr>
            <w:tcW w:w="2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A. J. Kazimi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J. Kazimi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M. Hamm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M. Hamm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(Principal Financial and</w:t>
            </w:r>
            <w:r>
              <w:rPr>
                <w:color w:val="000000"/>
              </w:rPr>
              <w:t xml:space="preserve"> </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1662" w:type="dxa"/>
            <w:gridSpan w:val="6"/>
            <w:tcBorders/>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Gordon R. Bernard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Gordon R. Bernard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James R.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Caroline R. Young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Caroline R. Young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Kenneth J. Krogulski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Kenneth J. Krogulski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Joseph C. Galante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C. Galante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Martin S. Brown,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Martin S. Brown,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management of Cumberland Pharmaceuticals Inc. and its subsidiaries (the "Company") is responsible for establishing and maintaining adequate internal control over financial reporting. The Company’s internal control system was designed to provide reasonable assurance to the Company’s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pStyle w:val="TextBody"/>
        <w:bidi w:val="0"/>
        <w:spacing w:lineRule="auto" w:line="288" w:before="160" w:after="283"/>
        <w:jc w:val="both"/>
        <w:rPr/>
      </w:pPr>
      <w:r>
        <w:rPr>
          <w:rFonts w:ascii="Times New Roman;sans-serif" w:hAnsi="Times New Roman;sans-serif"/>
          <w:b w:val="false"/>
          <w:color w:val="000000"/>
          <w:sz w:val="20"/>
        </w:rPr>
        <w:t xml:space="preserve">The Company’s management assessed the effectiveness of the Company’s internal control over financial reporting as of December 31, 2024. In making this assessment, it used the criteria set forth by the Committee of Sponsoring Organizations of the Treadway Commission (COSO) in </w:t>
      </w:r>
      <w:r>
        <w:rPr>
          <w:rFonts w:ascii="Times New Roman;sans-serif" w:hAnsi="Times New Roman;sans-serif"/>
          <w:b w:val="false"/>
          <w:i/>
          <w:color w:val="000000"/>
          <w:sz w:val="20"/>
        </w:rPr>
        <w:t>Internal Control – Integrated Framework (2013)</w:t>
      </w:r>
      <w:r>
        <w:rPr>
          <w:rFonts w:ascii="Times New Roman;sans-serif" w:hAnsi="Times New Roman;sans-serif"/>
          <w:b w:val="false"/>
          <w:color w:val="000000"/>
          <w:sz w:val="20"/>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its assessment, management has concluded that, as of December 31, 2024, the Company’s internal control over financial reporting was effective based on those criteria.</w:t>
      </w:r>
    </w:p>
    <w:tbl>
      <w:tblPr>
        <w:tblW w:w="2084" w:type="dxa"/>
        <w:jc w:val="left"/>
        <w:tblInd w:w="0" w:type="dxa"/>
        <w:tblLayout w:type="fixed"/>
        <w:tblCellMar>
          <w:top w:w="28" w:type="dxa"/>
          <w:left w:w="28" w:type="dxa"/>
          <w:bottom w:w="28" w:type="dxa"/>
          <w:right w:w="28" w:type="dxa"/>
        </w:tblCellMar>
      </w:tblPr>
      <w:tblGrid>
        <w:gridCol w:w="666"/>
        <w:gridCol w:w="586"/>
        <w:gridCol w:w="832"/>
      </w:tblGrid>
      <w:tr>
        <w:trPr/>
        <w:tc>
          <w:tcPr>
            <w:tcW w:w="6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A. J. Kazimi</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J. Kazimi</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7, 2025</w:t>
            </w:r>
          </w:p>
        </w:tc>
      </w:tr>
    </w:tbl>
    <w:tbl>
      <w:tblPr>
        <w:tblW w:w="2024" w:type="dxa"/>
        <w:jc w:val="left"/>
        <w:tblInd w:w="0" w:type="dxa"/>
        <w:tblLayout w:type="fixed"/>
        <w:tblCellMar>
          <w:top w:w="28" w:type="dxa"/>
          <w:left w:w="28" w:type="dxa"/>
          <w:bottom w:w="28" w:type="dxa"/>
          <w:right w:w="28" w:type="dxa"/>
        </w:tblCellMar>
      </w:tblPr>
      <w:tblGrid>
        <w:gridCol w:w="646"/>
        <w:gridCol w:w="569"/>
        <w:gridCol w:w="809"/>
      </w:tblGrid>
      <w:tr>
        <w:trPr/>
        <w:tc>
          <w:tcPr>
            <w:tcW w:w="6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M. Hamm</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M. Hamm</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7, 2025</w:t>
            </w:r>
          </w:p>
        </w:tc>
      </w:tr>
    </w:tbl>
    <w:p>
      <w:pPr>
        <w:pStyle w:val="TextBody"/>
        <w:bidi w:val="0"/>
        <w:spacing w:before="340" w:after="340"/>
        <w:jc w:val="left"/>
        <w:rPr/>
      </w:pPr>
      <w:r>
        <w:rPr/>
      </w:r>
    </w:p>
    <w:p>
      <w:pPr>
        <w:pStyle w:val="TextBody"/>
        <w:bidi w:val="0"/>
        <w:spacing w:before="340" w:after="340"/>
        <w:jc w:val="left"/>
        <w:rPr/>
      </w:pPr>
      <w:r>
        <w:rPr/>
      </w:r>
    </w:p>
    <w:p>
      <w:pPr>
        <w:pStyle w:val="TextBody"/>
        <w:bidi w:val="0"/>
        <w:spacing w:before="340" w:after="340"/>
        <w:jc w:val="left"/>
        <w:rPr/>
      </w:pPr>
      <w:r>
        <w:rPr/>
      </w:r>
    </w:p>
    <w:p>
      <w:pPr>
        <w:pStyle w:val="TextBody"/>
        <w:bidi w:val="0"/>
        <w:spacing w:before="340" w:after="340"/>
        <w:jc w:val="left"/>
        <w:rPr/>
      </w:pPr>
      <w:r>
        <w:rPr/>
      </w:r>
    </w:p>
    <w:p>
      <w:pPr>
        <w:pStyle w:val="TextBody"/>
        <w:bidi w:val="0"/>
        <w:spacing w:before="340" w:after="340"/>
        <w:jc w:val="left"/>
        <w:rPr/>
      </w:pPr>
      <w:r>
        <w:rPr/>
      </w:r>
    </w:p>
    <w:p>
      <w:pPr>
        <w:pStyle w:val="TextBody"/>
        <w:bidi w:val="0"/>
        <w:spacing w:before="340" w:after="340"/>
        <w:jc w:val="left"/>
        <w:rPr/>
      </w:pPr>
      <w:r>
        <w:rPr/>
      </w:r>
    </w:p>
    <w:p>
      <w:pPr>
        <w:pStyle w:val="TextBody"/>
        <w:bidi w:val="0"/>
        <w:spacing w:before="340" w:after="340"/>
        <w:jc w:val="left"/>
        <w:rPr/>
      </w:pPr>
      <w:r>
        <w:rPr/>
      </w:r>
    </w:p>
    <w:p>
      <w:pPr>
        <w:pStyle w:val="TextBody"/>
        <w:bidi w:val="0"/>
        <w:spacing w:before="340" w:after="340"/>
        <w:jc w:val="left"/>
        <w:rPr/>
      </w:pPr>
      <w:r>
        <w:rPr/>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Board of Directors, and Audit Committee of Cumberland Pharmaceuticals Inc.</w:t>
      </w:r>
    </w:p>
    <w:p>
      <w:pPr>
        <w:pStyle w:val="TextBody"/>
        <w:bidi w:val="0"/>
        <w:spacing w:lineRule="auto" w:line="288" w:before="240" w:after="240"/>
        <w:jc w:val="both"/>
        <w:rPr>
          <w:rFonts w:ascii="Times New Roman;sans-serif" w:hAnsi="Times New Roman;sans-serif"/>
          <w:b/>
          <w:i/>
          <w:color w:val="000000"/>
          <w:sz w:val="20"/>
        </w:rPr>
      </w:pPr>
      <w:r>
        <w:rPr>
          <w:rFonts w:ascii="Times New Roman;sans-serif" w:hAnsi="Times New Roman;sans-serif"/>
          <w:b/>
          <w:i/>
          <w:color w:val="000000"/>
          <w:sz w:val="20"/>
        </w:rPr>
        <w:t>Opinion on the Consolidated Financial Statements</w:t>
      </w:r>
    </w:p>
    <w:p>
      <w:pPr>
        <w:pStyle w:val="TextBody"/>
        <w:bidi w:val="0"/>
        <w:spacing w:lineRule="auto" w:line="288" w:before="240" w:after="240"/>
        <w:jc w:val="both"/>
        <w:rPr/>
      </w:pPr>
      <w:r>
        <w:rPr>
          <w:rFonts w:ascii="Times New Roman;sans-serif" w:hAnsi="Times New Roman;sans-serif"/>
          <w:b w:val="false"/>
          <w:color w:val="000000"/>
          <w:sz w:val="20"/>
        </w:rPr>
        <w:t>We have audited the accompanying consolidated balance sheets of Cumberland Pharmaceuticals Inc. and subsidiaries (the "Company") as of December 31, 2024 and 2023, the related consolidated statements of operations, equity, and cash flows for each of the two years in the period ended December 31, 2024, and the related notes and schedule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in conformity with accounting principles generally accepted in the United States of America.</w:t>
      </w:r>
    </w:p>
    <w:p>
      <w:pPr>
        <w:pStyle w:val="TextBody"/>
        <w:bidi w:val="0"/>
        <w:spacing w:lineRule="auto" w:line="288" w:before="240" w:after="240"/>
        <w:jc w:val="both"/>
        <w:rPr>
          <w:rFonts w:ascii="Times New Roman;sans-serif" w:hAnsi="Times New Roman;sans-serif"/>
          <w:b/>
          <w:i/>
          <w:color w:val="000000"/>
          <w:sz w:val="20"/>
        </w:rPr>
      </w:pPr>
      <w:r>
        <w:rPr>
          <w:rFonts w:ascii="Times New Roman;sans-serif" w:hAnsi="Times New Roman;sans-serif"/>
          <w:b/>
          <w:i/>
          <w:color w:val="000000"/>
          <w:sz w:val="20"/>
        </w:rPr>
        <w:t>Basis for Opinion</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4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Critical Audit Matter </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pStyle w:val="TextBody"/>
        <w:bidi w:val="0"/>
        <w:spacing w:lineRule="auto" w:line="288" w:before="24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Customer Allowances for Chargebacks, Discounts and Damaged Goods, and Accruals for Rebates, Coupons, Product Returns, and Certain Fees </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2 to the consolidated financial statements, the allowances against accounts receivable and accrued liabilities for chargebacks, discounts, service fees and expired product returns are determined on a product-by-product basis and established by management as the Company’s best estimate at the time of sale based on each product’s historical experience adjusted to reflect known changes in the factors that impact such allowances. These allowances are established based on the contractual terms with direct and indirect customers and analyses of historical levels of chargebacks, discounts and returns of expired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allowances in accounts receivable for chargebacks, cash discounts, and damaged goods were $1.1 million and the estimated liability for rebates, coupons, product returns, and certain fees were $7.8 million. These provisions are recognized concurrently with the sales of products. Provisions for chargebacks involve estimates of usage by retailers and other indirect buyers with varying contract prices for multiple wholesalers. The provision for chargebacks varies in relation to changes in sales volume, product mix, pricing, and the level of inventory at the wholesalers. Provisions are calculated using historical chargeback experience, and/or expected chargeback levels for new products and anticipated pricing changes. Provisions for rebates are recognized based on contractual obligations in place at the time of sales with consideration given to relevant factors that may affect the payment, as well as historical experience for estimated market activity. Provisions for product returns are calculated based on the expiration dates of products sold, the window where customers are permitted to return products, and the history of returns for individual products in relation to the sales volume for each product.</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the customer allowances for chargebacks, discounts, and damaged goods and accruals for rebates, coupons, product returns, and certain fees as a critical audit matter. The principal consideration for our determination was the significant measurement uncertainty involved in developing the reserves. Management exercises judgment in computing the amount of sales subject to the allowances and tracks the amount of allowances taken over time. All of this in turn led to a high degree of auditor judgment, subjectivity, and effort in performing procedures and evaluating management’s significant assumptions, which includes the assumption that historical activity is a good predictor of future allowance activity and modifications made to calculations based on more recent history.</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procedures we performed to address this critical audit matter included: </w:t>
      </w:r>
    </w:p>
    <w:p>
      <w:pPr>
        <w:pStyle w:val="TextBody"/>
        <w:bidi w:val="0"/>
        <w:spacing w:lineRule="auto" w:line="288" w:before="240" w:after="240"/>
        <w:ind w:left="0" w:right="0" w:hanging="360"/>
        <w:jc w:val="both"/>
        <w:rPr/>
      </w:pPr>
      <w:r>
        <w:rPr>
          <w:color w:val="000000"/>
        </w:rPr>
        <w:t>•</w:t>
      </w:r>
      <w:r>
        <w:rPr>
          <w:rFonts w:ascii="Times New Roman;sans-serif" w:hAnsi="Times New Roman;sans-serif"/>
          <w:b w:val="false"/>
          <w:color w:val="000000"/>
          <w:sz w:val="20"/>
        </w:rPr>
        <w:t xml:space="preserve">Tested management’s process for calculating certain allowances and developed an independent expectation of the reserve balance for the remaining allowances. </w:t>
      </w:r>
    </w:p>
    <w:p>
      <w:pPr>
        <w:pStyle w:val="TextBody"/>
        <w:bidi w:val="0"/>
        <w:spacing w:lineRule="auto" w:line="288" w:before="240" w:after="240"/>
        <w:ind w:left="0" w:right="0" w:hanging="360"/>
        <w:jc w:val="both"/>
        <w:rPr/>
      </w:pPr>
      <w:r>
        <w:rPr>
          <w:color w:val="000000"/>
        </w:rPr>
        <w:t>•</w:t>
      </w:r>
      <w:r>
        <w:rPr>
          <w:rFonts w:ascii="Times New Roman;sans-serif" w:hAnsi="Times New Roman;sans-serif"/>
          <w:b w:val="false"/>
          <w:color w:val="000000"/>
          <w:sz w:val="20"/>
        </w:rPr>
        <w:t>Performed a look back analysis of prior year reserves compared to actual experience in the current year.</w:t>
      </w:r>
    </w:p>
    <w:p>
      <w:pPr>
        <w:pStyle w:val="TextBody"/>
        <w:bidi w:val="0"/>
        <w:spacing w:lineRule="auto" w:line="288" w:before="240" w:after="240"/>
        <w:ind w:left="0" w:right="0" w:hanging="360"/>
        <w:jc w:val="both"/>
        <w:rPr/>
      </w:pPr>
      <w:r>
        <w:rPr>
          <w:color w:val="000000"/>
        </w:rPr>
        <w:t>•</w:t>
      </w:r>
      <w:r>
        <w:rPr>
          <w:rFonts w:ascii="Times New Roman;sans-serif" w:hAnsi="Times New Roman;sans-serif"/>
          <w:b w:val="false"/>
          <w:color w:val="000000"/>
          <w:sz w:val="20"/>
        </w:rPr>
        <w:t>Tested the completeness and accuracy of underlying data used to estimate the accrual by evaluating a service organization from which data was obtained, agreeing sales data used in the calculations to reports that were reconciled to the consolidated financial statements, reconciling various allowance percentages to signed customer contracts, and tracing allowance amounts used by various customers during the year to supporting documentation.</w:t>
      </w:r>
    </w:p>
    <w:p>
      <w:pPr>
        <w:pStyle w:val="TextBody"/>
        <w:bidi w:val="0"/>
        <w:spacing w:lineRule="auto" w:line="288" w:before="240" w:after="240"/>
        <w:ind w:left="0" w:right="0" w:hanging="360"/>
        <w:jc w:val="both"/>
        <w:rPr/>
      </w:pPr>
      <w:r>
        <w:rPr>
          <w:color w:val="000000"/>
        </w:rPr>
        <w:t>•</w:t>
      </w:r>
      <w:r>
        <w:rPr>
          <w:rFonts w:ascii="Times New Roman;sans-serif" w:hAnsi="Times New Roman;sans-serif"/>
          <w:b w:val="false"/>
          <w:color w:val="000000"/>
          <w:sz w:val="20"/>
        </w:rPr>
        <w:t>Evaluated the reasonableness of significant assumptions used by management in the computation of selected allowances, including comparison to historical results and considering recent changes in factors that could influence claims, such as changes in the shelf life of the products.</w:t>
      </w:r>
    </w:p>
    <w:p>
      <w:pPr>
        <w:pStyle w:val="TextBody"/>
        <w:bidi w:val="0"/>
        <w:spacing w:lineRule="auto" w:line="288" w:before="240" w:after="240"/>
        <w:ind w:left="0" w:right="0" w:hanging="360"/>
        <w:jc w:val="both"/>
        <w:rPr/>
      </w:pPr>
      <w:r>
        <w:rPr>
          <w:color w:val="000000"/>
        </w:rPr>
        <w:t>•</w:t>
      </w:r>
      <w:r>
        <w:rPr>
          <w:rFonts w:ascii="Times New Roman;sans-serif" w:hAnsi="Times New Roman;sans-serif"/>
          <w:b w:val="false"/>
          <w:color w:val="000000"/>
          <w:sz w:val="20"/>
        </w:rPr>
        <w:t>Tested the clerical accuracy of individual customer allowances computed by management and agreeing the total of all estimated allowances to the respective accounts on the consolidated financial statements.</w:t>
      </w:r>
    </w:p>
    <w:p>
      <w:pPr>
        <w:pStyle w:val="TextBody"/>
        <w:bidi w:val="0"/>
        <w:spacing w:lineRule="auto" w:line="288" w:before="240" w:after="240"/>
        <w:ind w:left="0" w:right="0" w:hanging="360"/>
        <w:jc w:val="both"/>
        <w:rPr/>
      </w:pPr>
      <w:r>
        <w:rPr>
          <w:color w:val="000000"/>
        </w:rPr>
        <w:t>•</w:t>
      </w:r>
      <w:r>
        <w:rPr>
          <w:rFonts w:ascii="Times New Roman;sans-serif" w:hAnsi="Times New Roman;sans-serif"/>
          <w:b w:val="false"/>
          <w:color w:val="000000"/>
          <w:sz w:val="20"/>
        </w:rPr>
        <w:t xml:space="preserve">Compared actual activity for chargebacks, discounts, and damaged goods and rebates, coupons, product returns, and certain fees reported after December 31, 2024, to estimated reserves and accruals on the December 31, 2024, consolidated balance sheet. </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 Carr, Riggs &amp; Ingram, LLC</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2023.</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Nashville, Tennessee</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March 7, 2025</w:t>
      </w:r>
    </w:p>
    <w:p>
      <w:pPr>
        <w:pStyle w:val="TextBody"/>
        <w:bidi w:val="0"/>
        <w:spacing w:before="24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31, 2024 and 2023 </w:t>
      </w:r>
    </w:p>
    <w:tbl>
      <w:tblPr>
        <w:tblW w:w="10205" w:type="dxa"/>
        <w:jc w:val="center"/>
        <w:tblInd w:w="0" w:type="dxa"/>
        <w:tblLayout w:type="fixed"/>
        <w:tblCellMar>
          <w:top w:w="28" w:type="dxa"/>
          <w:left w:w="28" w:type="dxa"/>
          <w:bottom w:w="28" w:type="dxa"/>
          <w:right w:w="28" w:type="dxa"/>
        </w:tblCellMar>
      </w:tblPr>
      <w:tblGrid>
        <w:gridCol w:w="2591"/>
        <w:gridCol w:w="2070"/>
        <w:gridCol w:w="2042"/>
        <w:gridCol w:w="109"/>
        <w:gridCol w:w="109"/>
        <w:gridCol w:w="109"/>
        <w:gridCol w:w="211"/>
        <w:gridCol w:w="1081"/>
        <w:gridCol w:w="109"/>
        <w:gridCol w:w="109"/>
        <w:gridCol w:w="109"/>
        <w:gridCol w:w="109"/>
        <w:gridCol w:w="211"/>
        <w:gridCol w:w="1081"/>
        <w:gridCol w:w="155"/>
      </w:tblGrid>
      <w:tr>
        <w:trPr/>
        <w:tc>
          <w:tcPr>
            <w:tcW w:w="2591"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17,964,184 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18,321,624 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11,701,466 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9,758,176 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4,609,362 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3,025,248 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36,452,158 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35,714,410 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11,005,499 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12,804,529 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17,973,449 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22,607,918 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6,176,923 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6,674,394 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2,692,921 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75,583,410 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81,776,075 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13,914,266 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14,037,629 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12,250,955 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13,596,528 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31,621,729 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27,982,249 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 - long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10,176,170 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12,784,144 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5,296,247 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6,453,566 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53,037,433 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52,516,206 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6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no par value; 100,000,000 shares authorized; 13,952,624 and 14,121,833 shares issued and outstanding as of December 31, 2024 and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47,091,602 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(23,967,931)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(17,488,161)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22,853,494 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29,603,441 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22,545,977 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29,259,869 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75,583,410 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81,776,075 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accompanying notes to consolidated financial statements.</w:t>
      </w:r>
    </w:p>
    <w:p>
      <w:pPr>
        <w:pStyle w:val="TextBody"/>
        <w:bidi w:val="0"/>
        <w:spacing w:before="0" w:after="160"/>
        <w:jc w:val="center"/>
        <w:rPr/>
      </w:pPr>
      <w:r>
        <w:rPr/>
      </w:r>
    </w:p>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Years ended December 31, 2024 and 2023 </w:t>
      </w:r>
    </w:p>
    <w:tbl>
      <w:tblPr>
        <w:tblW w:w="9306" w:type="dxa"/>
        <w:jc w:val="center"/>
        <w:tblInd w:w="0" w:type="dxa"/>
        <w:tblLayout w:type="fixed"/>
        <w:tblCellMar>
          <w:top w:w="28" w:type="dxa"/>
          <w:left w:w="28" w:type="dxa"/>
          <w:bottom w:w="28" w:type="dxa"/>
          <w:right w:w="28" w:type="dxa"/>
        </w:tblCellMar>
      </w:tblPr>
      <w:tblGrid>
        <w:gridCol w:w="2101"/>
        <w:gridCol w:w="1847"/>
        <w:gridCol w:w="1857"/>
        <w:gridCol w:w="109"/>
        <w:gridCol w:w="109"/>
        <w:gridCol w:w="109"/>
        <w:gridCol w:w="211"/>
        <w:gridCol w:w="1081"/>
        <w:gridCol w:w="109"/>
        <w:gridCol w:w="109"/>
        <w:gridCol w:w="109"/>
        <w:gridCol w:w="109"/>
        <w:gridCol w:w="211"/>
        <w:gridCol w:w="1081"/>
        <w:gridCol w:w="154"/>
      </w:tblGrid>
      <w:tr>
        <w:trPr/>
        <w:tc>
          <w:tcPr>
            <w:tcW w:w="2101"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36,537,704 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37,513,492 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1,330,241 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2,039,015 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37,867,945 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39,552,507 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17,023,023 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18,451,765 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11,126,901 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10,651,915 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and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8,102,648 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44,300,354 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49,107,168 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(6,432,409)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(9,554,661)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334,444 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286,854 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 settlement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475,000 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 gain on insurance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(605,508)</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(667,861)</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(6,466,384)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(6,284,997)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(45,769)</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(6,443,715)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(6,330,766)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 subsidiary attributable to noncontrolling interests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(36,055)</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51,446 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(6,479,770)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(6,279,320)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14,060,272 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14,298,774 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bottom w:val="double" w:sz="8"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14,060,272 </w:t>
            </w:r>
          </w:p>
        </w:tc>
        <w:tc>
          <w:tcPr>
            <w:tcW w:w="109" w:type="dxa"/>
            <w:tcBorders>
              <w:bottom w:val="double" w:sz="8"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bottom w:val="double" w:sz="8"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14,298,774 </w:t>
            </w:r>
          </w:p>
        </w:tc>
        <w:tc>
          <w:tcPr>
            <w:tcW w:w="154" w:type="dxa"/>
            <w:tcBorders>
              <w:bottom w:val="double" w:sz="8"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Statements of Cash Flows </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Years ended December 31, 2024 and 2023 </w:t>
      </w:r>
    </w:p>
    <w:tbl>
      <w:tblPr>
        <w:tblW w:w="10205" w:type="dxa"/>
        <w:jc w:val="center"/>
        <w:tblInd w:w="0" w:type="dxa"/>
        <w:tblLayout w:type="fixed"/>
        <w:tblCellMar>
          <w:top w:w="28" w:type="dxa"/>
          <w:left w:w="28" w:type="dxa"/>
          <w:bottom w:w="28" w:type="dxa"/>
          <w:right w:w="28" w:type="dxa"/>
        </w:tblCellMar>
      </w:tblPr>
      <w:tblGrid>
        <w:gridCol w:w="2389"/>
        <w:gridCol w:w="2045"/>
        <w:gridCol w:w="2051"/>
        <w:gridCol w:w="109"/>
        <w:gridCol w:w="109"/>
        <w:gridCol w:w="109"/>
        <w:gridCol w:w="211"/>
        <w:gridCol w:w="1081"/>
        <w:gridCol w:w="109"/>
        <w:gridCol w:w="109"/>
        <w:gridCol w:w="109"/>
        <w:gridCol w:w="109"/>
        <w:gridCol w:w="211"/>
        <w:gridCol w:w="1081"/>
        <w:gridCol w:w="109"/>
        <w:gridCol w:w="109"/>
        <w:gridCol w:w="155"/>
      </w:tblGrid>
      <w:tr>
        <w:trPr/>
        <w:tc>
          <w:tcPr>
            <w:tcW w:w="238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(6,443,715)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flows provided by (used in) operating activities: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 on intangible assets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3,343,842 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operating lease right-of-use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 of assets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non-cash contingent consideration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(1,460,804)</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(1,253,840)</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cash surrender value of life insurance policies over premiums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insurance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assets and liabilities affecting operating activities: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2,408,397 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(23,143)</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(991,359)</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(1,405,363)</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(153,771)</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(1,131,453)</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intangible assets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(113,253)</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(171,783)</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insurance policy proceeds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57,842 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(105,695)</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on line of credit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38,488,920 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31,475,000 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(35,996,894)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(34,890,856)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made in connection with repurchase of common shares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(579,049)</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(740,533)</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settlement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196,904 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(7,424,472)</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(1,436,346)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year</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18,321,624 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19,757,970 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17,964,184 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Statements of Cash Flows </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Years ended December 31, 2024 and 2023 </w:t>
      </w:r>
    </w:p>
    <w:tbl>
      <w:tblPr>
        <w:tblW w:w="8024" w:type="dxa"/>
        <w:jc w:val="left"/>
        <w:tblInd w:w="0" w:type="dxa"/>
        <w:tblLayout w:type="fixed"/>
        <w:tblCellMar>
          <w:top w:w="28" w:type="dxa"/>
          <w:left w:w="28" w:type="dxa"/>
          <w:bottom w:w="28" w:type="dxa"/>
          <w:right w:w="28" w:type="dxa"/>
        </w:tblCellMar>
      </w:tblPr>
      <w:tblGrid>
        <w:gridCol w:w="1743"/>
        <w:gridCol w:w="1534"/>
        <w:gridCol w:w="1538"/>
        <w:gridCol w:w="109"/>
        <w:gridCol w:w="109"/>
        <w:gridCol w:w="109"/>
        <w:gridCol w:w="211"/>
        <w:gridCol w:w="826"/>
        <w:gridCol w:w="109"/>
        <w:gridCol w:w="109"/>
        <w:gridCol w:w="109"/>
        <w:gridCol w:w="109"/>
        <w:gridCol w:w="211"/>
        <w:gridCol w:w="826"/>
        <w:gridCol w:w="109"/>
        <w:gridCol w:w="109"/>
        <w:gridCol w:w="154"/>
      </w:tblGrid>
      <w:tr>
        <w:trPr/>
        <w:tc>
          <w:tcPr>
            <w:tcW w:w="1743"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 of cash flow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during the year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paid included in measurement of lease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863,320 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804,818 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unpaid invoices for intangible asset 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unpaid invoices for offering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obtained from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Equity</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Years ended December 31, 2024 and 2023 </w:t>
      </w:r>
    </w:p>
    <w:tbl>
      <w:tblPr>
        <w:tblW w:w="10205" w:type="dxa"/>
        <w:jc w:val="left"/>
        <w:tblInd w:w="0" w:type="dxa"/>
        <w:tblLayout w:type="fixed"/>
        <w:tblCellMar>
          <w:top w:w="28" w:type="dxa"/>
          <w:left w:w="28" w:type="dxa"/>
          <w:bottom w:w="28" w:type="dxa"/>
          <w:right w:w="28" w:type="dxa"/>
        </w:tblCellMar>
      </w:tblPr>
      <w:tblGrid>
        <w:gridCol w:w="759"/>
        <w:gridCol w:w="385"/>
        <w:gridCol w:w="388"/>
        <w:gridCol w:w="109"/>
        <w:gridCol w:w="109"/>
        <w:gridCol w:w="109"/>
        <w:gridCol w:w="540"/>
        <w:gridCol w:w="541"/>
        <w:gridCol w:w="196"/>
        <w:gridCol w:w="109"/>
        <w:gridCol w:w="109"/>
        <w:gridCol w:w="109"/>
        <w:gridCol w:w="211"/>
        <w:gridCol w:w="1081"/>
        <w:gridCol w:w="109"/>
        <w:gridCol w:w="109"/>
        <w:gridCol w:w="109"/>
        <w:gridCol w:w="109"/>
        <w:gridCol w:w="215"/>
        <w:gridCol w:w="1134"/>
        <w:gridCol w:w="111"/>
        <w:gridCol w:w="109"/>
        <w:gridCol w:w="109"/>
        <w:gridCol w:w="109"/>
        <w:gridCol w:w="263"/>
        <w:gridCol w:w="1049"/>
        <w:gridCol w:w="137"/>
        <w:gridCol w:w="109"/>
        <w:gridCol w:w="109"/>
        <w:gridCol w:w="109"/>
        <w:gridCol w:w="211"/>
        <w:gridCol w:w="1081"/>
        <w:gridCol w:w="159"/>
      </w:tblGrid>
      <w:tr>
        <w:trPr/>
        <w:tc>
          <w:tcPr>
            <w:tcW w:w="75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Cumberland Pharmaceuticals Inc.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equity</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14,366,616 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47,474,973 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(11,208,841)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(292,126)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35,974,006 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(6,279,320)</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(51,446)</w:t>
            </w:r>
          </w:p>
        </w:tc>
        <w:tc>
          <w:tcPr>
            <w:tcW w:w="13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(6,330,766)</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(402,143)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(748,411)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14,121,833 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47,091,602 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(17,488,161)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(343,572)</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29,259,869 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(6,479,770)</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36,055 </w:t>
            </w:r>
          </w:p>
        </w:tc>
        <w:tc>
          <w:tcPr>
            <w:tcW w:w="13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(6,443,715)</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169,991 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(572,072)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13,952,624 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46,821,425 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(23,967,931)</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(307,517)</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22,545,977 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Notes to Consolidated Financial Statements </w:t>
      </w:r>
    </w:p>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(1) Organization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 (“Cumberland,” the “Company,” or as used in the context of “we,” “us,” or “our”) is a specialty pharmaceutical company focused on the acquisition, development and commercialization of branded prescription products. The Company’s primary target markets are hospital acute care, gastroenterology and oncology. These medical specialties are characterized by relatively concentrated prescriber bases that the Company believes can be penetrated effectively by small, targeted sales forces. Cumberland is dedicated to providing innovative products that improve quality of care for patients and address unmet or poorly met medical needs. The Company promotes its approved products through its hospital, field and oncology sales forces in the United States and is establishing a network of international partners to bring its medicines to patients in their countries.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focuses its resources on maximizing the commercial potential of its products, as well as developing new product candidates, and has both internal development and commercial capabilities. The Company’s products are manufactured by third parties, which are overseen by Cumberland’s quality and manufacturing professionals. The Company works closely with its third-party distribution partners to make its products available in the United States.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build a pipeline of early-stage product candidates, the Company formed a subsidiary, Cumberland Emerging Technologies, Inc. ("CET"), which teams with universities and other research organizations to help advance scientific discoveries from the laboratory to the marketplace.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2019, CET entered into an agreement with HongKong WinHealth Pharma Group Co. Limited ("WinHealth") whereby WinHealth made a $1.0 million investment through the purchase of shares of CET stock. As part of the agreement, WinHealth obtained a board position at CET and the first opportunity to license CET products for the Chinese market. In connection with WinHealth's investment in CET, Cumberland also made an additional $1.0 million investment in CET.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ownership in CET is now 85% while the remaining interest is owned by WinHealth, Vanderbilt University and the Tennessee Technology Development Corporation. The operating results of CET allocated to noncontrolling interests in the consolidated statements of operations was income of $36,055 for the year ended December 31, 2024, and a loss of $51,446 for the year ended December 31, 2023.</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2007, the Company formed a wholly-owned subsidiary, Cumberland Pharma Sales Corp. ("CPSC"). CPSC is the subsidiary that employs the Company's hospital, field and oncology sales force personnel.</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2017, the Company formed the Cumberland Pharma Foundation (the "Foundation") to serve as a vehicle to facilitate the ongoing philanthropic endeavors of Cumberland Pharmaceuticals Inc.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Foundation was formed as a nonprofit corporation designed to qualify as a tax-exempt organization pursuant to Section 501(a) of the Internal Revenue Code. The Foundation’s Board of Directors is comprised of Cumberland Pharmaceuticals executives who are responsible for overseeing the Foundation’s ongoing activities including charitable contributions.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2018, Cumberland provided a grant of 50,000 shares of the Company’s common stock to the Foundation. The shares will address the ongoing financial needs of the Foundation. The organization also plans to hold a portion of the shares for long-term appreciation. The Foundation maintains separate financial statements and its ongoing operations do not impact the financial statements of Cumberland Pharmaceuticals. Initial annual grants by the Foundation have been and are expected to remain consistent with the historic level of contributions made by Cumberland Pharmaceuticals. Since 2019, Cumberland has made annual cash contributions to the Foundation except in the year 2024 where there was no contribution made. In 2023, the Company made a cash contribution of $40,000.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(2) Significant Accounting Policies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of the Company are stated in U.S. dollars and are prepared using U.S. generally accepted accounting principles. These financial statements include the accounts of the Company and its wholly and majority-owned subsidiaries. All significant intercompany transactions and accounts have been eliminated in consolidation.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(3) valuation of contingent consideration liability associated with business combinations and (4) evaluation of continuing utility of intangible assets.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evaluated that our specialty pharmaceutical products compete in similar economic markets and similar circumstances. Substantially all of the Company’s assets are located in the United States. Total revenues are primarily attributable to U.S. customers. Net revenues from customers outside the United States were approximately $2.7 million and $1.1 million for the years ended December 31, 2024 and 2023, respectively.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of financial assets and liabilities is the price the Company would receive to sell an asset or pay to transfer a liability in an orderly transaction with a market participant at the measurement date. The Company’s fair value measurements follow the appropriate rules as well as the fair value hierarchy that prioritizes the information used to develop the measurements. It applies whenever other guidance requires (or permits) assets or liabilities to be measured at fair value and gives the highest priority to unadjusted quoted prices in active markets for identical assets or liabilities (Level 1 measurements) and the lowest priority to unobservable inputs (Level 3 measurements).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fair value hierarchy that prioritizes observable and unobservable inputs used to measure fair value into three broad levels is described below:</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 Quoted prices for identical instruments in active markets.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2 - Quoted prices for similar instruments in active markets; quoted prices for identical or similar instruments in markets that are not active; and model-derived valuations whose inputs are observable or whose significant value drivers are observable by correlation or other means.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3 - Significant inputs to the valuation model are unobservable.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policies and procedures to value instruments using the best and most relevant data available. The following section describes the valuation methodologies we use to measure different financial instruments at fair value on a recurring basis.</w:t>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include cash and cash equivalents, accounts receivable, accounts payable, accrued liabilities, contingent consideration liability and a revolving line of credit. The carrying values for cash and cash equivalents, accounts receivable, accounts payable and accrued liabilities approximate their fair values due to their short-term nature. The revolving line of credit has a variable interest rate, which approximates the current market rate.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contingent consideration liability is a Level 3 fair value measurement that is updated on a recurring basis at each reporting period using a valuation model. Consistent with Level 3 fair value measurements, there are significant inputs to the valuation model that are unobservable.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highly liquid investments with original maturities of three months or less. As of December 31, 2024 and 2023, cash equivalents consist primarily of money market funds. The Company monitors concentration of credit risk with the financial institutions in which it conducts business. The Company has cash deposits which fluctuate in excess of federally insured limits throughout the year.</w:t>
      </w:r>
    </w:p>
    <w:p>
      <w:pPr>
        <w:pStyle w:val="TextBody"/>
        <w:bidi w:val="0"/>
        <w:spacing w:lineRule="auto" w:line="288" w:before="16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are recorded at the invoiced amount. The Company records allowances for amounts that could become uncollectible in the future based on historical experience, as well as amounts related to chargebacks and cash discounts. The Company reviews each customer balance to assess collection status.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the Company’s products are distributed through independent pharmaceutical wholesalers. The allowances against accounts receivable for chargebacks and discounts are determined on a product-by-product basis, and established by management as the Company’s best estimate at the time of sale based on each product’s historical experience adjusted to reflect known changes in the factors that impact such allowances. These allowances are established based on the contractual terms with direct and indirect customers and analyses of historical levels of chargebacks and discounts. The allowances in accounts receivable for chargebacks and cash discounts were $1.1 million and $0.6 million at December 31, 2024 and 2023, respectively.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organizations, such as managed care providers, pharmacy benefit management companies and government agencies, may receive rebates from the Company based on either negotiated contracts to carry the Company’s products or reimbursements for filled prescriptions. In conjunction with recognizing a sale to a wholesaler, revenues are reduced and accrued liabilities are increased by the Company’s estimate of the rebate that may be claimed. Cash discounts are reductions to invoiced amounts offered to customers for payment within a specified period of time from the date of the invoice.</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works closely with third parties to manufacture and package finished goods for sale. Based on the customer relationship with the manufacturer or packager, the Company will either take title to finished goods at the time of shipment or at the time of arrival from the manufacturer. The Company then warehouses such goods until distribution and sale at third party facilities located in the U.S. and international locations. Periodic inventory counts are made by the warehouse teams and by the Company on a regular basis. In addition, the Company re-tests API inventory prior to use to confirm product expiration. Inventories are stated at the lower of cost or net realizable value with cost determined using the first-in, first-out method.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continually evaluates inventories for potential losses due to expired, short-dated or slow-moving inventory by comparing sales history and sales projections to the inventory on hand. When evidence indicates the carrying value of a product may not be recoverable, a charge is recorded to reduce the inventory to its current net realizable value.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Non-current inventories consist of active pharmaceutical ingredients which typically have an extended life and selected finished good products with an extended life longer than one year.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Prepaid and Other Current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 consist of deferred offering costs, prepaid insurance premiums, prepaid consulting services, deposits and annual fees paid to the U.S. Food and Drug Administration ("FDA"). The Company expenses all prepaid and other current asset amounts as used or over the period of benefit primarily on a straight-line basis, as applicable.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2017, the Company filed its Shelf Registration on Form S-3 with the SEC associated with the sale of up to $100 million in corporate securities. The Shelf Registration was declared effective in January 2018. It also included an At the Market ("ATM") feature that allows the Company to sell common shares at market prices. The Company filed an updated Form S-3 with the SEC in December 2020 (the “Prior Registration Statement”), which was declared effective in January 2021.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filed an updated Form S-3 with the SEC on December 14, 2023, which was declared effective on December 26, 2023 (the “Current Registration Statement”). The Company entered into an agreement with H.C. Wainwright &amp; Co., LLC (“H.C. Wainwright”) to establish a new ATM program under the Current Registration Statement. On March 20, 2024, the Company filed a related prospectus supplement in connection with the sale and issuance of shares having an aggregate gross sales price of up to $5.8 million.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recorded deferred offering costs for payments directly related to the current Shelf Registration on Form S-3 that was completed during December 2021 and December 2023. These costs consist of legal and accounting fees that the Company has capitalized. Deferred costs associated with the Shelf Registration will be reclassified to additional paid in capital on a pro-rata basis as the Company completes sales of shares under the Shelf Registration. The Company did not issue any shares under this ATM during the year ended December 31, 2024.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5, 2025, the Company utilized the Sales Agreement with H. C. Wainwright and sold 1,000,000 shares of Cumberland’s common shares. These shares sold at a volume weighted average price of $5.4688 per share for aggregate gross proceeds of $5,468,800.</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14, 2025, the Company increased the maximum aggregate offering amount of the shares of the Company’s common stock issuable under the Sales Agreement with H.C. Wainwright for to up to $10 million and filed a prospectus supplement under the Sales Agreement for that aggregate offering amount.</w:t>
      </w:r>
    </w:p>
    <w:p>
      <w:pPr>
        <w:pStyle w:val="TextBody"/>
        <w:bidi w:val="0"/>
        <w:spacing w:lineRule="auto" w:line="288" w:before="16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including leasehold improvements, are stated at cost. Depreciation is recognized using the straight-line method over the estimated useful lives of the assets. Leasehold improvements are amortized over the shorter of the initial lease term plus renewal options, if reasonably assured, or the remaining useful life of the asset. Upon retirement or disposal of assets, any gain or loss is reflected as a component of operating loss in the consolidated statement of operations. Improvements that extend an asset’s useful life are capitalized. Repairs and maintenance costs are expensed as incurred.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Intangible Assets and Goodwill</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intangible assets and goodwill consist of capitalized costs related to product and license rights, patents, trademarks and goodwill obtained in the Vibativ and Sancuso acquisitions. Goodwill is not amortized for financial reporting purposes, but is subject to impairment analysis at least annually.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acquiring product and license rights are capitalized at fair value at the date of acquisition for products that are approved by the FDA for commercial use. These costs are amortized ratably over the estimated economic life of the product. The economic life is estimated based upon several factors. This includes the term of the license agreement, the patent life or market exclusivity of the product as well as management’s expectations of continued involvement with the product and the assessment of future sales, the future periods under which the product will be sold and the profitability of the product. This estimate is evaluated on a regular basis during the amortization period and adjusted if appropriate. If there are any changes made to the useful life of the product and license rights, the costs associated with such a change, if any, will be capitalized and amortized over the revised useful life.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6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Capitalized patent costs consist of outside legal costs associated with obtaining and protecting patents on products that have been approved for marketing by the FDA. If it becomes probable that a patent will not be issued or a patent has been declared invalid, related costs associated with the patent application are expensed at the time such determination is made. All costs associated with obtaining patents for products that have not been approved for marketing by the FDA are expensed as incurred.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is recognized ratably over the following periods:</w:t>
      </w:r>
    </w:p>
    <w:tbl>
      <w:tblPr>
        <w:tblW w:w="3865" w:type="dxa"/>
        <w:jc w:val="center"/>
        <w:tblInd w:w="0" w:type="dxa"/>
        <w:tblLayout w:type="fixed"/>
        <w:tblCellMar>
          <w:top w:w="28" w:type="dxa"/>
          <w:left w:w="28" w:type="dxa"/>
          <w:bottom w:w="28" w:type="dxa"/>
          <w:right w:w="28" w:type="dxa"/>
        </w:tblCellMar>
      </w:tblPr>
      <w:tblGrid>
        <w:gridCol w:w="456"/>
        <w:gridCol w:w="401"/>
        <w:gridCol w:w="402"/>
        <w:gridCol w:w="109"/>
        <w:gridCol w:w="109"/>
        <w:gridCol w:w="109"/>
        <w:gridCol w:w="666"/>
        <w:gridCol w:w="666"/>
        <w:gridCol w:w="947"/>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economic life</w:t>
            </w:r>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of license agreement</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of patent</w:t>
            </w:r>
          </w:p>
        </w:tc>
      </w:tr>
    </w:tbl>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Trade and Note Receivables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Current Expected Credit Losses (“CECL”) is applicable to all financial assets measured at amortized cost. All financial instruments are evaluated, which principally relates to trade receivables and two notes receivable. CECL requires the measurement of expected credit losses on a collective (pool) basis when similar risk characteristics exist. This may include, either individually or in combination, some of the following characteristics of Accounting Standards Codification ("ASC") 326-20-55-5:</w:t>
      </w:r>
    </w:p>
    <w:p>
      <w:pPr>
        <w:pStyle w:val="TextBody"/>
        <w:bidi w:val="0"/>
        <w:spacing w:lineRule="auto" w:line="288" w:before="160" w:after="283"/>
        <w:jc w:val="both"/>
        <w:rPr/>
      </w:pPr>
      <w:r>
        <w:rPr>
          <w:color w:val="000000"/>
        </w:rPr>
        <w:t>•</w:t>
      </w:r>
      <w:r>
        <w:rPr>
          <w:rFonts w:ascii="Times New Roman;sans-serif" w:hAnsi="Times New Roman;sans-serif"/>
          <w:b w:val="false"/>
          <w:color w:val="000000"/>
          <w:sz w:val="20"/>
        </w:rPr>
        <w:t>Internal or external credit score/rating</w:t>
      </w:r>
    </w:p>
    <w:p>
      <w:pPr>
        <w:pStyle w:val="TextBody"/>
        <w:bidi w:val="0"/>
        <w:spacing w:lineRule="auto" w:line="288" w:before="40" w:after="283"/>
        <w:jc w:val="both"/>
        <w:rPr/>
      </w:pPr>
      <w:r>
        <w:rPr>
          <w:color w:val="000000"/>
        </w:rPr>
        <w:t>•</w:t>
      </w:r>
      <w:r>
        <w:rPr>
          <w:rFonts w:ascii="Times New Roman;sans-serif" w:hAnsi="Times New Roman;sans-serif"/>
          <w:b w:val="false"/>
          <w:color w:val="000000"/>
          <w:sz w:val="20"/>
        </w:rPr>
        <w:t>Risk ratings or classification</w:t>
      </w:r>
    </w:p>
    <w:p>
      <w:pPr>
        <w:pStyle w:val="TextBody"/>
        <w:bidi w:val="0"/>
        <w:spacing w:lineRule="auto" w:line="288" w:before="40" w:after="283"/>
        <w:jc w:val="both"/>
        <w:rPr/>
      </w:pPr>
      <w:r>
        <w:rPr>
          <w:color w:val="000000"/>
        </w:rPr>
        <w:t>•</w:t>
      </w:r>
      <w:r>
        <w:rPr>
          <w:rFonts w:ascii="Times New Roman;sans-serif" w:hAnsi="Times New Roman;sans-serif"/>
          <w:b w:val="false"/>
          <w:color w:val="000000"/>
          <w:sz w:val="20"/>
        </w:rPr>
        <w:t>Financial asset type</w:t>
      </w:r>
    </w:p>
    <w:p>
      <w:pPr>
        <w:pStyle w:val="TextBody"/>
        <w:bidi w:val="0"/>
        <w:spacing w:lineRule="auto" w:line="288" w:before="40" w:after="283"/>
        <w:jc w:val="both"/>
        <w:rPr/>
      </w:pPr>
      <w:r>
        <w:rPr>
          <w:color w:val="000000"/>
        </w:rPr>
        <w:t>•</w:t>
      </w:r>
      <w:r>
        <w:rPr>
          <w:rFonts w:ascii="Times New Roman;sans-serif" w:hAnsi="Times New Roman;sans-serif"/>
          <w:b w:val="false"/>
          <w:color w:val="000000"/>
          <w:sz w:val="20"/>
        </w:rPr>
        <w:t>Size</w:t>
      </w:r>
    </w:p>
    <w:p>
      <w:pPr>
        <w:pStyle w:val="TextBody"/>
        <w:bidi w:val="0"/>
        <w:spacing w:lineRule="auto" w:line="288" w:before="40" w:after="283"/>
        <w:jc w:val="both"/>
        <w:rPr/>
      </w:pPr>
      <w:r>
        <w:rPr>
          <w:color w:val="000000"/>
        </w:rPr>
        <w:t>•</w:t>
      </w:r>
      <w:r>
        <w:rPr>
          <w:rFonts w:ascii="Times New Roman;sans-serif" w:hAnsi="Times New Roman;sans-serif"/>
          <w:b w:val="false"/>
          <w:color w:val="000000"/>
          <w:sz w:val="20"/>
        </w:rPr>
        <w:t>Effective interest rate</w:t>
      </w:r>
    </w:p>
    <w:p>
      <w:pPr>
        <w:pStyle w:val="TextBody"/>
        <w:bidi w:val="0"/>
        <w:spacing w:lineRule="auto" w:line="288" w:before="40" w:after="283"/>
        <w:jc w:val="both"/>
        <w:rPr/>
      </w:pPr>
      <w:r>
        <w:rPr>
          <w:color w:val="000000"/>
        </w:rPr>
        <w:t>•</w:t>
      </w:r>
      <w:r>
        <w:rPr>
          <w:rFonts w:ascii="Times New Roman;sans-serif" w:hAnsi="Times New Roman;sans-serif"/>
          <w:b w:val="false"/>
          <w:color w:val="000000"/>
          <w:sz w:val="20"/>
        </w:rPr>
        <w:t>Term</w:t>
      </w:r>
    </w:p>
    <w:p>
      <w:pPr>
        <w:pStyle w:val="TextBody"/>
        <w:bidi w:val="0"/>
        <w:spacing w:lineRule="auto" w:line="288" w:before="40" w:after="283"/>
        <w:jc w:val="both"/>
        <w:rPr/>
      </w:pPr>
      <w:r>
        <w:rPr>
          <w:color w:val="000000"/>
        </w:rPr>
        <w:t>•</w:t>
      </w:r>
      <w:r>
        <w:rPr>
          <w:rFonts w:ascii="Times New Roman;sans-serif" w:hAnsi="Times New Roman;sans-serif"/>
          <w:b w:val="false"/>
          <w:color w:val="000000"/>
          <w:sz w:val="20"/>
        </w:rPr>
        <w:t>Geographical location</w:t>
      </w:r>
    </w:p>
    <w:p>
      <w:pPr>
        <w:pStyle w:val="TextBody"/>
        <w:bidi w:val="0"/>
        <w:spacing w:lineRule="auto" w:line="288" w:before="40" w:after="283"/>
        <w:jc w:val="both"/>
        <w:rPr/>
      </w:pPr>
      <w:r>
        <w:rPr>
          <w:color w:val="000000"/>
        </w:rPr>
        <w:t>•</w:t>
      </w:r>
      <w:r>
        <w:rPr>
          <w:rFonts w:ascii="Times New Roman;sans-serif" w:hAnsi="Times New Roman;sans-serif"/>
          <w:b w:val="false"/>
          <w:color w:val="000000"/>
          <w:sz w:val="20"/>
        </w:rPr>
        <w:t>Historical or expected credit loss patterns</w:t>
      </w:r>
    </w:p>
    <w:p>
      <w:pPr>
        <w:pStyle w:val="TextBody"/>
        <w:bidi w:val="0"/>
        <w:spacing w:lineRule="auto" w:line="288" w:before="40" w:after="283"/>
        <w:jc w:val="both"/>
        <w:rPr/>
      </w:pPr>
      <w:r>
        <w:rPr>
          <w:color w:val="000000"/>
        </w:rPr>
        <w:t>•</w:t>
      </w:r>
      <w:r>
        <w:rPr>
          <w:rFonts w:ascii="Times New Roman;sans-serif" w:hAnsi="Times New Roman;sans-serif"/>
          <w:b w:val="false"/>
          <w:color w:val="000000"/>
          <w:sz w:val="20"/>
        </w:rPr>
        <w:t>Reasonable and supportable forecast periods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standard requires entities to pool financial assets but allows them to choose which risk characteristics to use. Under the requirements of the guidance, the Company reassesses at the end of each reporting period whether the pool of assets continue to display similar risk characteristics.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twenty years of experience, Cumberland has experienced virtually no write downs of receivables as most of our receivables are due from large successful pharmaceutical, healthcare or government customers, consistently making payments on account. Although the payment behaviors of all of our customers are consistently reliable, for the sake of transparency, we have separated our customer base into seven separate pools. The Company performs a monthly analysis of aged accounts receivable to determine how much, if any, of the accounts receivable balance should be reserved as potential bad debt. The Company reviews all balances over 90 days past due for a possible reserve and considers any specific factors or information for balances aged under 90 days if there are indicators that the balance should be reserved, such as other aged balances with the customer or bankruptcy as well as any economic issues with a customer, industry or region.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Long-lived assets, such as property and equipment, operating lease right-of-use assets and intangible assets subject to depreciation and amortization, are reviewed for impairment whenever events or changes in circumstances indicate the carrying amount of an asset may not be recoverable. If events or circumstances arise that require a long-lived asset to be tested for potential impairment, the Company first compares undiscounted cash flows expected to be generated by the asset to its carrying value. If the carrying amount of the long-lived asset is not recoverable on an undiscounted cash flow basis, an impairment charge is recognized to the extent that the carrying value exceeds the fair value. Fair value is determined through various valuation techniques including quoted market prices, third-party independent appraisals and discounted cash flow models.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Goodwill and other indefinite lived intangible assets that are not subject to amortization are tested at least annually for impairment. The impairment analysis for goodwill requires a comparison of fair value to the carrying value of the reporting unit. The Company’s goodwill was acquired in November 2018 with the Vibativ acquisition and in January 2022 with the Sancuso acquisition. As a result, the Vibativ and Sancuso components of the Company are the reporting units evaluated for goodwill impairment. Cumberland determined the fair value of the reporting units through current and future estimated revenue and profitability of the product. In 2023, given the delay in identifying a packager for Omeclamox-Pak, the Company took a non-cash write down of the related intangible assets of $3.3 million, which is included in amortization expense in the statement operations. Similarly in 2024, the Company recorded a non-cash write down of $0.4 million related to patent defense cost of our Acetadote product, which is also included in amortization expense in the statement of operations.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Revolving Line of Credit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policy is to classify a debt obligation as current that otherwise meets the conditions of noncurrent classification when both of the following conditions are met: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1.The Company either a) has the ability and intent to repay the obligation within one year after the balance sheet date, or b) repays the obligation after the balance sheet date but before the financial statements are issued.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2.The repayment of the debt is made with assets that were classified as current as of the balance sheet date.</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Joint Venture Agreement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Cumberland entered into an agreement with WinHealth Investment (Singapore) Ltd creating WHC Biopharmaceuticals, Pte. Ltd. The joint venture, as a limited liability company, focuses on acquiring, developing, registering, and commercializing development stage and commercial stage biopharmaceuticals for China, Hong Kong and other Asian markets. The agreement provided for initial investment from WinHealth in the form of a $0.2 million equity contribution and an initial investment from Cumberland in the form of $0.2 million convertible note. The joint venture will seek additional future capital from additional investors and has entered into exclusive option agreements to license intellectual property from both Cumberland Pharmaceuticals Inc. and Cumberland Emerging Technologies.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Net Product Revenue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from product sales are recognized in the amount that reflects the consideration that we expect to receive for these goods. Depending upon the shipping terms of the transaction, the revenue is recognized at the point where the customer obtains control of the goods and we satisfy our performance obligation. This occurs upon either shipment of the product or arrival at its ship to destination. Payment terms typically range from 30 to 60 days from date of shipment. The Company’s net product revenue reflects the reduction from gross product revenue for estimated allowances for chargebacks, discounts and damaged goods, and reflects sales related accruals for rebates, coupons, product returns, and certain administrative and service fees. Significant judgments must be made in determining the transaction price for our sales of products related to these adjustments.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revised its estimate for rebates related to Sancuso revenues based on additional information related to actual product activities. As a result, the Company recognized additional revenue allowances of $0.6 million for rebates as a change of estimate. There was no change in estimate for the year ended December 31, 2024.</w:t>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Sales Rebates and Discounts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allowances against accounts receivable and accrued liabilities for chargebacks, discounts, service fees and expired product returns are determined on a product-by-product basis, and established by management as the Company’s best estimate at the time of sale based on each product’s historical experience adjusted to reflect known changes in the factors that impact such allowances. These allowances are established based on the contractual terms with direct and indirect customers and analyses of historical levels of chargebacks, discounts and returns of expired product.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Other organizations, such as managed care providers, pharmacy benefit management companies and government agencies, may receive rebates from the Company based on either negotiated contracts to carry the Company’s products or reimbursements for filled prescriptions. In conjunction with recognizing a sale to a wholesaler, sales revenues are reduced and accrued liabilities are increased by the Company’s estimate of the rebate that may be claimed.</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Sales Returns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industry practice, the Company maintains a return policy that allows customers to return product within a specified period prior to and subsequent to the expiration date. The Company’s estimate of the provision for returns is based upon historical experience, expiration date by product as well as any other factor expected to impact future returns. Any changes in the assumptions used to estimate the provision for returns are recognized in the period those assumptions are changed.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Other Revenues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revenues primarily consist of income from grant funding programs, licensing agreements, leases and contract services. Revenue related to grants is recognized when all conditions related to such grants have been met. All other revenue is recognized when earned.</w:t>
      </w:r>
    </w:p>
    <w:p>
      <w:pPr>
        <w:pStyle w:val="TextBody"/>
        <w:bidi w:val="0"/>
        <w:spacing w:lineRule="auto" w:line="288" w:before="16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Cost of Products Sold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products sold consists principally of the cost to acquire each unit of product sold, including in-bound freight expense as well as any adjustment in the net realizable value of inventory acquired in acquisitions. Cost of products sold also includes expenses associated with the reduction in the net realizable value of slow-moving or expired product.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Selling and Marketing Expense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 consists primarily of expenses relating to the advertising, promotion, distribution and sale of products, including royalty expense, salaries and related costs.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Distribution Costs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Distribution costs are expensed as incurred and are included as a component of selling and marketing expenses in the consolidated statements of operations. Distribution costs were as follows for the years ended December 31:</w:t>
      </w:r>
    </w:p>
    <w:tbl>
      <w:tblPr>
        <w:tblW w:w="4768" w:type="dxa"/>
        <w:jc w:val="left"/>
        <w:tblInd w:w="0" w:type="dxa"/>
        <w:tblLayout w:type="fixed"/>
        <w:tblCellMar>
          <w:top w:w="28" w:type="dxa"/>
          <w:left w:w="28" w:type="dxa"/>
          <w:bottom w:w="28" w:type="dxa"/>
          <w:right w:w="28" w:type="dxa"/>
        </w:tblCellMar>
      </w:tblPr>
      <w:tblGrid>
        <w:gridCol w:w="564"/>
        <w:gridCol w:w="497"/>
        <w:gridCol w:w="498"/>
        <w:gridCol w:w="109"/>
        <w:gridCol w:w="109"/>
        <w:gridCol w:w="109"/>
        <w:gridCol w:w="211"/>
        <w:gridCol w:w="826"/>
        <w:gridCol w:w="109"/>
        <w:gridCol w:w="109"/>
        <w:gridCol w:w="109"/>
        <w:gridCol w:w="109"/>
        <w:gridCol w:w="211"/>
        <w:gridCol w:w="826"/>
        <w:gridCol w:w="109"/>
        <w:gridCol w:w="109"/>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863,529 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881,829 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Advertising Costs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costs are expensed as incurred and are included as a component of selling and marketing expenses in the consolidated statements of operations. Advertising costs were as follows for the years ended December 31:</w:t>
      </w:r>
    </w:p>
    <w:tbl>
      <w:tblPr>
        <w:tblW w:w="5039" w:type="dxa"/>
        <w:jc w:val="left"/>
        <w:tblInd w:w="0" w:type="dxa"/>
        <w:tblLayout w:type="fixed"/>
        <w:tblCellMar>
          <w:top w:w="28" w:type="dxa"/>
          <w:left w:w="28" w:type="dxa"/>
          <w:bottom w:w="28" w:type="dxa"/>
          <w:right w:w="28" w:type="dxa"/>
        </w:tblCellMar>
      </w:tblPr>
      <w:tblGrid>
        <w:gridCol w:w="553"/>
        <w:gridCol w:w="487"/>
        <w:gridCol w:w="490"/>
        <w:gridCol w:w="109"/>
        <w:gridCol w:w="109"/>
        <w:gridCol w:w="109"/>
        <w:gridCol w:w="211"/>
        <w:gridCol w:w="976"/>
        <w:gridCol w:w="109"/>
        <w:gridCol w:w="109"/>
        <w:gridCol w:w="109"/>
        <w:gridCol w:w="109"/>
        <w:gridCol w:w="211"/>
        <w:gridCol w:w="976"/>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2,987,575 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2,903,741 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are expensed in the period incurred. Research and development costs are comprised mainly of clinical trial and regulatory expenses, salaries, wages, fees paid to government regulators and other related costs such as materials and supplies. Research and development expense includes activities performed by third-party providers participating in the Company’s clinical studies. The Company accounts for these costs based on estimates of work performed, patients enrolled or fixed fees for services over the period of time the clinical trials are performed.</w:t>
      </w:r>
    </w:p>
    <w:p>
      <w:pPr>
        <w:pStyle w:val="TextBody"/>
        <w:bidi w:val="0"/>
        <w:spacing w:lineRule="auto" w:line="288" w:before="16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for deferred taxes using the asset and liability approach. Under this method, deferred tax assets and liabilities are recognized for future tax consequences attributable to operating loss and tax credit carryforwards, as well as differences between the carrying amounts of existing assets and liabilities and their respective tax bases. The Company’s principal differences are related to the timing of deductibility of certain items, such as inventory, depreciation, amortization and share-based compensation. Deferred tax assets and liabilities are measured using enacted statutory tax rates that are expected to apply to taxable income in the years such temporary differences are anticipated to be recovered or settled. The effect on deferred tax assets and liabilities of a change in tax rates is recognized in income in the period of enactment. The Company only recognizes income tax benefits associated with an income tax position in which it is “more likely than not” that the position would be sustained upon examination by the taxing authorities.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assessing the realizability of deferred tax assets, management considers whether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existing temporary differences, projected future taxable income and tax planning strategies in making this assessment.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accounting policy with respect to interest and penalties arising from income tax settlements is to recognize them as part of the provision for income taxes.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Loss per Share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loss per share is calculated by dividing net loss attributable to common shareholders by the weighted-average number of shares outstanding. Except where the result would be antidilutive, diluted loss per share is calculated by assuming the vesting of unvested restricted stock and the exercise of stock options and warrants and unrecognized compensation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Share-Based Payments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compensation cost for all share-based payments issued, modified, repurchased or canceled. Depending on the nature of the vesting provisions, restricted stock awards are measured using either the fair value on the grant date or the fair value of common stock on the date the vesting provisions lapse. Prior to the lapse for those equity grants not valued on the grant date, the fair value is measured on the last day of the reporting period.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Collaborative Agreements</w:t>
      </w:r>
    </w:p>
    <w:p>
      <w:pPr>
        <w:pStyle w:val="TextBody"/>
        <w:bidi w:val="0"/>
        <w:spacing w:lineRule="auto" w:line="288" w:before="160" w:after="283"/>
        <w:jc w:val="both"/>
        <w:rPr/>
      </w:pPr>
      <w:r>
        <w:rPr>
          <w:rFonts w:ascii="Times New Roman;sans-serif" w:hAnsi="Times New Roman;sans-serif"/>
          <w:b w:val="false"/>
          <w:color w:val="000000"/>
          <w:sz w:val="20"/>
        </w:rPr>
        <w:t xml:space="preserve">The Company is a party to several collaborative arrangements with research institutions to identify and pursue promising pharmaceutical product candidates. The funding for these programs is primarily provided through Federal Small Business Administration (SBIR/STTR) and other grant awards. The Company has determined that these collaborative agreements, with the exception of the collaborative payment discussed in Note 3, related to the Vibativ and Sancuso contingent consideration payments, do not meet the criteria for accounting under ASC Topic 808, </w:t>
      </w:r>
      <w:r>
        <w:rPr>
          <w:rFonts w:ascii="Times New Roman;sans-serif" w:hAnsi="Times New Roman;sans-serif"/>
          <w:b w:val="false"/>
          <w:i/>
          <w:color w:val="000000"/>
          <w:sz w:val="20"/>
        </w:rPr>
        <w:t>Collaborative Agreements</w:t>
      </w:r>
      <w:r>
        <w:rPr>
          <w:rFonts w:ascii="Times New Roman;sans-serif" w:hAnsi="Times New Roman;sans-serif"/>
          <w:b w:val="false"/>
          <w:color w:val="000000"/>
          <w:sz w:val="20"/>
        </w:rPr>
        <w:t>. The agreements do not specifically designate each party’s rights and obligations to each other under the collaborative arrangements. Except for patent defense costs, expenses incurred by one party are not required to be reimbursed by the other party. Expenses incurred under these collaborative agreements are included in research and development expenses and funding received from grants are recorded as net revenues in the consolidated statements of operations.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Related Party Transactions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July 2023, Cumberland named Martin S. Brown Jr. to our Board of Directors. Mr. Brown is an attorney with over 30 years of corporate law experience who brings significant legal, public company, health care and civic experience to our board. The Company relies on several law firms for legal advice, including the firm with which Mr. Brown is affiliated. In 2024 and 2023, the Company paid Mr. Brown’s law firm $0.05 million in each year.</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Recent Accounting Guidance </w:t>
      </w:r>
    </w:p>
    <w:p>
      <w:pPr>
        <w:pStyle w:val="TextBody"/>
        <w:bidi w:val="0"/>
        <w:spacing w:lineRule="auto" w:line="288" w:before="16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Adopted</w:t>
      </w:r>
    </w:p>
    <w:p>
      <w:pPr>
        <w:pStyle w:val="TextBody"/>
        <w:bidi w:val="0"/>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2016, the Financial Accounting Standards Board ("FASB") issued Accounting Standards Update ("ASU") No. 2016-13, “Financial Instruments-Credit Losses,” which changes the impairment model for most financial assets and certain other instruments. For trade and other receivables, held-to-maturity debt securities, loans and other instruments, companies are required to use a new forward-looking “expected loss” model that generally results in an earlier recognition of allowances for losses. For available-for-sale debt securities with unrealized losses, companies measure credit losses in a manner similar with previous guidance, except that the losses are recognized as allowances rather than as reductions in the amortized cost of the securities. Companies have to disclose additional information, including information they use to track credit quality by year of origination for most financing receivables. Companies apply the ASU’s provisions as a cumulative-effect adjustment, if any, to the accumulated deficit as of the beginning of the first reporting period in which the guidance is adopted.</w:t>
      </w:r>
    </w:p>
    <w:p>
      <w:pPr>
        <w:pStyle w:val="TextBody"/>
        <w:bidi w:val="0"/>
        <w:spacing w:lineRule="auto" w:line="288" w:before="160" w:after="120"/>
        <w:jc w:val="both"/>
        <w:rPr/>
      </w:pPr>
      <w:r>
        <w:rPr>
          <w:rFonts w:ascii="Times New Roman;sans-serif" w:hAnsi="Times New Roman;sans-serif"/>
          <w:b w:val="false"/>
          <w:color w:val="000000"/>
          <w:sz w:val="20"/>
          <w:shd w:fill="FFFFFF" w:val="clear"/>
        </w:rPr>
        <w:t xml:space="preserve">Related to ASU No. 2016-13 discussed above, in May 2019, the FASB issued ASU 2019-05, "Financial Instruments-Credit Losses (Topic 326): Targeted Transition Relief" which provides transition relief for ASU 2016-13 by providing entities with an alternative to irrevocably elect the fair value option for eligible financial assets measured at amortized cost upon adoption of the new credit losses standard. Certain eligibility requirements must be met and the election must be applied on an instrument-by-instrument basis. The election is not available for either available-for-sale or held-to-maturity debt securities. </w:t>
      </w:r>
      <w:r>
        <w:rPr>
          <w:rFonts w:ascii="Times New Roman;sans-serif" w:hAnsi="Times New Roman;sans-serif"/>
          <w:b w:val="false"/>
          <w:color w:val="000000"/>
          <w:sz w:val="20"/>
        </w:rPr>
        <w:t>The Company adopted both ASU 2016-13 and ASU 2019-05 on January 1, 2023, and the adoption did not have a material impact on the Company’s consolidated financial statements.</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final guidance in Update 2023-07, which is intended to improve transparency of segment disclosures, primarily through expanded disclosures for significant segment expenses. The guidance is effective for annual periods beginning in 2024 and interim periods beginning in 2025. With the Company having only one segment, the adoption, effective January 1, 2024, did not have a material impact on the Company’s consolidated financial statements.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Standards Not Yet Adopted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final guidance to improve transparency of income tax disclosures. The final guidance requires enhanced disclosures primarily related to existing rate reconciliation and income taxes paid information. The guidance is effective for 2025 annual reporting. Early adoption is permitted. This new guidance will result in incremental disclosures in the notes to the Company’s income tax disclosures.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No. 2024-03, Income Statement—Reporting Comprehensive Income—Expense Disaggregation Disclosures (Subtopic 220-40): Disaggregation of Income Statement Expenses ("Update 2024-03"), which requires companies to disclose additional information for certain relevant expense categories in the Statements of Operations and within the notes to the financial statements. Update 2024-03 is effective for annual periods beginning after December 15, 2026, and interim periods beginning after December 15, 2027, with early adoption permitted and can be applied either prospectively to financial statements issued for reporting periods after the effective date, or retrospectively to prior periods which are presented in the financial statements. We are currently assessing the impact of the requirements on our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pPr>
      <w:r>
        <w:rPr>
          <w:rFonts w:ascii="Times New Roman;sans-serif" w:hAnsi="Times New Roman;sans-serif"/>
          <w:b/>
          <w:color w:val="000000"/>
          <w:sz w:val="20"/>
        </w:rPr>
        <w:t>(3)    Vibativ</w:t>
      </w:r>
      <w:r>
        <w:rPr>
          <w:rFonts w:ascii="Times New Roman;sans-serif" w:hAnsi="Times New Roman;sans-serif"/>
          <w:b/>
          <w:color w:val="000000"/>
          <w:sz w:val="13"/>
        </w:rPr>
        <w:t>®,</w:t>
      </w:r>
      <w:r>
        <w:rPr>
          <w:color w:val="000000"/>
        </w:rPr>
        <w:t xml:space="preserve"> </w:t>
      </w:r>
      <w:r>
        <w:rPr>
          <w:rFonts w:ascii="Times New Roman;sans-serif" w:hAnsi="Times New Roman;sans-serif"/>
          <w:b/>
          <w:color w:val="000000"/>
          <w:sz w:val="20"/>
        </w:rPr>
        <w:t>Sancuso</w:t>
      </w:r>
      <w:r>
        <w:rPr>
          <w:rFonts w:ascii="Times New Roman;sans-serif" w:hAnsi="Times New Roman;sans-serif"/>
          <w:b/>
          <w:color w:val="000000"/>
          <w:sz w:val="13"/>
        </w:rPr>
        <w:t xml:space="preserve">® </w:t>
      </w:r>
      <w:r>
        <w:rPr>
          <w:rFonts w:ascii="Times New Roman;sans-serif" w:hAnsi="Times New Roman;sans-serif"/>
          <w:b/>
          <w:color w:val="000000"/>
          <w:sz w:val="20"/>
        </w:rPr>
        <w:t>and RediTrex</w:t>
      </w:r>
      <w:r>
        <w:rPr>
          <w:rFonts w:ascii="Times New Roman;sans-serif" w:hAnsi="Times New Roman;sans-serif"/>
          <w:b/>
          <w:color w:val="000000"/>
          <w:sz w:val="13"/>
        </w:rPr>
        <w:t xml:space="preserve">® </w:t>
      </w:r>
      <w:r>
        <w:rPr>
          <w:rFonts w:ascii="Times New Roman;sans-serif" w:hAnsi="Times New Roman;sans-serif"/>
          <w:b/>
          <w:color w:val="000000"/>
          <w:sz w:val="20"/>
        </w:rPr>
        <w:t>Products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Vibativ</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November 2018, the Company executed an agreement with Theravance Biopharma ("Theravance") to acquire the assets and global rights to Vibativ including responsibility for the marketing, distribution, manufacturing and regulatory activities associated with the brand. 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accounted for the transaction as a business combination in accordance with ASC 805 and the product sales are included in the results of operations subsequent to the acquisition date. The Company made an upfront payment of $20 million at the closing of the transaction and a $5 million milestone payment in early April 2019. In addition, Cumberland has agreed to pay royalties of up to 20% of on-going net sales of the product in the U.S. after a $2.5 million threshold is met. The future royalty payments were recognized at their acquisition-date fair value as a contingent consideration liability, as part of the contingent consideration transferred in the business combination. Cumberland prepared the valuations of the contingent consideration liability utilizing significant unobservable inputs. As a result, the valuation is classified as Level 3 fair value measurement.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fair value of the contingent consideration liability that is remeasured on a recurring basis. The contingent consideration earned and accrued in operating expenses is paid to Theravance annually.</w:t>
      </w:r>
    </w:p>
    <w:tbl>
      <w:tblPr>
        <w:tblW w:w="6928" w:type="dxa"/>
        <w:jc w:val="left"/>
        <w:tblInd w:w="0" w:type="dxa"/>
        <w:tblLayout w:type="fixed"/>
        <w:tblCellMar>
          <w:top w:w="28" w:type="dxa"/>
          <w:left w:w="28" w:type="dxa"/>
          <w:bottom w:w="28" w:type="dxa"/>
          <w:right w:w="28" w:type="dxa"/>
        </w:tblCellMar>
      </w:tblPr>
      <w:tblGrid>
        <w:gridCol w:w="1379"/>
        <w:gridCol w:w="1211"/>
        <w:gridCol w:w="1219"/>
        <w:gridCol w:w="489"/>
        <w:gridCol w:w="2270"/>
        <w:gridCol w:w="360"/>
      </w:tblGrid>
      <w:tr>
        <w:trPr/>
        <w:tc>
          <w:tcPr>
            <w:tcW w:w="13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Contingent Consideration Liability</w:t>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4,154,823 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of royalty during the period</w:t>
            </w:r>
          </w:p>
        </w:tc>
        <w:tc>
          <w:tcPr>
            <w:tcW w:w="2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(1,018,451)</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2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(270,485)</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earned and accrued</w:t>
            </w:r>
          </w:p>
        </w:tc>
        <w:tc>
          <w:tcPr>
            <w:tcW w:w="2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1,167,486 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4,033,373 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of royalty during the period</w:t>
            </w:r>
          </w:p>
        </w:tc>
        <w:tc>
          <w:tcPr>
            <w:tcW w:w="2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(817,387)</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2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(668,976)</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earned and accrued</w:t>
            </w:r>
          </w:p>
        </w:tc>
        <w:tc>
          <w:tcPr>
            <w:tcW w:w="2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695,989 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3,242,999 </w:t>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portion of the contingent consideration liability is $1.1 million and the non-current portion is $2.1 million, as of December 31, 2024.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Sancuso</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 2022, Cumberland acquired the U.S. rights to the FDA-approved oncology-supportive care medicine Sancuso from Kyowa Kirin, Inc. ("Kyowa Kirin"), the U.S. affiliate of Japan-based Kyowa Kirin Co., Ltd.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Sancuso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Cumberland acquired U.S. rights to Sancuso and assumed full commercial responsibility for the product in the U.S. – including its marketing, promotion, distribution, manufacturing and medical support activities. The product’s FDA registration was subsequently transferred from Kyowa Kirin to Cumberland in August 2023.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has accounted for the transaction as a business combination in accordance with ASC 805 and the product sales are included in the results of operations subsequent to the acquisition date. The Company made an upfront payment of $13.5 million at the closing of the transaction. The Agreement calls for milestone payments of up to $3.5 million based on the attainment of various approvals and sales performance. In January 2023, Cumberland made a $1.0 million milestone payment to Kwoya Kirin based on the FDA approval of a manufacturing site for the product. In October 2023, Cumberland made a $0.5 million milestone payment based on the successful transfer of the product’s FDA registration from Kyowa Kirin to Cumberland.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$2 million in milestone payments are tied to achievement of certain annual sales levels for the product.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Cumberland has agreed to pay a royalty of up to 10% of on-going net sales of the product. The future royalty payments were required to be recognized at their acquisition-date fair value as a contingent consideration liability, as part of the contingent consideration transferred in the business combination. Cumberland has prepared a valuation of the contingent consideration liability utilizing significant unobservable inputs. As a result, the valuation is classified as Level 3 fair value measurement.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was funded by cash and the Company's revolving credit facility. The fair value for the assets and liabilities assumed using Level 3 fair value inputs were as follows: prepaid expenses of $1.8 million, inventory $2.6 million, goodwill $0.03 million, intangible assets $14.1 million, milestone payable $1.7 million and contingent liability $3.4 million.</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fair value of the contingent consideration liability that is remeasured on a recurring basis.</w:t>
      </w:r>
    </w:p>
    <w:tbl>
      <w:tblPr>
        <w:tblW w:w="7038" w:type="dxa"/>
        <w:jc w:val="left"/>
        <w:tblInd w:w="0" w:type="dxa"/>
        <w:tblLayout w:type="fixed"/>
        <w:tblCellMar>
          <w:top w:w="28" w:type="dxa"/>
          <w:left w:w="28" w:type="dxa"/>
          <w:bottom w:w="28" w:type="dxa"/>
          <w:right w:w="28" w:type="dxa"/>
        </w:tblCellMar>
      </w:tblPr>
      <w:tblGrid>
        <w:gridCol w:w="1379"/>
        <w:gridCol w:w="1211"/>
        <w:gridCol w:w="1219"/>
        <w:gridCol w:w="499"/>
        <w:gridCol w:w="2315"/>
        <w:gridCol w:w="261"/>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Contingent Consideration Liability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of royalty during the period</w:t>
            </w:r>
          </w:p>
        </w:tc>
        <w:tc>
          <w:tcPr>
            <w:tcW w:w="281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(790,632)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281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(685,355)</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earned and accrued</w:t>
            </w:r>
          </w:p>
        </w:tc>
        <w:tc>
          <w:tcPr>
            <w:tcW w:w="281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781,987 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2,306,000 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of royalty during the period</w:t>
            </w:r>
          </w:p>
        </w:tc>
        <w:tc>
          <w:tcPr>
            <w:tcW w:w="2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(898,686)</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2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(791,828)</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earned and accrued</w:t>
            </w:r>
          </w:p>
        </w:tc>
        <w:tc>
          <w:tcPr>
            <w:tcW w:w="2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900,514 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1,516,000 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portion of the contingent consideration liability is $0.8 million and the non-current portion is $0.7 million, as of December 31, 2024. </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RediTrex</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2016, the Company announced an agreement with the Nordic Group B.V. ("Nordic") to acquire the exclusive U.S. rights to Nordic’s injectable methotrexate product line designed for the treatment of active rheumatoid arthritis, juvenile idiopathic arthritis, severe psoriatic arthritis, and severe disabling psoriasis.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consideration for the license Cumberland paid a deposit of $0.1 million at closing. The Company provided $0.9 million in consideration through a grant of 180,000 restricted shares of Cumberland common stock to be vested upon the FDA approval of the first Nordic product. Cumberland also agreed to provide Nordic a series of payments tied to the products’ FDA approval, launch and achievement of certain sales milestones. Under the terms of the agreement, Cumberland is responsible for the product registration and commercialization in the U.S. Nordic is responsible for product manufacturing and supply.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27, 2019, Cumberland received FDA approval for the first Nordic injectable product and authorization to market them under the RediTrex brand name. The 180,000 shares of restricted Cumberland common stock previously provided to Nordic vested upon approval and were valued at $0.9 million on the vesting date. The FDA approval also resulted in a $1.0 million milestone payment due to Nordic. This milestone payment was paid in July 2020. During December 2020, Cumberland began distributing RediTrex which also resulted in a $1.0 million milestone payment due to Nordic. The full launch of RediTrex occurred in October 2021.</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July 12, 2022, the Company entered into an amendment to our agreement with Nordic whereby they may assume responsibility for RediTrex marketing authorization in the U.S. and the opportunity to commercialize the product in the U.S. after June 30, 2023. In accordance with the terms of the amendment, Nordic a) returned the 180,000 restricted Cumberland shares we previously issued to Nordic which were cancelled; b) refunded to Cumberland the milestone payment of $1.0 million we made associated with the brand’s U.S. approval; and c) issued a credit note in favor of the Company in the amount of $1.0 million for the unpaid milestone payment due from us for launch of the product line all in 2023. Cumberland will receive a long-term royalty on any Nordic sales of the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(4)    Revenues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Product 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net product revenues consisted of the following for the years ended December 31:</w:t>
      </w:r>
    </w:p>
    <w:tbl>
      <w:tblPr>
        <w:tblW w:w="6013" w:type="dxa"/>
        <w:jc w:val="left"/>
        <w:tblInd w:w="0" w:type="dxa"/>
        <w:tblLayout w:type="fixed"/>
        <w:tblCellMar>
          <w:top w:w="28" w:type="dxa"/>
          <w:left w:w="28" w:type="dxa"/>
          <w:bottom w:w="28" w:type="dxa"/>
          <w:right w:w="28" w:type="dxa"/>
        </w:tblCellMar>
      </w:tblPr>
      <w:tblGrid>
        <w:gridCol w:w="829"/>
        <w:gridCol w:w="726"/>
        <w:gridCol w:w="739"/>
        <w:gridCol w:w="109"/>
        <w:gridCol w:w="109"/>
        <w:gridCol w:w="109"/>
        <w:gridCol w:w="211"/>
        <w:gridCol w:w="1081"/>
        <w:gridCol w:w="109"/>
        <w:gridCol w:w="109"/>
        <w:gridCol w:w="109"/>
        <w:gridCol w:w="109"/>
        <w:gridCol w:w="211"/>
        <w:gridCol w:w="1081"/>
        <w:gridCol w:w="109"/>
        <w:gridCol w:w="109"/>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Kristalose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15,315,259 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Sancuso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9,005,129 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8,096,788 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Vibativ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Caldolor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Acetadote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Omeclamox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Vaprisol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RediTrex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product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36,537,704 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37,513,492 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pPr>
      <w:r>
        <w:rPr>
          <w:rFonts w:ascii="Times New Roman;sans-serif" w:hAnsi="Times New Roman;sans-serif"/>
          <w:b/>
          <w:i/>
          <w:color w:val="000000"/>
          <w:sz w:val="20"/>
        </w:rPr>
        <w:t>Other Revenues</w:t>
      </w:r>
      <w:r>
        <w:rPr>
          <w:color w:val="000000"/>
        </w:rPr>
        <w:t xml:space="preserv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agreements with international partners for commercialization of the Company’s products with associated payments included in other revenues. Those agreements provide that each of the partners is responsible for seeking regulatory approvals for the product, and following approval, each partner will be responsible for the ongoing distribution and sales in the respective international territories. The Company provides a dossier for product registration and maintains responsibility for the relevant intellectual property. Cumberland is typically entitled to receive a non-refundable, up-front payment at the time each agreement is executed as consideration for the product dossier and for the rights to the distinct intellectual property rights in the respective international territory. These agreements also typically provide for additional payments upon a partner’s achievement of a defined regulatory approval and sales milestones. The Company may also be entitled to receive royalties on future sales of the products and a transfer price on supplies. 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2023, the Company received $1 million relating to a litigation settlement based on two $500,000 milestone payments due to us for the license associated with our Vibativ product that is included in other revenue for the year ended December 31, 2023.</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revenues includes funding from federal grant programs including those secured from the FDA and from those secured by CET through the Small Business Administration. Grant revenue from these federal grant programs totaled approximately $0.4 million for the years ended December 31, 2024 and 2023.</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revenues also includes lease income generated by CET’s Life Sciences Center. It is a research facility that provides scientists with access to flexible lab space and other resources to develop biomedical products. This lease income, as noted in Footnote 15 - Leases, was approximately $0.6 million and $0.5 million and for the years ended December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(5)    Inventories, Net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net inventories consisted of the following as of December 31:</w:t>
      </w:r>
    </w:p>
    <w:tbl>
      <w:tblPr>
        <w:tblW w:w="6651" w:type="dxa"/>
        <w:jc w:val="left"/>
        <w:tblInd w:w="0" w:type="dxa"/>
        <w:tblLayout w:type="fixed"/>
        <w:tblCellMar>
          <w:top w:w="28" w:type="dxa"/>
          <w:left w:w="28" w:type="dxa"/>
          <w:bottom w:w="28" w:type="dxa"/>
          <w:right w:w="28" w:type="dxa"/>
        </w:tblCellMar>
      </w:tblPr>
      <w:tblGrid>
        <w:gridCol w:w="1141"/>
        <w:gridCol w:w="1001"/>
        <w:gridCol w:w="1008"/>
        <w:gridCol w:w="109"/>
        <w:gridCol w:w="109"/>
        <w:gridCol w:w="109"/>
        <w:gridCol w:w="211"/>
        <w:gridCol w:w="1081"/>
        <w:gridCol w:w="109"/>
        <w:gridCol w:w="109"/>
        <w:gridCol w:w="109"/>
        <w:gridCol w:w="109"/>
        <w:gridCol w:w="211"/>
        <w:gridCol w:w="1081"/>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11,982,045 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12,619,092 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Consigned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 net of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15,005,494 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17,413,891 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non-current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(11,005,499)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(12,804,529)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 classified as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3,999,995 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4,609,362 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non-current inventories consisted of the following as of December 31:</w:t>
      </w:r>
    </w:p>
    <w:tbl>
      <w:tblPr>
        <w:tblW w:w="5886" w:type="dxa"/>
        <w:jc w:val="left"/>
        <w:tblInd w:w="0" w:type="dxa"/>
        <w:tblLayout w:type="fixed"/>
        <w:tblCellMar>
          <w:top w:w="28" w:type="dxa"/>
          <w:left w:w="28" w:type="dxa"/>
          <w:bottom w:w="28" w:type="dxa"/>
          <w:right w:w="28" w:type="dxa"/>
        </w:tblCellMar>
      </w:tblPr>
      <w:tblGrid>
        <w:gridCol w:w="864"/>
        <w:gridCol w:w="758"/>
        <w:gridCol w:w="763"/>
        <w:gridCol w:w="109"/>
        <w:gridCol w:w="109"/>
        <w:gridCol w:w="109"/>
        <w:gridCol w:w="211"/>
        <w:gridCol w:w="1081"/>
        <w:gridCol w:w="109"/>
        <w:gridCol w:w="109"/>
        <w:gridCol w:w="109"/>
        <w:gridCol w:w="109"/>
        <w:gridCol w:w="211"/>
        <w:gridCol w:w="1081"/>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Vibativ 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6,180,347 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6,611,426 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Vibativ 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Kristalose 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Vaprisol Raw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Caldolor 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Sancuso Raw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Acetadote 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Omeclamox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Study Drug 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11,005,499 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12,804,529 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purchases the active pharmaceutical ingredient (“API”) for Kristalose and maintains the inventory of that raw material. API for the Company's Vaprisol and Vibativ brands were included in the assets associated with the acquisition of those brands and are also included in the raw materials inventory. As part of the Vibativ acquisition, the Company acquired API and work in process inventories of $15.6 million that were all initially classified as non-current inventories at the date of acquisition. Consigned inventory represents Authorized Generic inventory stored with Padagis until shipment. </w:t>
      </w:r>
    </w:p>
    <w:p>
      <w:pPr>
        <w:pStyle w:val="TextBody"/>
        <w:bidi w:val="0"/>
        <w:spacing w:lineRule="auto" w:line="288" w:before="20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and 2023, there were no cumulative obsolescence or discontinuance losses necessary to recognize.</w:t>
      </w:r>
    </w:p>
    <w:p>
      <w:pPr>
        <w:pStyle w:val="TextBody"/>
        <w:bidi w:val="0"/>
        <w:spacing w:before="20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(6)    Property and Equipment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 at December 31:</w:t>
      </w:r>
    </w:p>
    <w:tbl>
      <w:tblPr>
        <w:tblW w:w="9133" w:type="dxa"/>
        <w:jc w:val="left"/>
        <w:tblInd w:w="0" w:type="dxa"/>
        <w:tblLayout w:type="fixed"/>
        <w:tblCellMar>
          <w:top w:w="28" w:type="dxa"/>
          <w:left w:w="28" w:type="dxa"/>
          <w:bottom w:w="28" w:type="dxa"/>
          <w:right w:w="28" w:type="dxa"/>
        </w:tblCellMar>
      </w:tblPr>
      <w:tblGrid>
        <w:gridCol w:w="989"/>
        <w:gridCol w:w="867"/>
        <w:gridCol w:w="874"/>
        <w:gridCol w:w="109"/>
        <w:gridCol w:w="109"/>
        <w:gridCol w:w="109"/>
        <w:gridCol w:w="1067"/>
        <w:gridCol w:w="992"/>
        <w:gridCol w:w="1000"/>
        <w:gridCol w:w="109"/>
        <w:gridCol w:w="109"/>
        <w:gridCol w:w="109"/>
        <w:gridCol w:w="213"/>
        <w:gridCol w:w="837"/>
        <w:gridCol w:w="109"/>
        <w:gridCol w:w="109"/>
        <w:gridCol w:w="109"/>
        <w:gridCol w:w="109"/>
        <w:gridCol w:w="213"/>
        <w:gridCol w:w="837"/>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Range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15 years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792,903 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771,667 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 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15 years, or remaining lease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800,974 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property and </w:t>
            </w:r>
          </w:p>
          <w:p>
            <w:pPr>
              <w:pStyle w:val="TableContents"/>
              <w:bidi w:val="0"/>
              <w:spacing w:lineRule="auto" w:line="240"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equipment,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2,605,976 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accumulated depreciation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(2,391,843)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(2,238,073)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property and </w:t>
            </w:r>
          </w:p>
          <w:p>
            <w:pPr>
              <w:pStyle w:val="TableContents"/>
              <w:bidi w:val="0"/>
              <w:spacing w:lineRule="auto" w:line="240"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including amortization expense related to leasehold improvements, is included in general and administrative expense in the consolidated statements of operations. Depreciation expense was as follows for the years ended December 31:</w:t>
      </w:r>
    </w:p>
    <w:tbl>
      <w:tblPr>
        <w:tblW w:w="5084" w:type="dxa"/>
        <w:jc w:val="left"/>
        <w:tblInd w:w="0" w:type="dxa"/>
        <w:tblLayout w:type="fixed"/>
        <w:tblCellMar>
          <w:top w:w="28" w:type="dxa"/>
          <w:left w:w="28" w:type="dxa"/>
          <w:bottom w:w="28" w:type="dxa"/>
          <w:right w:w="28" w:type="dxa"/>
        </w:tblCellMar>
      </w:tblPr>
      <w:tblGrid>
        <w:gridCol w:w="679"/>
        <w:gridCol w:w="597"/>
        <w:gridCol w:w="599"/>
        <w:gridCol w:w="109"/>
        <w:gridCol w:w="109"/>
        <w:gridCol w:w="109"/>
        <w:gridCol w:w="211"/>
        <w:gridCol w:w="826"/>
        <w:gridCol w:w="109"/>
        <w:gridCol w:w="109"/>
        <w:gridCol w:w="109"/>
        <w:gridCol w:w="109"/>
        <w:gridCol w:w="211"/>
        <w:gridCol w:w="826"/>
        <w:gridCol w:w="109"/>
        <w:gridCol w:w="109"/>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154,308 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177,148 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(7)    Intangible Assets and Goodwill</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and Goodwill consisted of the following at December 31, 2024 and 2023. </w:t>
      </w:r>
    </w:p>
    <w:tbl>
      <w:tblPr>
        <w:tblW w:w="6201" w:type="dxa"/>
        <w:jc w:val="center"/>
        <w:tblInd w:w="0" w:type="dxa"/>
        <w:tblLayout w:type="fixed"/>
        <w:tblCellMar>
          <w:top w:w="28" w:type="dxa"/>
          <w:left w:w="28" w:type="dxa"/>
          <w:bottom w:w="28" w:type="dxa"/>
          <w:right w:w="28" w:type="dxa"/>
        </w:tblCellMar>
      </w:tblPr>
      <w:tblGrid>
        <w:gridCol w:w="978"/>
        <w:gridCol w:w="859"/>
        <w:gridCol w:w="863"/>
        <w:gridCol w:w="109"/>
        <w:gridCol w:w="109"/>
        <w:gridCol w:w="109"/>
        <w:gridCol w:w="211"/>
        <w:gridCol w:w="1081"/>
        <w:gridCol w:w="109"/>
        <w:gridCol w:w="109"/>
        <w:gridCol w:w="109"/>
        <w:gridCol w:w="109"/>
        <w:gridCol w:w="211"/>
        <w:gridCol w:w="1081"/>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and license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43,250,341 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43,250,341 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(26,300,793)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(22,755,543)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and license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16,949,548 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20,494,798 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10,808,476 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10,712,405 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(9,965,779)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(8,819,287)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1,893,118 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17,973,449 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22,607,918 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914,000 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914,000 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and license rights include assets associated with the Company’s acquired products, including those discussed in Note 3, Vibativ and Sancuso.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and 2023, the Company recorded an additional $0.1 million for each year in intangible assets for patents, trademarks and capitalized patent costs, including amounts incurred in the protection of the Company's intellectual property.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product and license rights, trademarks and patents were as follows for the years ended December 31:</w:t>
      </w:r>
    </w:p>
    <w:tbl>
      <w:tblPr>
        <w:tblW w:w="6734" w:type="dxa"/>
        <w:jc w:val="center"/>
        <w:tblInd w:w="0" w:type="dxa"/>
        <w:tblLayout w:type="fixed"/>
        <w:tblCellMar>
          <w:top w:w="28" w:type="dxa"/>
          <w:left w:w="28" w:type="dxa"/>
          <w:bottom w:w="28" w:type="dxa"/>
          <w:right w:w="28" w:type="dxa"/>
        </w:tblCellMar>
      </w:tblPr>
      <w:tblGrid>
        <w:gridCol w:w="1168"/>
        <w:gridCol w:w="1026"/>
        <w:gridCol w:w="1031"/>
        <w:gridCol w:w="109"/>
        <w:gridCol w:w="109"/>
        <w:gridCol w:w="109"/>
        <w:gridCol w:w="211"/>
        <w:gridCol w:w="976"/>
        <w:gridCol w:w="109"/>
        <w:gridCol w:w="109"/>
        <w:gridCol w:w="109"/>
        <w:gridCol w:w="109"/>
        <w:gridCol w:w="211"/>
        <w:gridCol w:w="976"/>
        <w:gridCol w:w="109"/>
        <w:gridCol w:w="109"/>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and 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4,748,252 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8,102,648 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expected amortization expense for the Company's current balance of intangible assets are as follows:</w:t>
      </w:r>
    </w:p>
    <w:tbl>
      <w:tblPr>
        <w:tblW w:w="4053" w:type="dxa"/>
        <w:jc w:val="center"/>
        <w:tblInd w:w="0" w:type="dxa"/>
        <w:tblLayout w:type="fixed"/>
        <w:tblCellMar>
          <w:top w:w="28" w:type="dxa"/>
          <w:left w:w="28" w:type="dxa"/>
          <w:bottom w:w="28" w:type="dxa"/>
          <w:right w:w="28" w:type="dxa"/>
        </w:tblCellMar>
      </w:tblPr>
      <w:tblGrid>
        <w:gridCol w:w="825"/>
        <w:gridCol w:w="725"/>
        <w:gridCol w:w="730"/>
        <w:gridCol w:w="109"/>
        <w:gridCol w:w="109"/>
        <w:gridCol w:w="109"/>
        <w:gridCol w:w="211"/>
        <w:gridCol w:w="1081"/>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3,776,803 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2,535,409 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17,973,449 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(8)    Other Current and Other Long-term Liabilities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consisted of the following at December 31:</w:t>
      </w:r>
    </w:p>
    <w:tbl>
      <w:tblPr>
        <w:tblW w:w="8166" w:type="dxa"/>
        <w:jc w:val="left"/>
        <w:tblInd w:w="0" w:type="dxa"/>
        <w:tblLayout w:type="fixed"/>
        <w:tblCellMar>
          <w:top w:w="28" w:type="dxa"/>
          <w:left w:w="28" w:type="dxa"/>
          <w:bottom w:w="28" w:type="dxa"/>
          <w:right w:w="28" w:type="dxa"/>
        </w:tblCellMar>
      </w:tblPr>
      <w:tblGrid>
        <w:gridCol w:w="1691"/>
        <w:gridCol w:w="1484"/>
        <w:gridCol w:w="1490"/>
        <w:gridCol w:w="109"/>
        <w:gridCol w:w="109"/>
        <w:gridCol w:w="109"/>
        <w:gridCol w:w="211"/>
        <w:gridCol w:w="1081"/>
        <w:gridCol w:w="109"/>
        <w:gridCol w:w="109"/>
        <w:gridCol w:w="109"/>
        <w:gridCol w:w="109"/>
        <w:gridCol w:w="211"/>
        <w:gridCol w:w="1081"/>
        <w:gridCol w:w="154"/>
      </w:tblGrid>
      <w:tr>
        <w:trPr/>
        <w:tc>
          <w:tcPr>
            <w:tcW w:w="169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Rebates, product returns, administrative and service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7,834,210 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wages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accrued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Studies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Sancuso related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audit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deferred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12,250,955 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13,596,528 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consisted of the following at December 31:</w:t>
      </w:r>
    </w:p>
    <w:tbl>
      <w:tblPr>
        <w:tblW w:w="8000" w:type="dxa"/>
        <w:jc w:val="left"/>
        <w:tblInd w:w="0" w:type="dxa"/>
        <w:tblLayout w:type="fixed"/>
        <w:tblCellMar>
          <w:top w:w="28" w:type="dxa"/>
          <w:left w:w="28" w:type="dxa"/>
          <w:bottom w:w="28" w:type="dxa"/>
          <w:right w:w="28" w:type="dxa"/>
        </w:tblCellMar>
      </w:tblPr>
      <w:tblGrid>
        <w:gridCol w:w="1706"/>
        <w:gridCol w:w="1500"/>
        <w:gridCol w:w="1503"/>
        <w:gridCol w:w="109"/>
        <w:gridCol w:w="109"/>
        <w:gridCol w:w="109"/>
        <w:gridCol w:w="211"/>
        <w:gridCol w:w="976"/>
        <w:gridCol w:w="109"/>
        <w:gridCol w:w="109"/>
        <w:gridCol w:w="109"/>
        <w:gridCol w:w="109"/>
        <w:gridCol w:w="211"/>
        <w:gridCol w:w="976"/>
        <w:gridCol w:w="154"/>
      </w:tblGrid>
      <w:tr>
        <w:trPr/>
        <w:tc>
          <w:tcPr>
            <w:tcW w:w="170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accrued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3,172,483 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2,894,894 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6,299,795 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6,453,566 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(9)    Debt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5, 2023, the Company entered into a new Revolving Credit Loan Agreement with Pinnacle Bank. This facility provides for an aggregate principal funding amount of up to $25 million. The initial revolving line of credit is up to $20 million, with the ability for Cumberland to increase the amount to $25 million, under certain conditions. It has a three year term expiring on October 1, 2026. The interest rate is based on a benchmark (Term SOFR) plus a spread of 2.75%. Cumberland is subject to one financial covenant, the maintenance of a Funded Debt Ratio, determined on a quarterly basis. Borrowings under the line of credit are collateralized by substantially all of our assets.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6, 2024, the Company entered into a First Amendment to the Loan Agreement which provides an alternative to the financial covenant by delivering to the lender a borrowing base certificate and complying with certain borrowing base requirements which set forth a maximum revolver amount equal to the lessor of (a) up to $20 million or (b) the sum of the Company's cash balances and eligible accounts receivable.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December 31, 2023, the Company had $15.3 million and $12.8 million, respectively, in borrowings outstanding under its revolving credit facility. The applicable interest rate under the Pinnacle Agreement was 7.25% and 8.125% at December 31, 2024 and December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90"/>
        <w:jc w:val="both"/>
        <w:rPr>
          <w:rFonts w:ascii="Times New Roman;sans-serif" w:hAnsi="Times New Roman;sans-serif"/>
          <w:b/>
          <w:color w:val="000000"/>
          <w:sz w:val="20"/>
        </w:rPr>
      </w:pPr>
      <w:r>
        <w:rPr>
          <w:rFonts w:ascii="Times New Roman;sans-serif" w:hAnsi="Times New Roman;sans-serif"/>
          <w:b/>
          <w:color w:val="000000"/>
          <w:sz w:val="20"/>
        </w:rPr>
        <w:t>(10)    Shareholders’ Equity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    Initial Public Offering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10, 2009, the Company completed its initial public offering of 5,000,000 shares of common stock at a price of $17.00 per share, raising gross proceeds of $85.0 million. After deducting underwriting discounts of approximately $6.0 million and offering costs incurred of approximately $4.2 million, the net proceeds to the Company were approximately $74.8 million.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(b)    Preferred Stock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authorized to issue 20,000,000 shares of preferred stock. The Board of Directors is authorized to divide these shares into classes or series, and to fix and determine the relative rights, preferences, qualifications and limitations of the shares of any class or series so established. At December 31, 2024 and 2023, there was no preferred stock outstanding.</w:t>
      </w:r>
    </w:p>
    <w:p>
      <w:pPr>
        <w:pStyle w:val="TextBody"/>
        <w:bidi w:val="0"/>
        <w:spacing w:lineRule="auto" w:line="288" w:before="140" w:after="283"/>
        <w:jc w:val="both"/>
        <w:rPr>
          <w:rFonts w:ascii="Times New Roman;sans-serif" w:hAnsi="Times New Roman;sans-serif"/>
          <w:b/>
          <w:i/>
          <w:color w:val="000000"/>
          <w:sz w:val="20"/>
        </w:rPr>
      </w:pPr>
      <w:r>
        <w:rPr>
          <w:rFonts w:ascii="Times New Roman;sans-serif" w:hAnsi="Times New Roman;sans-serif"/>
          <w:b/>
          <w:i/>
          <w:color w:val="000000"/>
          <w:sz w:val="20"/>
        </w:rPr>
        <w:t>(c)    Common Stock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and 2023, the Company issued 169,991 shares and 157,360 shares of common stock, respectively, as a result of restricted shares vesting as well as other common share issuances. There were no option exercise transactions during 2024 and 2023.</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(d)    Share Repurchases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has a share repurchase program available to repurchase up to $10 million of its common stock pursuant to Rule 10b-18 of the Securities Exchange Act of 1934. The Company repurchased 339,200 shares and 402,143 shares of common stock for approximately $0.6 million and $0.7 million during the years ended December 31, 2024 and 2023, respectively. There remains approximately $2.4 million available under the current repurchase program available for share repurchases at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 xml:space="preserve">(11)    Loss Per Share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computation of the numerator and the denominator used to calculate diluted loss per share for the years ended December 31:</w:t>
      </w:r>
    </w:p>
    <w:tbl>
      <w:tblPr>
        <w:tblW w:w="9463" w:type="dxa"/>
        <w:jc w:val="left"/>
        <w:tblInd w:w="0" w:type="dxa"/>
        <w:tblLayout w:type="fixed"/>
        <w:tblCellMar>
          <w:top w:w="28" w:type="dxa"/>
          <w:left w:w="28" w:type="dxa"/>
          <w:bottom w:w="28" w:type="dxa"/>
          <w:right w:w="28" w:type="dxa"/>
        </w:tblCellMar>
      </w:tblPr>
      <w:tblGrid>
        <w:gridCol w:w="2097"/>
        <w:gridCol w:w="1847"/>
        <w:gridCol w:w="1860"/>
        <w:gridCol w:w="109"/>
        <w:gridCol w:w="109"/>
        <w:gridCol w:w="109"/>
        <w:gridCol w:w="211"/>
        <w:gridCol w:w="1051"/>
        <w:gridCol w:w="109"/>
        <w:gridCol w:w="109"/>
        <w:gridCol w:w="109"/>
        <w:gridCol w:w="109"/>
        <w:gridCol w:w="211"/>
        <w:gridCol w:w="1051"/>
        <w:gridCol w:w="109"/>
        <w:gridCol w:w="109"/>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(6,443,715)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(6,330,766)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 subsidiary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(6,479,770)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(6,279,320)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14,060,272 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14,298,774 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14,060,272 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14,298,774 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anti-dilutive restricted shares and stock options outstanding were as follows for the years ended December 31:</w:t>
      </w:r>
    </w:p>
    <w:tbl>
      <w:tblPr>
        <w:tblW w:w="5611" w:type="dxa"/>
        <w:jc w:val="left"/>
        <w:tblInd w:w="0" w:type="dxa"/>
        <w:tblLayout w:type="fixed"/>
        <w:tblCellMar>
          <w:top w:w="28" w:type="dxa"/>
          <w:left w:w="28" w:type="dxa"/>
          <w:bottom w:w="28" w:type="dxa"/>
          <w:right w:w="28" w:type="dxa"/>
        </w:tblCellMar>
      </w:tblPr>
      <w:tblGrid>
        <w:gridCol w:w="990"/>
        <w:gridCol w:w="868"/>
        <w:gridCol w:w="872"/>
        <w:gridCol w:w="109"/>
        <w:gridCol w:w="109"/>
        <w:gridCol w:w="109"/>
        <w:gridCol w:w="413"/>
        <w:gridCol w:w="413"/>
        <w:gridCol w:w="156"/>
        <w:gridCol w:w="109"/>
        <w:gridCol w:w="109"/>
        <w:gridCol w:w="109"/>
        <w:gridCol w:w="413"/>
        <w:gridCol w:w="413"/>
        <w:gridCol w:w="156"/>
        <w:gridCol w:w="109"/>
        <w:gridCol w:w="154"/>
      </w:tblGrid>
      <w:tr>
        <w:trPr/>
        <w:tc>
          <w:tcPr>
            <w:tcW w:w="99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shares and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611,353 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452,224 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ind w:left="0" w:right="0" w:hanging="90"/>
        <w:jc w:val="left"/>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net deferred tax assets at December 31 are as follows:</w:t>
      </w:r>
    </w:p>
    <w:tbl>
      <w:tblPr>
        <w:tblW w:w="9276" w:type="dxa"/>
        <w:jc w:val="left"/>
        <w:tblInd w:w="0" w:type="dxa"/>
        <w:tblLayout w:type="fixed"/>
        <w:tblCellMar>
          <w:top w:w="28" w:type="dxa"/>
          <w:left w:w="28" w:type="dxa"/>
          <w:bottom w:w="28" w:type="dxa"/>
          <w:right w:w="28" w:type="dxa"/>
        </w:tblCellMar>
      </w:tblPr>
      <w:tblGrid>
        <w:gridCol w:w="2089"/>
        <w:gridCol w:w="1836"/>
        <w:gridCol w:w="1850"/>
        <w:gridCol w:w="109"/>
        <w:gridCol w:w="109"/>
        <w:gridCol w:w="109"/>
        <w:gridCol w:w="211"/>
        <w:gridCol w:w="1081"/>
        <w:gridCol w:w="109"/>
        <w:gridCol w:w="109"/>
        <w:gridCol w:w="109"/>
        <w:gridCol w:w="109"/>
        <w:gridCol w:w="211"/>
        <w:gridCol w:w="1081"/>
        <w:gridCol w:w="154"/>
      </w:tblGrid>
      <w:tr>
        <w:trPr/>
        <w:tc>
          <w:tcPr>
            <w:tcW w:w="2089"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and 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14,312,099 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15,427,801 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and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1,205,692 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1,307,178 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174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2,586,832 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2,208,093 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expired product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649,549 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interest expense limitation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compensation costs incurred on deductible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23,334,872 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23,417,101 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(1,385,534)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(1,547,773)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before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21,949,338 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21,869,328 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deferred tax asset valuation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(21,949,338)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(21,869,328)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 and year of expiration of the Company's federal and state net operating loss carryforwards as of December 31, 2024:</w:t>
      </w:r>
    </w:p>
    <w:tbl>
      <w:tblPr>
        <w:tblW w:w="8046" w:type="dxa"/>
        <w:jc w:val="left"/>
        <w:tblInd w:w="0" w:type="dxa"/>
        <w:tblLayout w:type="fixed"/>
        <w:tblCellMar>
          <w:top w:w="28" w:type="dxa"/>
          <w:left w:w="28" w:type="dxa"/>
          <w:bottom w:w="28" w:type="dxa"/>
          <w:right w:w="28" w:type="dxa"/>
        </w:tblCellMar>
      </w:tblPr>
      <w:tblGrid>
        <w:gridCol w:w="1645"/>
        <w:gridCol w:w="1447"/>
        <w:gridCol w:w="1453"/>
        <w:gridCol w:w="109"/>
        <w:gridCol w:w="109"/>
        <w:gridCol w:w="109"/>
        <w:gridCol w:w="211"/>
        <w:gridCol w:w="1081"/>
        <w:gridCol w:w="109"/>
        <w:gridCol w:w="109"/>
        <w:gridCol w:w="109"/>
        <w:gridCol w:w="109"/>
        <w:gridCol w:w="211"/>
        <w:gridCol w:w="1081"/>
        <w:gridCol w:w="154"/>
      </w:tblGrid>
      <w:tr>
        <w:trPr/>
        <w:tc>
          <w:tcPr>
            <w:tcW w:w="164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Years of 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Federal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w:t>
            </w:r>
          </w:p>
        </w:tc>
      </w:tr>
      <w:tr>
        <w:trPr/>
        <w:tc>
          <w:tcPr>
            <w:tcW w:w="4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2026-2042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45,526,439 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26,275,020 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7,143,930 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federal and state net operating loss carryforwards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52,670,369 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29,788,391 </w:t>
            </w:r>
          </w:p>
        </w:tc>
        <w:tc>
          <w:tcPr>
            <w:tcW w:w="15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 includes the following components for the years ended December 31:</w:t>
      </w:r>
    </w:p>
    <w:tbl>
      <w:tblPr>
        <w:tblW w:w="6014" w:type="dxa"/>
        <w:jc w:val="left"/>
        <w:tblInd w:w="0" w:type="dxa"/>
        <w:tblLayout w:type="fixed"/>
        <w:tblCellMar>
          <w:top w:w="28" w:type="dxa"/>
          <w:left w:w="28" w:type="dxa"/>
          <w:bottom w:w="28" w:type="dxa"/>
          <w:right w:w="28" w:type="dxa"/>
        </w:tblCellMar>
      </w:tblPr>
      <w:tblGrid>
        <w:gridCol w:w="1061"/>
        <w:gridCol w:w="936"/>
        <w:gridCol w:w="943"/>
        <w:gridCol w:w="109"/>
        <w:gridCol w:w="109"/>
        <w:gridCol w:w="109"/>
        <w:gridCol w:w="211"/>
        <w:gridCol w:w="796"/>
        <w:gridCol w:w="109"/>
        <w:gridCol w:w="109"/>
        <w:gridCol w:w="109"/>
        <w:gridCol w:w="109"/>
        <w:gridCol w:w="211"/>
        <w:gridCol w:w="721"/>
        <w:gridCol w:w="109"/>
        <w:gridCol w:w="109"/>
        <w:gridCol w:w="154"/>
      </w:tblGrid>
      <w:tr>
        <w:trPr/>
        <w:tc>
          <w:tcPr>
            <w:tcW w:w="106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effective income tax rate for 2024 and 2023 reconciles with the federal statutory tax rate as follows: </w:t>
      </w:r>
    </w:p>
    <w:tbl>
      <w:tblPr>
        <w:tblW w:w="7549" w:type="dxa"/>
        <w:jc w:val="left"/>
        <w:tblInd w:w="0" w:type="dxa"/>
        <w:tblLayout w:type="fixed"/>
        <w:tblCellMar>
          <w:top w:w="28" w:type="dxa"/>
          <w:left w:w="28" w:type="dxa"/>
          <w:bottom w:w="28" w:type="dxa"/>
          <w:right w:w="28" w:type="dxa"/>
        </w:tblCellMar>
      </w:tblPr>
      <w:tblGrid>
        <w:gridCol w:w="1732"/>
        <w:gridCol w:w="1521"/>
        <w:gridCol w:w="1531"/>
        <w:gridCol w:w="109"/>
        <w:gridCol w:w="109"/>
        <w:gridCol w:w="109"/>
        <w:gridCol w:w="344"/>
        <w:gridCol w:w="346"/>
        <w:gridCol w:w="271"/>
        <w:gridCol w:w="109"/>
        <w:gridCol w:w="109"/>
        <w:gridCol w:w="109"/>
        <w:gridCol w:w="308"/>
        <w:gridCol w:w="308"/>
        <w:gridCol w:w="271"/>
        <w:gridCol w:w="109"/>
        <w:gridCol w:w="154"/>
      </w:tblGrid>
      <w:tr>
        <w:trPr/>
        <w:tc>
          <w:tcPr>
            <w:tcW w:w="173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computed at federal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 Generated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Expiring 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True-ups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ans-serif" w:hAnsi="Times New Roman;sans-serif"/>
          <w:b w:val="false"/>
          <w:color w:val="000000"/>
          <w:sz w:val="20"/>
        </w:rPr>
        <w:t>The Company believes that it is not more likely than not that its net deferred tax assets will be realized.</w:t>
      </w:r>
      <w:r>
        <w:rPr>
          <w:color w:val="000000"/>
        </w:rPr>
        <w:t xml:space="preserve"> </w:t>
      </w:r>
      <w:r>
        <w:rPr>
          <w:rFonts w:ascii="Times New Roman;sans-serif" w:hAnsi="Times New Roman;sans-serif"/>
          <w:b w:val="false"/>
          <w:color w:val="000000"/>
          <w:sz w:val="20"/>
        </w:rPr>
        <w:t>As such, the net deferred tax assets are fully offset with a valuation allowance as of the periods ended December 31, 2024 and 2023.</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Company has general business credit carryforwards of $1.5 million. These credit carryforwards will expire in years 2025 through 2044. </w:t>
      </w:r>
    </w:p>
    <w:tbl>
      <w:tblPr>
        <w:tblW w:w="5238" w:type="dxa"/>
        <w:jc w:val="left"/>
        <w:tblInd w:w="0" w:type="dxa"/>
        <w:tblLayout w:type="fixed"/>
        <w:tblCellMar>
          <w:top w:w="28" w:type="dxa"/>
          <w:left w:w="28" w:type="dxa"/>
          <w:bottom w:w="28" w:type="dxa"/>
          <w:right w:w="28" w:type="dxa"/>
        </w:tblCellMar>
      </w:tblPr>
      <w:tblGrid>
        <w:gridCol w:w="1292"/>
        <w:gridCol w:w="1135"/>
        <w:gridCol w:w="1143"/>
        <w:gridCol w:w="109"/>
        <w:gridCol w:w="109"/>
        <w:gridCol w:w="109"/>
        <w:gridCol w:w="211"/>
        <w:gridCol w:w="976"/>
        <w:gridCol w:w="154"/>
      </w:tblGrid>
      <w:tr>
        <w:trPr/>
        <w:tc>
          <w:tcPr>
            <w:tcW w:w="129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of 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Federal</w:t>
            </w:r>
          </w:p>
        </w:tc>
      </w:tr>
      <w:tr>
        <w:trPr/>
        <w:tc>
          <w:tcPr>
            <w:tcW w:w="3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2026-2044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1,518,577 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federal and state credit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1,543,900 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expects it will continue to pay minimal taxes in future periods through the continued utilization of net operating loss carryforwards, as it is able to achieve taxable income through its operations. The Company is no longer subject to U.S. federal tax examinations for tax years before 2021, and with few exceptions, the Company is not subject to examination by state tax authorities for tax years which ended before 2021. Loss carryforwards and credit carryforwards generated or utilized in years earlier than 2021 remain subject to examination and adjustment. During 2012, the 2009 federal tax return was examined by the Internal Revenue Service with no significant findings or adjustments. During 2024, the 2022 federal tax return was selected for examination by the Internal Revenue Service. Based on the audit plan, the estimated completion date of this exam is July 31, 2025. The Company has no unrecognized tax benefits in 2024 and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ind w:left="0" w:right="0" w:hanging="90"/>
        <w:jc w:val="left"/>
        <w:rPr>
          <w:rFonts w:ascii="Times New Roman;sans-serif" w:hAnsi="Times New Roman;sans-serif"/>
          <w:b/>
          <w:color w:val="000000"/>
          <w:sz w:val="20"/>
        </w:rPr>
      </w:pPr>
      <w:r>
        <w:rPr>
          <w:rFonts w:ascii="Times New Roman;sans-serif" w:hAnsi="Times New Roman;sans-serif"/>
          <w:b/>
          <w:color w:val="000000"/>
          <w:sz w:val="20"/>
        </w:rPr>
        <w:t>(13)    Stock-Based Compensation Plans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grants outstanding under two equity compensation plans. The 2007 Long-Term Incentive Compensation Plan (the "2007 Plan") and the 2007 Directors’ Incentive Plan (the "Directors’ Plan"), which were approved by shareholders, superseded the 1999 Stock Option Plan. Both plans are available for future grants of equity compensation awards to employees, consultants and directors. The 2007 Plan and the Directors’ Plan provide for the issuance of stock options, stock appreciation rights and restricted stock. Vesting is determined on a grant-by-grant basis in accordance with the terms of the plans and the related grant agreements. The Company has reserved 3.2 million shares of common stock for issuance under the 2007 Plan and 250,000 shares for issuance under the Directors’ Plan. As of December 31, 2024, the Company had 784,604 shares available for future grants under the 2007 Plan and 114,007 shares available under the Directors’ Plan.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exercise price of stock options is generally 100% of the fair market value of the underlying common stock on the grant date, except for incentive stock options granted to 10% shareholders, which the exercise price is no less than 110% of the fair market value. The maximum contractual term of stock options is ten years from the grant date, except for incentive stock options granted to 10% shareholders, which is no more than five years.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2011, the Company began issuing shares of restricted stock with no exercise price to employees and directors. Restricted stock issued to employees generally cliff-vests on the fourth anniversary of the grant date. Beginning in 2021, the Company began issuing incentive stock options to employees with the same fourth anniversary cliff-vest. Restricted stock continues to be issued to directors and vests on the one year anniversary of the grant date. Restricted stock issued to advisors generally cliff-vests on the fourth anniversary of the grant date.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 is presented as a component of general and administrative expense in the consolidated statements of operations. Stock compensation expense was $0.3 million and $0.4 million for the years ended December 31, 2024 and 2023, respectively.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there was approximately $0.4 million of unrecognized compensation cost related to share-based payments, which is expected to be recognized over a weighted-average period of 1.76 years.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 options activity was as follows:</w:t>
      </w:r>
    </w:p>
    <w:tbl>
      <w:tblPr>
        <w:tblW w:w="10106" w:type="dxa"/>
        <w:jc w:val="left"/>
        <w:tblInd w:w="0" w:type="dxa"/>
        <w:tblLayout w:type="fixed"/>
        <w:tblCellMar>
          <w:top w:w="28" w:type="dxa"/>
          <w:left w:w="28" w:type="dxa"/>
          <w:bottom w:w="28" w:type="dxa"/>
          <w:right w:w="28" w:type="dxa"/>
        </w:tblCellMar>
      </w:tblPr>
      <w:tblGrid>
        <w:gridCol w:w="1010"/>
        <w:gridCol w:w="889"/>
        <w:gridCol w:w="891"/>
        <w:gridCol w:w="109"/>
        <w:gridCol w:w="109"/>
        <w:gridCol w:w="109"/>
        <w:gridCol w:w="444"/>
        <w:gridCol w:w="444"/>
        <w:gridCol w:w="446"/>
        <w:gridCol w:w="109"/>
        <w:gridCol w:w="109"/>
        <w:gridCol w:w="109"/>
        <w:gridCol w:w="281"/>
        <w:gridCol w:w="682"/>
        <w:gridCol w:w="146"/>
        <w:gridCol w:w="109"/>
        <w:gridCol w:w="109"/>
        <w:gridCol w:w="109"/>
        <w:gridCol w:w="1209"/>
        <w:gridCol w:w="1209"/>
        <w:gridCol w:w="1211"/>
        <w:gridCol w:w="109"/>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Number</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of option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Weighted-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average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remaining contractual term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319,650 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192,750 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(25,150)</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487,250 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190,450 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(36,100)</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641,600 </w:t>
            </w:r>
          </w:p>
        </w:tc>
        <w:tc>
          <w:tcPr>
            <w:tcW w:w="4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options granted during the years 2024 and 2023 was $1.05 and $1.16 , respectively. No options were vested and exercisable at December 31, 2024. The aggregate intrinsic value of options outstanding was minimal.</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stock options is calculated using the Black-Scholes (“Black-Scholes-Merton”, or “BSM”) option-pricing model on the grant date. Since 2012, the Company had been issuing Restricted Share Awards where the grant date Fair Value (“FV”) equaled the closing share price. The assumptions used in the Black-Scholes valuation to determine the FV of stock options were as follows at December 31: </w:t>
      </w:r>
    </w:p>
    <w:tbl>
      <w:tblPr>
        <w:tblW w:w="4276" w:type="dxa"/>
        <w:jc w:val="left"/>
        <w:tblInd w:w="0" w:type="dxa"/>
        <w:tblLayout w:type="fixed"/>
        <w:tblCellMar>
          <w:top w:w="28" w:type="dxa"/>
          <w:left w:w="28" w:type="dxa"/>
          <w:bottom w:w="28" w:type="dxa"/>
          <w:right w:w="28" w:type="dxa"/>
        </w:tblCellMar>
      </w:tblPr>
      <w:tblGrid>
        <w:gridCol w:w="772"/>
        <w:gridCol w:w="677"/>
        <w:gridCol w:w="681"/>
        <w:gridCol w:w="308"/>
        <w:gridCol w:w="308"/>
        <w:gridCol w:w="271"/>
        <w:gridCol w:w="109"/>
        <w:gridCol w:w="109"/>
        <w:gridCol w:w="109"/>
        <w:gridCol w:w="308"/>
        <w:gridCol w:w="308"/>
        <w:gridCol w:w="316"/>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Expected Term - The Company has estimated the expected life of its stock options using the simplified method, whereby the expected life equals the average of the vesting term and the original contractual term of the option.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Expected volatility</w:t>
      </w:r>
      <w:r>
        <w:rPr>
          <w:color w:val="000000"/>
        </w:rPr>
        <w:t xml:space="preserve"> </w:t>
      </w:r>
      <w:r>
        <w:rPr>
          <w:rFonts w:ascii="Times New Roman;sans-serif" w:hAnsi="Times New Roman;sans-serif"/>
          <w:b/>
          <w:color w:val="000000"/>
          <w:sz w:val="20"/>
        </w:rPr>
        <w:t xml:space="preserve">- </w:t>
      </w:r>
      <w:r>
        <w:rPr>
          <w:rFonts w:ascii="Times New Roman;sans-serif" w:hAnsi="Times New Roman;sans-serif"/>
          <w:b w:val="false"/>
          <w:color w:val="000000"/>
          <w:sz w:val="20"/>
        </w:rPr>
        <w:t>Based on the Company’s historical stock price volatility.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Risk Free rate - The Company bases the risk-free interest rate assumption for equity awards on the rates for U.S. Treasury zero-coupon bonds with maturities similar to those of the expected term of the award being valued.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Expected dividend yield - The Company’s expected dividend yield assumption is zero as it has never paid dividends and has no present intention to do so in the future.</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Restricted Stock Awards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activity was as follows:</w:t>
      </w:r>
    </w:p>
    <w:tbl>
      <w:tblPr>
        <w:tblW w:w="6851" w:type="dxa"/>
        <w:jc w:val="left"/>
        <w:tblInd w:w="0" w:type="dxa"/>
        <w:tblLayout w:type="fixed"/>
        <w:tblCellMar>
          <w:top w:w="28" w:type="dxa"/>
          <w:left w:w="28" w:type="dxa"/>
          <w:bottom w:w="28" w:type="dxa"/>
          <w:right w:w="28" w:type="dxa"/>
        </w:tblCellMar>
      </w:tblPr>
      <w:tblGrid>
        <w:gridCol w:w="961"/>
        <w:gridCol w:w="846"/>
        <w:gridCol w:w="848"/>
        <w:gridCol w:w="494"/>
        <w:gridCol w:w="494"/>
        <w:gridCol w:w="496"/>
        <w:gridCol w:w="109"/>
        <w:gridCol w:w="109"/>
        <w:gridCol w:w="109"/>
        <w:gridCol w:w="698"/>
        <w:gridCol w:w="698"/>
        <w:gridCol w:w="989"/>
      </w:tblGrid>
      <w:tr>
        <w:trPr/>
        <w:tc>
          <w:tcPr>
            <w:tcW w:w="96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Weighted-average grant-date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December 31, 2022</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395,751 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9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34,250 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9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Vested/released</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(157,360)</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9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Forfeited/canceled</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(12,075)</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9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December 31, 2023</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260,566 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50,500 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9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Vested/released</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(169,991)</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9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Forfeited/canceled</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9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December 31, 2024</w:t>
            </w:r>
          </w:p>
        </w:tc>
        <w:tc>
          <w:tcPr>
            <w:tcW w:w="98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139,825 </w:t>
            </w:r>
          </w:p>
        </w:tc>
        <w:tc>
          <w:tcPr>
            <w:tcW w:w="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9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restricted stock granted was based on the closing market price of the Company’s common stock on the grant date. The fair value of restricted stock awards that vested during the years 2024 and 2023 was $0.3 million for each year. At December 31, 2024, there was approximately $0.1 million of unrecognized compensation costs related to restricted stock awards, which is expected to be recognized over a weighted-average period of less than a year. The restricted stock grants are included in the diluted weighted shares outstanding computation until they cliff-vest. Once vested they are included in the basic weighted shares outstanding computation.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hanging="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ind w:left="0" w:right="0" w:hanging="90"/>
        <w:jc w:val="both"/>
        <w:rPr>
          <w:rFonts w:ascii="Times New Roman;sans-serif" w:hAnsi="Times New Roman;sans-serif"/>
          <w:b/>
          <w:color w:val="000000"/>
          <w:sz w:val="20"/>
        </w:rPr>
      </w:pPr>
      <w:r>
        <w:rPr>
          <w:rFonts w:ascii="Times New Roman;sans-serif" w:hAnsi="Times New Roman;sans-serif"/>
          <w:b/>
          <w:color w:val="000000"/>
          <w:sz w:val="20"/>
        </w:rPr>
        <w:t>(14)    Employee Benefit Plans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sponsors an employee benefit plan that was established on January 1, 2006, the Cumberland Pharmaceuticals 401(k) Plan (the "Plan"), under Section 401(k) of the Internal Revenue Code of 1986, as amended, for the benefit of all employees over the age of 21, having been employed by the Company for at least six months. The Plan provides that participants may contribute up to the maximum amount of their compensation as set forth by the Internal Revenue Service each year. Employee contributions are invested in various investment funds based upon elections made by the employees. During 2024 and 2023, the Company contributed approximately $0.08 million in each year to the Plan as an employer match of participant contributions.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2012 and 2013, the Company established non-qualified unfunded deferred compensation plans that allow participants to defer receipt of a portion of their compensation. The liability under the plans, reflected in other long term liabilities in the consolidated balance sheets, was $3.2 million and $2.9 million as of December 31, 2024 and 2023, respectively. The Company had assets consisting of company-owned life insurance contracts generally designated to pay benefits of the deferred compensation plans reflected in other assets in the consolidated balance sheet of $2.3 million and $2.4 million as of December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90"/>
        <w:jc w:val="both"/>
        <w:rPr>
          <w:rFonts w:ascii="Times New Roman;sans-serif" w:hAnsi="Times New Roman;sans-serif"/>
          <w:b/>
          <w:color w:val="000000"/>
          <w:sz w:val="20"/>
        </w:rPr>
      </w:pPr>
      <w:r>
        <w:rPr>
          <w:rFonts w:ascii="Times New Roman;sans-serif" w:hAnsi="Times New Roman;sans-serif"/>
          <w:b/>
          <w:color w:val="000000"/>
          <w:sz w:val="20"/>
        </w:rPr>
        <w:t>(15)    Leases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15, 2021, Cumberland entered into a lease, pursuant to which the Company leases approximately 16,903 rentable square feet of space at the new development Broadwest located in Nashville, Tennessee with 1600 West End Avenue Partners, LLC. The leased premise serves as the Company's new corporate headquarters. The initial term of the lease is one hundred fifty-seven (157) months, with two consecutive options to renew for a period of five years each, with the commencement date of October 25, 2022. This lease currently expires in November 2035.</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responsible for paying rent to the Landlord under the lease beginning three months after the commencement date. The Company pays a base rent of $33.06 per square foot of rentable space with a gradual rental rate increase of 2.5% for each year period thereafter of the prior year's base rental. In addition to the monthly base rent, the Company is responsible for its percentage share of the operating expenses of the building. The lease also provides for a tenant improvement allowance for the space.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2022, the CET lease with The Gateway to Nashville, LLC provided the notice of exercise to extend the lease for five years. The lease is for approximately 14,200 square feet of wet laboratory and office space in Nashville, Tennessee where CET operates the CET Life Sciences Center.The wet laboratory and office space is leased through April 2028. The Company also subleases a portion of the space under this lease.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Included within the right-of-use assets are startup expenditures related to a new supply agreement with Nephron Pharmaceuticals Corporation (“Nephron”). These expenditures are classified as an embedded lease resulting in a right-of-use asset to be amortized over the life of the Nephron contract. As of December 31, 2024 and 2023, the value of this asset was $0.8 million and $1.0 million, respectively.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Also included within the right-of-use assets are startup expenditures related to a new master services agreement and project agreement with Kindos Pharmaceuticals Co. Ltd. signed in 2024. These expenditures are also classified as an embedded lease resulting in a right-of-use asset to be amortized over the life of the Kindos contract. As of December 31, 2024, the value of the asset was $0.1 million.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Rent expense is recognized over the expected term of the lease on a straight-line basis as a component of general and administrative expense. Rent expense and sublease income were as follows for the years ended December 31:</w:t>
      </w:r>
    </w:p>
    <w:tbl>
      <w:tblPr>
        <w:tblW w:w="4994" w:type="dxa"/>
        <w:jc w:val="left"/>
        <w:tblInd w:w="0" w:type="dxa"/>
        <w:tblLayout w:type="fixed"/>
        <w:tblCellMar>
          <w:top w:w="28" w:type="dxa"/>
          <w:left w:w="28" w:type="dxa"/>
          <w:bottom w:w="28" w:type="dxa"/>
          <w:right w:w="28" w:type="dxa"/>
        </w:tblCellMar>
      </w:tblPr>
      <w:tblGrid>
        <w:gridCol w:w="538"/>
        <w:gridCol w:w="472"/>
        <w:gridCol w:w="475"/>
        <w:gridCol w:w="109"/>
        <w:gridCol w:w="109"/>
        <w:gridCol w:w="109"/>
        <w:gridCol w:w="211"/>
        <w:gridCol w:w="976"/>
        <w:gridCol w:w="109"/>
        <w:gridCol w:w="109"/>
        <w:gridCol w:w="109"/>
        <w:gridCol w:w="109"/>
        <w:gridCol w:w="211"/>
        <w:gridCol w:w="976"/>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554,069 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544,138 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2016, the FASB issued ASU 2016-02. ASU 2016-02’s core principle is to increase transparency and comparability among organizations by recognizing lease assets and liabilities on the balance sheet and disclosing key information. The primary effect of adopting ASU 2016-02 to the Company was to record right-of-use assets and obligations for the leases currently classified as operating leases.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liabilities were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the Company’s leases do not contain implicit borrowing rates, the incremental borrowing rates were calculated based on information available at October 25, 2022 and May 1, 2023. Incremental borrowing rates reflect the Company’s estimated interest rates for collateralized borrowings over similar lease terms.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lease term for the Broadwest and Gateway leases is 9.60 years and 10.42 years for the year ended December 31, 2024 and 2023, respectively. The weighted-average incremental borrowing rate used to discount the present value of the remaining lease payments of both leases is 9.38% and 9.40% for the years ended December 31, 2024 and 2023, respectively.</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Position</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and 2023, the Company recorded the following on the Consolidated Balance Sheet: </w:t>
      </w:r>
    </w:p>
    <w:tbl>
      <w:tblPr>
        <w:tblW w:w="7027" w:type="dxa"/>
        <w:jc w:val="left"/>
        <w:tblInd w:w="0" w:type="dxa"/>
        <w:tblLayout w:type="fixed"/>
        <w:tblCellMar>
          <w:top w:w="28" w:type="dxa"/>
          <w:left w:w="28" w:type="dxa"/>
          <w:bottom w:w="28" w:type="dxa"/>
          <w:right w:w="28" w:type="dxa"/>
        </w:tblCellMar>
      </w:tblPr>
      <w:tblGrid>
        <w:gridCol w:w="1042"/>
        <w:gridCol w:w="917"/>
        <w:gridCol w:w="920"/>
        <w:gridCol w:w="109"/>
        <w:gridCol w:w="109"/>
        <w:gridCol w:w="109"/>
        <w:gridCol w:w="281"/>
        <w:gridCol w:w="1299"/>
        <w:gridCol w:w="145"/>
        <w:gridCol w:w="109"/>
        <w:gridCol w:w="109"/>
        <w:gridCol w:w="109"/>
        <w:gridCol w:w="278"/>
        <w:gridCol w:w="1288"/>
        <w:gridCol w:w="203"/>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6,176,923 </w:t>
            </w:r>
          </w:p>
        </w:tc>
        <w:tc>
          <w:tcPr>
            <w:tcW w:w="1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6,674,394 </w:t>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43" w:type="dxa"/>
        <w:jc w:val="left"/>
        <w:tblInd w:w="0" w:type="dxa"/>
        <w:tblLayout w:type="fixed"/>
        <w:tblCellMar>
          <w:top w:w="28" w:type="dxa"/>
          <w:left w:w="28" w:type="dxa"/>
          <w:bottom w:w="28" w:type="dxa"/>
          <w:right w:w="28" w:type="dxa"/>
        </w:tblCellMar>
      </w:tblPr>
      <w:tblGrid>
        <w:gridCol w:w="1158"/>
        <w:gridCol w:w="1015"/>
        <w:gridCol w:w="1022"/>
        <w:gridCol w:w="109"/>
        <w:gridCol w:w="109"/>
        <w:gridCol w:w="109"/>
        <w:gridCol w:w="281"/>
        <w:gridCol w:w="1299"/>
        <w:gridCol w:w="145"/>
        <w:gridCol w:w="109"/>
        <w:gridCol w:w="109"/>
        <w:gridCol w:w="109"/>
        <w:gridCol w:w="278"/>
        <w:gridCol w:w="1288"/>
        <w:gridCol w:w="203"/>
      </w:tblGrid>
      <w:tr>
        <w:trPr/>
        <w:tc>
          <w:tcPr>
            <w:tcW w:w="11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356,508 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348,092 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4,939,739 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5,296,247 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5,296,247 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5,644,339 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cumulative future minimum sublease income under non-cancelable operating subleases totals approximately $0.2 million which includes the 90-day notice required for lease termination. Future minimum lease payments under non-cancelable operating leases (with initial or remaining lease terms in excess of one year) are as follows:</w:t>
      </w:r>
    </w:p>
    <w:tbl>
      <w:tblPr>
        <w:tblW w:w="6461" w:type="dxa"/>
        <w:jc w:val="left"/>
        <w:tblInd w:w="0" w:type="dxa"/>
        <w:tblLayout w:type="fixed"/>
        <w:tblCellMar>
          <w:top w:w="28" w:type="dxa"/>
          <w:left w:w="28" w:type="dxa"/>
          <w:bottom w:w="28" w:type="dxa"/>
          <w:right w:w="28" w:type="dxa"/>
        </w:tblCellMar>
      </w:tblPr>
      <w:tblGrid>
        <w:gridCol w:w="1629"/>
        <w:gridCol w:w="1432"/>
        <w:gridCol w:w="1439"/>
        <w:gridCol w:w="109"/>
        <w:gridCol w:w="109"/>
        <w:gridCol w:w="109"/>
        <w:gridCol w:w="257"/>
        <w:gridCol w:w="1190"/>
        <w:gridCol w:w="187"/>
      </w:tblGrid>
      <w:tr>
        <w:trPr/>
        <w:tc>
          <w:tcPr>
            <w:tcW w:w="16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Maturity of Leases Liabilities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r>
      <w:tr>
        <w:trPr/>
        <w:tc>
          <w:tcPr>
            <w:tcW w:w="4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836,100 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909,911 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934,180 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740,791 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650,766 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4,196,635 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8,268,383 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(2,972,136)</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5,296,247 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(16)    Market Concentrations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principal financial instruments subject to potential concentration of credit risk are accounts receivable, which are unsecured, and cash equivalents. The Company’s cash equivalents consist primarily of money market funds. Certain bank deposits may be in excess of the insurance limits provided by the Federal Deposit Insurance Corporation.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primary customers are wholesale pharmaceutical distributors in the U.S.  Total revenues by customer for each customer representing 10% or more of consolidated revenues are summarized below for the years ended December 31: </w:t>
      </w:r>
    </w:p>
    <w:tbl>
      <w:tblPr>
        <w:tblW w:w="2924" w:type="dxa"/>
        <w:jc w:val="left"/>
        <w:tblInd w:w="0" w:type="dxa"/>
        <w:tblLayout w:type="fixed"/>
        <w:tblCellMar>
          <w:top w:w="28" w:type="dxa"/>
          <w:left w:w="28" w:type="dxa"/>
          <w:bottom w:w="28" w:type="dxa"/>
          <w:right w:w="28" w:type="dxa"/>
        </w:tblCellMar>
      </w:tblPr>
      <w:tblGrid>
        <w:gridCol w:w="380"/>
        <w:gridCol w:w="334"/>
        <w:gridCol w:w="335"/>
        <w:gridCol w:w="109"/>
        <w:gridCol w:w="109"/>
        <w:gridCol w:w="109"/>
        <w:gridCol w:w="159"/>
        <w:gridCol w:w="159"/>
        <w:gridCol w:w="161"/>
        <w:gridCol w:w="109"/>
        <w:gridCol w:w="109"/>
        <w:gridCol w:w="109"/>
        <w:gridCol w:w="159"/>
        <w:gridCol w:w="159"/>
        <w:gridCol w:w="161"/>
        <w:gridCol w:w="109"/>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accounts receivable, net of allowances, due from the customers representing 10% or more of consolidated revenue was 63.7% and 62.3% at December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90"/>
        <w:jc w:val="both"/>
        <w:rPr>
          <w:rFonts w:ascii="Times New Roman;sans-serif" w:hAnsi="Times New Roman;sans-serif"/>
          <w:b/>
          <w:color w:val="000000"/>
          <w:sz w:val="20"/>
        </w:rPr>
      </w:pPr>
      <w:r>
        <w:rPr>
          <w:rFonts w:ascii="Times New Roman;sans-serif" w:hAnsi="Times New Roman;sans-serif"/>
          <w:b/>
          <w:color w:val="000000"/>
          <w:sz w:val="20"/>
        </w:rPr>
        <w:t>(17)    Manufacturing and Supply Agreements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one or two primary suppliers to manufacture each of its products and product candidates. Although there are a limited number of manufacturers of pharmaceutical products, the Company believes it could utilize other suppliers to manufacture its prescription products on comparable terms. A change in suppliers, problems with its third-party manufacturing operations or related production capacity, or contract disputes with suppliers could cause a delay in manufacturing or shipment of finished goods and possible loss of sales, which could adversely affect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90"/>
        <w:jc w:val="both"/>
        <w:rPr>
          <w:rFonts w:ascii="Times New Roman;sans-serif" w:hAnsi="Times New Roman;sans-serif"/>
          <w:b/>
          <w:color w:val="000000"/>
          <w:sz w:val="20"/>
        </w:rPr>
      </w:pPr>
      <w:r>
        <w:rPr>
          <w:rFonts w:ascii="Times New Roman;sans-serif" w:hAnsi="Times New Roman;sans-serif"/>
          <w:b/>
          <w:color w:val="000000"/>
          <w:sz w:val="20"/>
        </w:rPr>
        <w:t>(18)    Employment Agreements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employment agreements with all its full-time employees. Each employment agreement provides for a salary for services performed, a potential annual bonus and, if applicable, a grant of restricted common shares pursuant to a restricted stock and incentive stock option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90"/>
        <w:jc w:val="both"/>
        <w:rPr>
          <w:rFonts w:ascii="Times New Roman;sans-serif" w:hAnsi="Times New Roman;sans-serif"/>
          <w:b/>
          <w:color w:val="000000"/>
          <w:sz w:val="20"/>
        </w:rPr>
      </w:pPr>
      <w:r>
        <w:rPr>
          <w:rFonts w:ascii="Times New Roman;sans-serif" w:hAnsi="Times New Roman;sans-serif"/>
          <w:b/>
          <w:color w:val="000000"/>
          <w:sz w:val="20"/>
        </w:rPr>
        <w:t>(19)    Commitments and Contingencies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its licensing agreements for Caldolor, the Company is required to pay royalties based on net sales over the life of the product. Royalty expense is recognized as a component of selling and marketing expense in the period that revenue is recognized.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acquisition of Vibativ, the Company is required to pay royalties based on net sales of the product. At the purchase date, Cumberland recorded the fair value of this liability and will continue to evaluate the liability each period and the royalty expense is recognized as a component of selling and marketing expense in the period that the change in fair value is recognized.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acquisition of Sancuso, the Company is required to pay up to $3.5 million in milestones and tiered royalties ranging from 10% to 5% on U.S. net product sales for ten years. </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has a number of patents issued through the United States Patent and Trademark Office (the “USPTO”) including U.S. Patent number 8,148,356 (the “356 Acetadote Patent”) which is assigned to the Company. The claims of the 356 Acetadote Patent encompass the new Acetadote formulation and include composition of matter claims. Following its issuance, the 356 Acetadote Patent was listed in the FDA Orange Book. The 356 Acetadote Patent is scheduled to expire in May 2026, which time period includes a 270-day patent term adjustment granted by the USPTO.</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2012, Cumberland has continued to vigorously defend and protect its Acetadote product and related intellectual property rights including the use of all its legal options.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Melinta Litigation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 2022, the Company filed an action for breach of contract against Melinta Therapeutics, LLC and Targanta Therapeutics Corporation (collectively, the “Defendants”) in the United States District Court for the Southern District of New York (Case No. 1:22-cv-00915-VM). The Company and the Defendants are parties to an agreement (the “Agreement”), pursuant to which the Defendants have a license to develop and commercialize products under certain Company patents, in exchange for the Defendants paying the Company certain milestone payments and royalties on net sales of the licensed products.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Specifically, the Agreement requires the Defendants to, among other things, make a $500,000 payment to the Company within 30 days following the first filing of an sNDA in relation to the Product (as defined by the Agreement) and a $500,000 payment to the Company following the approval of the first sNDA in relation to the Product.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After Defendants disclosed the domiciles of its limited partners to the Company, as required by the Court, on October 24, 2022, the action for breach of contract was refiled in the Supreme Court of the State of New York, County of New York (Index No. 654234/2022) on November 7, 2022.</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complaint alleges that, despite the Defendants filing an NDA and sNDA for the Product and receiving FDA approval for both applications, the Defendants failed to make the required total of $1 million in milestone payments to the Company. The Company was seeking damages in the amount of no less than $1 million, pre- and post-judgment interest under N.Y. C.P.L.R. § 5001, costs, and such further relief as the court deems just and proper.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18, 2023 the state court ruled in favor of the Company. On June 16, 2023, the Company received consideration related to the breach of contract action with the Defendants that finalized a settlement agreement that was entered into by the Company and the Defendants to close the case.</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(Continued)</w:t>
      </w:r>
    </w:p>
    <w:p>
      <w:pPr>
        <w:pStyle w:val="TextBody"/>
        <w:bidi w:val="0"/>
        <w:spacing w:lineRule="auto" w:line="288" w:before="160" w:after="283"/>
        <w:ind w:left="0" w:right="0" w:hanging="90"/>
        <w:jc w:val="both"/>
        <w:rPr>
          <w:rFonts w:ascii="Times New Roman;sans-serif" w:hAnsi="Times New Roman;sans-serif"/>
          <w:b/>
          <w:color w:val="000000"/>
          <w:sz w:val="20"/>
        </w:rPr>
      </w:pPr>
      <w:r>
        <w:rPr>
          <w:rFonts w:ascii="Times New Roman;sans-serif" w:hAnsi="Times New Roman;sans-serif"/>
          <w:b/>
          <w:color w:val="000000"/>
          <w:sz w:val="20"/>
        </w:rPr>
        <w:t>(20)    Quarterly Financial Information (Unaudited)</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unaudited operating results for each fiscal quarter of 2024 and 2023:</w:t>
      </w:r>
    </w:p>
    <w:tbl>
      <w:tblPr>
        <w:tblW w:w="10205" w:type="dxa"/>
        <w:jc w:val="left"/>
        <w:tblInd w:w="0" w:type="dxa"/>
        <w:tblLayout w:type="fixed"/>
        <w:tblCellMar>
          <w:top w:w="28" w:type="dxa"/>
          <w:left w:w="28" w:type="dxa"/>
          <w:bottom w:w="28" w:type="dxa"/>
          <w:right w:w="28" w:type="dxa"/>
        </w:tblCellMar>
      </w:tblPr>
      <w:tblGrid>
        <w:gridCol w:w="866"/>
        <w:gridCol w:w="755"/>
        <w:gridCol w:w="663"/>
        <w:gridCol w:w="109"/>
        <w:gridCol w:w="109"/>
        <w:gridCol w:w="109"/>
        <w:gridCol w:w="196"/>
        <w:gridCol w:w="871"/>
        <w:gridCol w:w="109"/>
        <w:gridCol w:w="109"/>
        <w:gridCol w:w="109"/>
        <w:gridCol w:w="109"/>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196"/>
        <w:gridCol w:w="961"/>
        <w:gridCol w:w="155"/>
      </w:tblGrid>
      <w:tr>
        <w:trPr/>
        <w:tc>
          <w:tcPr>
            <w:tcW w:w="86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First</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Second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Third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Fourth</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8,497,701 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9,848,849 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9,085,826 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10,435,569 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37,867,945 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(1,842,039)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(6,432,409)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(6,443,715)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(1,946,263)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(1,903,814)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(6,479,770)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Loss per share attributable to common shareholders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9,224,638 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10,888,877 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10,085,926 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9,353,066 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39,552,507 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(1,866,603)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(6,179,239)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(9,554,661)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(6,301,987)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(6,330,766)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(6,294,406)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(6,279,320)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Earnings (loss) per share attributable to common shareholders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360"/>
        <w:jc w:val="both"/>
        <w:rPr/>
      </w:pPr>
      <w:r>
        <w:rPr>
          <w:rFonts w:ascii="Times New Roman;sans-serif" w:hAnsi="Times New Roman;sans-serif"/>
          <w:b w:val="false"/>
          <w:color w:val="000000"/>
          <w:sz w:val="10"/>
        </w:rPr>
        <w:t>(1)</w:t>
      </w:r>
      <w:r>
        <w:rPr>
          <w:color w:val="000000"/>
        </w:rPr>
        <w:t>    </w:t>
      </w:r>
      <w:r>
        <w:rPr>
          <w:rFonts w:ascii="Times New Roman;sans-serif" w:hAnsi="Times New Roman;sans-serif"/>
          <w:b w:val="false"/>
          <w:color w:val="000000"/>
          <w:sz w:val="16"/>
        </w:rPr>
        <w:t>Due to the nature of interim earnings per share calculations, the sum of the quarterly earnings (loss) per share amounts may not equal the reported earnings (loss) per share for the full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right"/>
        <w:rPr>
          <w:rFonts w:ascii="Arial;sans-serif" w:hAnsi="Arial;sans-serif"/>
          <w:b/>
          <w:color w:val="000000"/>
          <w:sz w:val="20"/>
        </w:rPr>
      </w:pPr>
      <w:r>
        <w:rPr>
          <w:rFonts w:ascii="Arial;sans-serif" w:hAnsi="Arial;sans-serif"/>
          <w:b/>
          <w:color w:val="000000"/>
          <w:sz w:val="20"/>
        </w:rPr>
        <w:t>Schedule II</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Valuation and Qualifying Accounts</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ended December 31, 2024 and 2023.</w:t>
      </w:r>
    </w:p>
    <w:tbl>
      <w:tblPr>
        <w:tblW w:w="10205" w:type="dxa"/>
        <w:jc w:val="left"/>
        <w:tblInd w:w="0" w:type="dxa"/>
        <w:tblLayout w:type="fixed"/>
        <w:tblCellMar>
          <w:top w:w="28" w:type="dxa"/>
          <w:left w:w="28" w:type="dxa"/>
          <w:bottom w:w="28" w:type="dxa"/>
          <w:right w:w="28" w:type="dxa"/>
        </w:tblCellMar>
      </w:tblPr>
      <w:tblGrid>
        <w:gridCol w:w="668"/>
        <w:gridCol w:w="588"/>
        <w:gridCol w:w="593"/>
        <w:gridCol w:w="109"/>
        <w:gridCol w:w="109"/>
        <w:gridCol w:w="109"/>
        <w:gridCol w:w="540"/>
        <w:gridCol w:w="541"/>
        <w:gridCol w:w="356"/>
        <w:gridCol w:w="109"/>
        <w:gridCol w:w="109"/>
        <w:gridCol w:w="109"/>
        <w:gridCol w:w="488"/>
        <w:gridCol w:w="488"/>
        <w:gridCol w:w="266"/>
        <w:gridCol w:w="109"/>
        <w:gridCol w:w="109"/>
        <w:gridCol w:w="109"/>
        <w:gridCol w:w="413"/>
        <w:gridCol w:w="413"/>
        <w:gridCol w:w="326"/>
        <w:gridCol w:w="109"/>
        <w:gridCol w:w="109"/>
        <w:gridCol w:w="109"/>
        <w:gridCol w:w="497"/>
        <w:gridCol w:w="498"/>
        <w:gridCol w:w="326"/>
        <w:gridCol w:w="109"/>
        <w:gridCol w:w="109"/>
        <w:gridCol w:w="109"/>
        <w:gridCol w:w="540"/>
        <w:gridCol w:w="541"/>
        <w:gridCol w:w="488"/>
      </w:tblGrid>
      <w:tr>
        <w:trPr/>
        <w:tc>
          <w:tcPr>
            <w:tcW w:w="66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1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Balance at</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beginning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Charged to</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costs and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Charged to</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Balance at</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end of period</w:t>
            </w:r>
          </w:p>
        </w:tc>
      </w:tr>
      <w:tr>
        <w:trPr/>
        <w:tc>
          <w:tcPr>
            <w:tcW w:w="18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uncollectible amounts, cash discounts, chargebacks, and credits issued for damaged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w:t>
            </w:r>
          </w:p>
          <w:p>
            <w:pPr>
              <w:pStyle w:val="TableContents"/>
              <w:bidi w:val="0"/>
              <w:spacing w:lineRule="auto" w:line="240"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1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596,091 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5,953,142 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(5,969,671)</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579,562 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579,562 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5,734,792 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(5,381,391)</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1,036,963 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w:t>
            </w:r>
          </w:p>
          <w:p>
            <w:pPr>
              <w:pStyle w:val="TableContents"/>
              <w:bidi w:val="0"/>
              <w:spacing w:lineRule="auto" w:line="240"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1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21,557,784 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311,544 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21,869,328 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21,869,328 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80,060 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21,949,388 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6"/>
        </w:rPr>
        <w:t>Composed of actual returns and credits for chargebacks and cash discounts.</w:t>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3.1</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I.</w:t>
      </w:r>
      <w:r>
        <w:rPr>
          <w:rFonts w:ascii="Times New Roman;sans-serif" w:hAnsi="Times New Roman;sans-serif"/>
          <w:b w:val="false"/>
          <w:strike/>
          <w:color w:val="FF0000"/>
          <w:sz w:val="24"/>
        </w:rPr>
        <w:t>THIRD</w:t>
      </w:r>
      <w:r>
        <w:rPr>
          <w:rFonts w:ascii="Times New Roman;sans-serif" w:hAnsi="Times New Roman;sans-serif"/>
          <w:b/>
          <w:color w:val="3051F2"/>
          <w:sz w:val="24"/>
        </w:rPr>
        <w:t>FOURTH</w:t>
      </w:r>
      <w:r>
        <w:rPr>
          <w:color w:val="000000"/>
        </w:rPr>
        <w:t xml:space="preserve"> </w:t>
      </w:r>
      <w:r>
        <w:rPr>
          <w:rFonts w:ascii="Times New Roman;sans-serif" w:hAnsi="Times New Roman;sans-serif"/>
          <w:b/>
          <w:color w:val="000000"/>
          <w:sz w:val="24"/>
        </w:rPr>
        <w:t>AMENDED AND RESTATED CHARTER</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CUMBERLAND PHARMACEUTICALS INC.</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Cumberland Pharmaceuticals Inc. (the “Company”), a corporation organized and existing under and by virtue of the Tennessee Business Corporation Act, as amended (the “Act”), does hereby certify: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I.That the Company was incorporated upon the filing of its charter (the “Original Charter”) with the Secretary of State of the State of Tennessee (the “Tennessee Secretary of State”) on January 7, 1999.</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II.That the Company filed an Amended and Restated Charter (the “Restated Charter”) with the Tennessee Secretary of State on October 12, 2000.</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III.That the Company filed a Charter Amendment to the Restated Charter with the Tennessee Secretary of State on June 5, 2003 that changed the principal office address and registered office address of the Company. </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IV.That the Board of Directors of the Company (the “Board of Directors”) proposed and recommended, and the shareholders of the Company (the “Shareholders”) adopted, the amendments included in the Second Amended and Restated Charter (the “Second Restated Charter”) on April 18, 2007.</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V.That the Board of Directors proposed and recommended to the Shareholders, on June 29, 2009, the amendments (the “Amendments”) included in the Third Amended and Restated Charter (the “Third Restated Charter”) set forth below as the charter of the Company (the “Charter”).</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VI.</w:t>
      </w:r>
      <w:r>
        <w:rPr>
          <w:rFonts w:ascii="Times New Roman;sans-serif" w:hAnsi="Times New Roman;sans-serif"/>
          <w:b w:val="false"/>
          <w:color w:val="010101"/>
          <w:sz w:val="24"/>
        </w:rPr>
        <w:t xml:space="preserve">That the </w:t>
      </w:r>
      <w:r>
        <w:rPr>
          <w:rFonts w:ascii="Times New Roman;sans-serif" w:hAnsi="Times New Roman;sans-serif"/>
          <w:b w:val="false"/>
          <w:strike/>
          <w:color w:val="FF0000"/>
          <w:sz w:val="24"/>
        </w:rPr>
        <w:t>Shareholders adopted</w:t>
      </w:r>
      <w:r>
        <w:rPr>
          <w:rFonts w:ascii="Times New Roman;sans-serif" w:hAnsi="Times New Roman;sans-serif"/>
          <w:b w:val="false"/>
          <w:color w:val="3051F2"/>
          <w:sz w:val="24"/>
        </w:rPr>
        <w:t>Board of Directors approved</w:t>
      </w:r>
      <w:r>
        <w:rPr>
          <w:color w:val="000000"/>
        </w:rPr>
        <w:t xml:space="preserve"> </w:t>
      </w:r>
      <w:r>
        <w:rPr>
          <w:rFonts w:ascii="Times New Roman;sans-serif" w:hAnsi="Times New Roman;sans-serif"/>
          <w:b w:val="false"/>
          <w:color w:val="010101"/>
          <w:sz w:val="24"/>
        </w:rPr>
        <w:t xml:space="preserve">on </w:t>
      </w:r>
      <w:r>
        <w:rPr>
          <w:rFonts w:ascii="Times New Roman;sans-serif" w:hAnsi="Times New Roman;sans-serif"/>
          <w:b w:val="false"/>
          <w:strike/>
          <w:color w:val="FF0000"/>
          <w:sz w:val="24"/>
        </w:rPr>
        <w:t>July 10, 2009,</w:t>
      </w:r>
      <w:r>
        <w:rPr>
          <w:color w:val="FF0000"/>
        </w:rPr>
        <w:t xml:space="preserve"> </w:t>
      </w:r>
      <w:r>
        <w:rPr>
          <w:rFonts w:ascii="Times New Roman;sans-serif" w:hAnsi="Times New Roman;sans-serif"/>
          <w:b w:val="false"/>
          <w:color w:val="3051F2"/>
          <w:sz w:val="24"/>
        </w:rPr>
        <w:t>September 15, 2021</w:t>
      </w:r>
      <w:r>
        <w:rPr>
          <w:color w:val="000000"/>
        </w:rPr>
        <w:t xml:space="preserve"> </w:t>
      </w:r>
      <w:r>
        <w:rPr>
          <w:rFonts w:ascii="Times New Roman;sans-serif" w:hAnsi="Times New Roman;sans-serif"/>
          <w:b w:val="false"/>
          <w:color w:val="3051F2"/>
          <w:sz w:val="24"/>
        </w:rPr>
        <w:t>to change</w:t>
      </w:r>
      <w:r>
        <w:rPr>
          <w:color w:val="000000"/>
        </w:rPr>
        <w:t xml:space="preserve"> </w:t>
      </w:r>
      <w:r>
        <w:rPr>
          <w:rFonts w:ascii="Times New Roman;sans-serif" w:hAnsi="Times New Roman;sans-serif"/>
          <w:b w:val="false"/>
          <w:color w:val="010101"/>
          <w:sz w:val="24"/>
        </w:rPr>
        <w:t xml:space="preserve">the </w:t>
      </w:r>
      <w:r>
        <w:rPr>
          <w:rFonts w:ascii="Times New Roman;sans-serif" w:hAnsi="Times New Roman;sans-serif"/>
          <w:b w:val="false"/>
          <w:strike/>
          <w:color w:val="FF0000"/>
          <w:sz w:val="24"/>
        </w:rPr>
        <w:t>Amendments</w:t>
      </w:r>
      <w:r>
        <w:rPr>
          <w:rFonts w:ascii="Times New Roman;sans-serif" w:hAnsi="Times New Roman;sans-serif"/>
          <w:b w:val="false"/>
          <w:color w:val="3051F2"/>
          <w:sz w:val="24"/>
        </w:rPr>
        <w:t>principal office address and registered office address of the Company</w:t>
      </w:r>
      <w:r>
        <w:rPr>
          <w:color w:val="000000"/>
        </w:rPr>
        <w:t xml:space="preserve"> </w:t>
      </w:r>
      <w:r>
        <w:rPr>
          <w:rFonts w:ascii="Times New Roman;sans-serif" w:hAnsi="Times New Roman;sans-serif"/>
          <w:b w:val="false"/>
          <w:color w:val="010101"/>
          <w:sz w:val="24"/>
        </w:rPr>
        <w:t xml:space="preserve">included in </w:t>
      </w:r>
      <w:r>
        <w:rPr>
          <w:rFonts w:ascii="Times New Roman;sans-serif" w:hAnsi="Times New Roman;sans-serif"/>
          <w:b w:val="false"/>
          <w:strike/>
          <w:color w:val="FF0000"/>
          <w:sz w:val="24"/>
        </w:rPr>
        <w:t>the Third</w:t>
      </w:r>
      <w:r>
        <w:rPr>
          <w:rFonts w:ascii="Times New Roman;sans-serif" w:hAnsi="Times New Roman;sans-serif"/>
          <w:b w:val="false"/>
          <w:color w:val="3051F2"/>
          <w:sz w:val="24"/>
        </w:rPr>
        <w:t>this Fourth Amended and</w:t>
      </w:r>
      <w:r>
        <w:rPr>
          <w:color w:val="000000"/>
        </w:rPr>
        <w:t xml:space="preserve"> </w:t>
      </w:r>
      <w:r>
        <w:rPr>
          <w:rFonts w:ascii="Times New Roman;sans-serif" w:hAnsi="Times New Roman;sans-serif"/>
          <w:b w:val="false"/>
          <w:color w:val="010101"/>
          <w:sz w:val="24"/>
        </w:rPr>
        <w:t xml:space="preserve">Restated Charter </w:t>
      </w:r>
      <w:r>
        <w:rPr>
          <w:rFonts w:ascii="Times New Roman;sans-serif" w:hAnsi="Times New Roman;sans-serif"/>
          <w:b w:val="false"/>
          <w:strike/>
          <w:color w:val="FF0000"/>
          <w:sz w:val="24"/>
        </w:rPr>
        <w:t>as the Company’s Charter</w:t>
      </w:r>
      <w:r>
        <w:rPr>
          <w:rFonts w:ascii="Times New Roman;sans-serif" w:hAnsi="Times New Roman;sans-serif"/>
          <w:b w:val="false"/>
          <w:color w:val="010101"/>
          <w:sz w:val="24"/>
        </w:rPr>
        <w: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VII.That the Charter has been duly adopted in accordance with Sections 48-20-103 and 48-20-107 of the Act.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adopted Charter of Cumberland Pharmaceuticals Inc. is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The name of the Company is Cumberland Pharmaceuticals Inc.</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The Company is for profit.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The duration of the Company is perpetual.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The street address of the Company’s principal office is:</w:t>
      </w:r>
    </w:p>
    <w:p>
      <w:pPr>
        <w:pStyle w:val="TextBody"/>
        <w:bidi w:val="0"/>
        <w:spacing w:lineRule="auto" w:line="288" w:before="0" w:after="0"/>
        <w:jc w:val="both"/>
        <w:rPr/>
      </w:pPr>
      <w:r>
        <w:rPr>
          <w:rFonts w:ascii="Times New Roman;sans-serif" w:hAnsi="Times New Roman;sans-serif"/>
          <w:b w:val="false"/>
          <w:strike/>
          <w:color w:val="FF0000"/>
          <w:sz w:val="24"/>
        </w:rPr>
        <w:t>2525</w:t>
      </w:r>
      <w:r>
        <w:rPr>
          <w:rFonts w:ascii="Times New Roman;sans-serif" w:hAnsi="Times New Roman;sans-serif"/>
          <w:b w:val="false"/>
          <w:color w:val="3051F2"/>
          <w:sz w:val="24"/>
        </w:rPr>
        <w:t>1600</w:t>
      </w:r>
      <w:r>
        <w:rPr>
          <w:color w:val="000000"/>
        </w:rPr>
        <w:t xml:space="preserve"> </w:t>
      </w:r>
      <w:r>
        <w:rPr>
          <w:rFonts w:ascii="Times New Roman;sans-serif" w:hAnsi="Times New Roman;sans-serif"/>
          <w:b w:val="false"/>
          <w:color w:val="000000"/>
          <w:sz w:val="24"/>
        </w:rPr>
        <w:t xml:space="preserve">West End Avenue, Suite </w:t>
      </w:r>
      <w:r>
        <w:rPr>
          <w:rFonts w:ascii="Times New Roman;sans-serif" w:hAnsi="Times New Roman;sans-serif"/>
          <w:b w:val="false"/>
          <w:strike/>
          <w:color w:val="FF0000"/>
          <w:sz w:val="24"/>
        </w:rPr>
        <w:t>950</w:t>
      </w:r>
      <w:r>
        <w:rPr>
          <w:rFonts w:ascii="Times New Roman;sans-serif" w:hAnsi="Times New Roman;sans-serif"/>
          <w:b w:val="false"/>
          <w:color w:val="3051F2"/>
          <w:sz w:val="24"/>
        </w:rPr>
        <w:t>1300</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Nashville, Tennessee 37203</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County of Davidson</w:t>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85445"/>
                <wp:effectExtent l="0" t="0" r="0" b="0"/>
                <wp:wrapNone/>
                <wp:docPr id="123" name="Frame1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3.1</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Arial;sans-serif" w:hAnsi="Arial;sans-serif"/>
          <w:b w:val="false"/>
          <w:color w:val="000000"/>
          <w:sz w:val="24"/>
        </w:rPr>
        <w:t>(a)</w:t>
      </w:r>
      <w:r>
        <w:rPr>
          <w:color w:val="000000"/>
        </w:rPr>
        <w:t xml:space="preserve"> </w:t>
      </w:r>
      <w:r>
        <w:rPr>
          <w:rFonts w:ascii="Times New Roman;sans-serif" w:hAnsi="Times New Roman;sans-serif"/>
          <w:b w:val="false"/>
          <w:color w:val="000000"/>
          <w:sz w:val="24"/>
        </w:rPr>
        <w:t>The name of the Company’s initial registered agent is A.J. Kazimi.</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(a)The street address of the Company’s initial registered office in Tennessee is: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2525 West End Avenue, Suite 950</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Nashville, Tennessee 37203</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County of Davidson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rPr>
        <w:t>The name and address of the incorporator is: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Martin S. Brown, Jr.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Adams and Reese LLP</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424 Church Street, Suite 2800</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Nashville, Tennessee 37219</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rPr>
        <w:t>The purpose for which the Company is organized is to engage in any lawful act or activity for which corporations may be organized under the Act.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rPr>
        <w:t>The maximum number of shares of stock the Company is authorized to issue is (i) One Hundred Million (100,000,000) shares of common stock, no par value per share (“Common Stock”), (ii) Twenty Million (20,000,000) shares of preferred stock, no par value per share (“Preferred Stock”) and (iii) Three Million (3,000,000) shares of Series A Preferred Stock, no par value per share (“Series A Preferred Stock” and collectively with Common Stock and Preferred Stock, the “Capital Stock”).</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is a description of each of the classes of stock of the Company and a statement of the powers, preferences and rights of such stock, and the qualifications, limitations and restrictions thereof:</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Common Stock.</w:t>
      </w:r>
    </w:p>
    <w:p>
      <w:pPr>
        <w:pStyle w:val="TextBody"/>
        <w:bidi w:val="0"/>
        <w:spacing w:lineRule="auto" w:line="240" w:before="0" w:after="240"/>
        <w:ind w:left="0" w:right="0" w:firstLine="153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Voting Rights</w:t>
      </w:r>
      <w:r>
        <w:rPr>
          <w:rFonts w:ascii="Times New Roman;sans-serif" w:hAnsi="Times New Roman;sans-serif"/>
          <w:b w:val="false"/>
          <w:color w:val="000000"/>
          <w:sz w:val="24"/>
        </w:rPr>
        <w:t>. Each holder of Common Stock shall be entitled to one vote per share of Common Stock on all matters to be voted on by the shareholders of the Company.</w:t>
      </w:r>
    </w:p>
    <w:p>
      <w:pPr>
        <w:pStyle w:val="TextBody"/>
        <w:bidi w:val="0"/>
        <w:spacing w:lineRule="auto" w:line="240" w:before="0" w:after="240"/>
        <w:ind w:left="0" w:right="0" w:firstLine="153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Dividends and Rights Upon Liquidation</w:t>
      </w:r>
      <w:r>
        <w:rPr>
          <w:rFonts w:ascii="Times New Roman;sans-serif" w:hAnsi="Times New Roman;sans-serif"/>
          <w:b w:val="false"/>
          <w:color w:val="000000"/>
          <w:sz w:val="24"/>
        </w:rPr>
        <w:t>. Dividends shall be declared and paid on Common Stock from funds lawfully available therefore as and when determined by the Board of Directors and subject to any preferential dividend rights of any then outstanding Preferred Stock. In the event of a voluntary or involuntary dissolution or liquidation of the Company, after distribution in full of the preferential amounts, if any, to be distributed to the holders of Preferred Stock, the holders of Common Stock shall, subject to the additional rights, if any, of the holders of Preferred Stock fixed in accordance with the provisions of this Charter, be entitled to receive all of the remaining assets of the Company, tangible and intangible, of whatever kind available for distribution to shareholders ratably in proportion to the number of shares of Common Stock held by them respectively.</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Preferred Stock.</w:t>
      </w:r>
    </w:p>
    <w:p>
      <w:pPr>
        <w:pStyle w:val="TextBody"/>
        <w:bidi w:val="0"/>
        <w:spacing w:lineRule="auto" w:line="240" w:before="0" w:after="240"/>
        <w:ind w:left="0" w:right="0" w:firstLine="153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Authorization and Issuance</w:t>
      </w:r>
      <w:r>
        <w:rPr>
          <w:rFonts w:ascii="Times New Roman;sans-serif" w:hAnsi="Times New Roman;sans-serif"/>
          <w:b w:val="false"/>
          <w:color w:val="000000"/>
          <w:sz w:val="24"/>
        </w:rPr>
        <w:t xml:space="preserve">. Twenty million (20,000,000) shares of Preferred Stock, no par value per share. Shares of Preferred Stock may be issued from time to time in one or more classes or series, each such class or series to be so designated as to distinguish the shares thereof from the shares of all other series and classes. The Board of Directors is hereby </w:t>
      </w: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85445"/>
                <wp:effectExtent l="0" t="0" r="0" b="0"/>
                <wp:wrapNone/>
                <wp:docPr id="124" name="Frame1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3.1</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vested with the authority to divide Preferred Stock into classes or series and to fix and determine the relative rights, preferences, qualifications and limitations of the shares of any class or series so established.</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Series A Preferred Stock.</w:t>
      </w:r>
    </w:p>
    <w:p>
      <w:pPr>
        <w:pStyle w:val="TextBody"/>
        <w:bidi w:val="0"/>
        <w:spacing w:lineRule="auto" w:line="240" w:before="0" w:after="240"/>
        <w:ind w:left="0" w:right="0" w:firstLine="153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Designation</w:t>
      </w:r>
      <w:r>
        <w:rPr>
          <w:rFonts w:ascii="Times New Roman;sans-serif" w:hAnsi="Times New Roman;sans-serif"/>
          <w:b w:val="false"/>
          <w:color w:val="000000"/>
          <w:sz w:val="24"/>
        </w:rPr>
        <w:t>. There shall be a series of Preferred Stock designated as Series A Convertible Preferred Stock (the “Series A Preferred Stock”). The number of shares initially constituting the Series A Preferred Stock shall be Three Million (3,000,000), which number may be decreased by the Board of Directors without a vote of shareholders: provided. however, that such number may not be decreased below the number of then outstanding shares of Series A Preferred Stock.</w:t>
      </w:r>
    </w:p>
    <w:p>
      <w:pPr>
        <w:pStyle w:val="TextBody"/>
        <w:bidi w:val="0"/>
        <w:spacing w:lineRule="auto" w:line="240" w:before="0" w:after="240"/>
        <w:ind w:left="0" w:right="0" w:firstLine="153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Voting Rights</w:t>
      </w:r>
      <w:r>
        <w:rPr>
          <w:rFonts w:ascii="Times New Roman;sans-serif" w:hAnsi="Times New Roman;sans-serif"/>
          <w:b w:val="false"/>
          <w:color w:val="000000"/>
          <w:sz w:val="24"/>
        </w:rPr>
        <w:t>. Except as otherwise provided by law, each holder of issued and outstanding Series A Preferred Stock shall be entitled to vote on each matter on which the shareholders of the Company are entitled to vote. Each share of Series A Preferred Stock shall have the number of votes equal to the number of shares of Common Stock into which such share is convertible under Section 5 hereof on the applicable record date for the meeting at which a vote is taken or as of the date on which any written consent of shareholders is being solicited, and such number of shares of Common Stock shall be included in determining the number of shares voting or entitled to voted on any such matter. Except as otherwise required by law and except for any matter on which holders of Series A Preferred Stock have the right to vote separately as a class either hereunder or under applicable law, holders of Series A Preferred Stock shall vote together as a single class with holders of Common Stock.</w:t>
      </w:r>
    </w:p>
    <w:p>
      <w:pPr>
        <w:pStyle w:val="TextBody"/>
        <w:bidi w:val="0"/>
        <w:spacing w:lineRule="auto" w:line="240" w:before="0" w:after="240"/>
        <w:ind w:left="0" w:right="0" w:firstLine="153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Dividends</w:t>
      </w:r>
      <w:r>
        <w:rPr>
          <w:rFonts w:ascii="Times New Roman;sans-serif" w:hAnsi="Times New Roman;sans-serif"/>
          <w:b w:val="false"/>
          <w:color w:val="000000"/>
          <w:sz w:val="24"/>
        </w:rPr>
        <w:t>. No dividend may be declared or paid or set aside for payment to, or other distribution made upon, the Common Stock or on any other stock of the Company ranking junior to or on parity with the Series A Preferred Stock as to dividends unless the same dividends are declared and paid ( or declared and a sum sufficient for the payment thereof set apart for such payment) with respect to the Series A Preferred Stock. The amount of such dividends payable to the holders of the Series A Preferred Stock shall equal the amount that would be payable with respect to such Series A Preferred Stock had it been converted into Common Stock in accordance with the terms and provisions of Section 5 hereof as of the date of such dividend.</w:t>
      </w:r>
    </w:p>
    <w:p>
      <w:pPr>
        <w:pStyle w:val="TextBody"/>
        <w:bidi w:val="0"/>
        <w:spacing w:lineRule="auto" w:line="240" w:before="0" w:after="240"/>
        <w:ind w:left="0" w:right="0" w:firstLine="153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Liquidation</w:t>
      </w:r>
      <w:r>
        <w:rPr>
          <w:rFonts w:ascii="Times New Roman;sans-serif" w:hAnsi="Times New Roman;sans-serif"/>
          <w:b w:val="false"/>
          <w:color w:val="000000"/>
          <w:sz w:val="24"/>
        </w:rPr>
        <w:t xml:space="preserve">. In the event of any liquidation, dissolution, or winding up of the Company, whether voluntary or involuntary, holders of each share of Series A Preferred Stock shall be entitled to be paid out of the assets of the Company available for distribution to holders of the Company’s capital stock an amount per share equal to Three Dollars and Twenty-Five Cents ($3.25) (the “Preference Amount”). The Preference Amount shall be paid to the holders of the Series A Preferred Stock with respect to such liquidation, dissolution, or winding up before any sums shall be paid or any assets distributed to the holders of shares of Common Stock or to the holders of any other stock of the Company ranking junior to the Series A Preferred Stock as to liquidation preferences, but after the payment of liquidation amounts to the holders of any other stock of the Company ranking senior to the Series A Preferred Stock as to liquidation preferences. If the assets of the Company shall be insufficient to permit the payment in full of the Preference Amount to the holders of the Series A Preferred Stock, then the entire assets of the Company available for such distribution shall be distributed ratably among the holders of the Series A Preferred Stock and the holders of any other class of stock of the Company ranking on a parity with the Senior A Preferred Stock as to liquidation preferences. After the Preference Amount shall have been paid in full to the holders of the Series A Preferred Stock (or funds necessary for such payment shall have been set aside by the Company in trust for the account of holders of the Series A Preferred Stock so as to be available for such payment), the holders of the Series A Preferred Stock shall not be entitled to participate in any further distributions by the Company and </w:t>
      </w: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85445"/>
                <wp:effectExtent l="0" t="0" r="0" b="0"/>
                <wp:wrapNone/>
                <wp:docPr id="125" name="Frame1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3.1</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shall have no further rights or claims to any of the assets of the Company. Whenever the Preference Amount shall be paid in property other than cash, the value of such distribution shall be the fair value thereof determined in good faith by the Board of Directors of the Company.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case the outstanding shares of Series A Preferred Stock shall be subdivided into a greater number of shares of Series A Preferred Stock or, conversely, in case outstanding shares of Series A Preferred Stock shall be combined into a smaller number of shares of Series A Preferred Stock, the Preference Amount in effect immediately prior to each such subdivision or combination shall be adjusted simultaneously with the effectiveness of such subdivision or combination in such a manner so as to equate the amount to be paid to the holders of the subdivided or combined shares of Series A Preferred Stock upon liquidation with the amount that would have been paid to the holders of Series A Preferred Stock upon liquidation absent the subdivision or combination.</w:t>
      </w:r>
    </w:p>
    <w:p>
      <w:pPr>
        <w:pStyle w:val="TextBody"/>
        <w:bidi w:val="0"/>
        <w:spacing w:lineRule="auto" w:line="240" w:before="0" w:after="240"/>
        <w:ind w:left="0" w:right="0" w:firstLine="153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Conversion of Series A Preferred Stock</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Right to Convert and Conversion Ratio; Anti-Dilution</w:t>
      </w:r>
      <w:r>
        <w:rPr>
          <w:rFonts w:ascii="Times New Roman;sans-serif" w:hAnsi="Times New Roman;sans-serif"/>
          <w:b w:val="false"/>
          <w:color w:val="000000"/>
          <w:sz w:val="24"/>
        </w:rPr>
        <w:t>. At any time and from time to time, any holder of Series A Preferred Stock may convert all or any portion of the Series A Preferred Stock held by such holder into fully paid and nonassessable shares of Common Stock. The conversion of Series A Preferred Stock shall be automatic upon completion of a Public Offering or the approval by the shareholders of the Company of a Qualified Sale (as defined hereinafter). As used herein, a “Public Offering” shall be defined as an underwritten public offering of the Company’s equity securities pursuant to an effective registration statement filed with the United States Securities and Exchange Commission. As used herein, a “Qualified Sale” shall be defined as a sale (whether in the form of a merger, consolidation or sale of substantially all assets) of the Company in which the holders of shares of Series A Preferred Stock would receive at least Three Dollars and Twenty-Five Cents ($3.25) for each share of Series A Preferred Stock or for that number of shares of Common Stock into which each share of Series A Preferred Stock is convertible, as the case may be. The conversion of any shares of Series A Preferred Stock shall be conditioned upon the completion of the Public Offering or Qualified Sale, in which case such conversion shall not be effective until the consummation of the Public Offering or Qualified Sale. Each share of Series A Preferred Stock shall be converted (the “Conversion”) into one (1) share of Common Stock (the “Conversion Ratio”). Upon the happening of an Extraordinary Capital Stock Event (as hereinafter defined), the Conversion Ratio, simultaneously with the happening of such Extraordinary Capital Stock Event, shall be appropriately adjusted such that the proportionate interest of the holders of the Series A Preferred Stock in the Common Stock upon Conversion shall be maintained. The Conversion Ratio, as so adjusted, shall be readjusted upon the happening of any successive Extraordinary Capital Stock Event(s). “Extraordinary Capital Stock Event” shall mean (w) the issuance, other than through a Public Offering or Qualified Sale of additional shares of Capital Stock, or other securities convertible into shares of Capital Stock, without consideration or for a consideration per share less than Three Dollars and Twenty-Five Cents ($3.25), (x) the issuance of additional shares of Capital Stock as a dividend or other distribution on all outstanding shares of Capital Stock, (y) a stock split or subdivision of outstanding shares of Capital Stock into a greater number of shares of Capital Stock, or (z) a reverse stock split or combination of outstanding shares of Capital Stock into a smaller number of shares of Capital Stock. If the Conversion Ratio is adjusted, the Company shall file at its principal executive offices and shall mail within thirty (30) days after the date upon which such adjustment shall be made, by registered or certified mail to each registered holder of shares of Series A Preferred Stock, a statement signed by a responsible financial officer of the Company specifying the adjusted Conversion Ratio and setting forth in reasonable detail the method of calculation of such adjustment and the facts requiring the adjustment and upon which the calculation is based.</w:t>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85445"/>
                <wp:effectExtent l="0" t="0" r="0" b="0"/>
                <wp:wrapNone/>
                <wp:docPr id="126" name="Frame1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3.1</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Procedure for Conversion</w:t>
      </w:r>
      <w:r>
        <w:rPr>
          <w:rFonts w:ascii="Times New Roman;sans-serif" w:hAnsi="Times New Roman;sans-serif"/>
          <w:b w:val="false"/>
          <w:color w:val="000000"/>
          <w:sz w:val="24"/>
        </w:rPr>
        <w:t>. The certificate(s) for shares of Series A Preferred Stock surrendered for Conversion shall be accompanied by proper assignment thereof to the Company or in blank. As promptly as practicable after delivery of the shares to the Company, the Company shall issue and deliver to the holder of the shares of Series A Preferred Stock being converted, or on its written order, such certificate(s) as it may request of the number of whole shares of Common Stock issuable upon the Conversion of such shares of Series A Preferred Stock in accordance with the provisions of this Section 5(ii), and cash, as provided in Section 5(iii) herein, in respect of any fraction of a share of Common Stock issuable upon such Conversion. Such Conversion shall be deemed to have been effected immediately prior to the close of business on the date of the Conversion (the “Conversion Date”), and at such time the rights of the holder as holder of the converted shares of Series A Preferred Stock shall cease and the person(s) in whose name(s) any certificate(s) for shares of Common Stock shall be issuable upon such Conversion shall be deemed to have become the holder(s) of record of the shares of Common Stock represented thereby.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Cash in Lieu of Fractional Shares</w:t>
      </w:r>
      <w:r>
        <w:rPr>
          <w:rFonts w:ascii="Times New Roman;sans-serif" w:hAnsi="Times New Roman;sans-serif"/>
          <w:b w:val="false"/>
          <w:color w:val="000000"/>
          <w:sz w:val="24"/>
        </w:rPr>
        <w:t>. No fractional shares of Common Stock shall be issued upon the Conversion of shares of Series A Preferred Stock. Instead of any fractional shares of Common Stock that otherwise would be issuable upon Conversion of Series A Preferred Stock, the Company shall pay to the holder of the shares of Series A Preferred Stock that were converted a cash adjustment in respect of such fractional shares in an amount equal to the same fraction of the fair market value price per share of the Common Stock (as determined in a reasonable manner prescribed by the Board of Directors) at the close of business on the Conversion Date. The determination as to whether any fractional shares are issuable shall be based upon the total number of shares of Series A Preferred Stock being converted at any one time by any holder thereof, not upon each share of Series A Preferred Stock being converted.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Reservation of Common Stock</w:t>
      </w:r>
      <w:r>
        <w:rPr>
          <w:rFonts w:ascii="Times New Roman;sans-serif" w:hAnsi="Times New Roman;sans-serif"/>
          <w:b w:val="false"/>
          <w:color w:val="000000"/>
          <w:sz w:val="24"/>
        </w:rPr>
        <w:t>. The Company shall at all times reserve and keep available out of its authorized but unissued shares of Common Stock, solely for the purpose of effecting the Conversion of the shares of the Series A Preferred Stock, such number of its shares of Common Stock as from time to time shall be sufficient to effect the Conversion of all outstanding shares of the Series A Preferred Stock, and if at any time the number of authorized but unissued shares of Common Stock shall not be sufficient to effect the Conversion of all then outstanding shares of the Series A Preferred Stock, the Company shall take such corporate action as may be necessary to increase its authorized but unissued shares of Common Stock to such number of shares as shall be sufficient for such purpose.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No Charge for Conversion</w:t>
      </w:r>
      <w:r>
        <w:rPr>
          <w:rFonts w:ascii="Times New Roman;sans-serif" w:hAnsi="Times New Roman;sans-serif"/>
          <w:b w:val="false"/>
          <w:color w:val="000000"/>
          <w:sz w:val="24"/>
        </w:rPr>
        <w:t>. The issuance of certificates for shares of Common Stock upon the Conversion of any shares of the Series A Preferred Stock shall be made without charge to the converting holder for such certificates or for any tax in respect of the issuance of such certificates, and such certificates shall be issued in the name of, or in such names as may be directed by, the holder of the Series A Preferred Stock; provided, however, that the Company shall not be required to pay any taxes or other governmental charges which may be payable in respect of any transfer involved in the issuance and delivery of any such certificate in a name other than that of the holder of the Series A Preferred Stock, and the Company shall not be required to issue or deliver such certificates unless or until the person or persons requesting the issuance thereof shall have paid to the Company the amount of such tax or other governmental charge or shall have established to the reasonable satisfaction of the Company that such tax or other governmental charge has been paid or provided for. The Company may also require, as a condition to the issuance and delivery of any such certificate, an opinion of counsel acceptable to the Company to the effect that the proposed transfer does not require registration under federal or any state securities law.</w:t>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85445"/>
                <wp:effectExtent l="0" t="0" r="0" b="0"/>
                <wp:wrapNone/>
                <wp:docPr id="127" name="Frame1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3.1</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u w:val="single"/>
        </w:rPr>
        <w:t>Notices of Record Date</w:t>
      </w:r>
      <w:r>
        <w:rPr>
          <w:rFonts w:ascii="Times New Roman;sans-serif" w:hAnsi="Times New Roman;sans-serif"/>
          <w:b w:val="false"/>
          <w:color w:val="000000"/>
          <w:sz w:val="24"/>
        </w:rPr>
        <w:t>. In the event of any:</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taking by the Company of a record of the holders of any class of securities for the purpose of determining the holders thereof who are entitled to receive any dividend or other distribution, or any right to subscribe for, purchase, or otherwise acquire any shares of stock of any class or any other securities or property, or to receive any other right;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capital reorganization of the Company, any reclassification or recapitalization of the capital stock of the Company, a merger, or a sale; or</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voluntary or involuntary dissolution, liquidation, or winding up the Company; then and in each such event the Company shall mail or cause to be mailed to each holder of Series A Preferred Stock a notice specifying (i) the record date for such dividend, distribution, or right and a description of such dividend, distribution, or right, (ii) the date on which any such reorganization, reclassification, recapitalization, merger, or sale is expected to become effective, and (iii) the time, if any, that is to be fixed, as to when the holders of record of Common Stock (or other securities) shall be entitled to exchange their shares of Common Stock (or other securities) for securities or other property deliverable upon such reorganization, reclassification, recapitalization, merger, sale, dissolution, liquidation, or winding up. Such notice shall be mailed at least ten (10) days prior to the date specified in such notice on which such action is to be taken.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(vii)</w:t>
      </w:r>
      <w:r>
        <w:rPr>
          <w:rFonts w:ascii="Times New Roman;sans-serif" w:hAnsi="Times New Roman;sans-serif"/>
          <w:b w:val="false"/>
          <w:color w:val="000000"/>
          <w:sz w:val="24"/>
          <w:u w:val="single"/>
        </w:rPr>
        <w:t>Dividend Payment Upon Conversion</w:t>
      </w:r>
      <w:r>
        <w:rPr>
          <w:rFonts w:ascii="Times New Roman;sans-serif" w:hAnsi="Times New Roman;sans-serif"/>
          <w:b w:val="false"/>
          <w:color w:val="000000"/>
          <w:sz w:val="24"/>
        </w:rPr>
        <w:t>. At the date of any Conversion, the Company shall pay to the holder of record of any Series A Preferred Stock surrendered for or subject to Conversion any cumulated but unpaid dividends on the shares so converted. This payment shall be made by the Company in cash or in marketable securities of the Company or another issuer having a fair market value on the date of payment in an amount equal to the cumulated dividend so paid. For purposes hereof, “marketable securities” shall mean equity securities of an issuer which have been registered under the Securities Exchange Act of 1934, as amended, and which are listed on a national securities exchange or included in an interdealer quotation system which reports last sale information.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(viii)</w:t>
      </w:r>
      <w:r>
        <w:rPr>
          <w:rFonts w:ascii="Times New Roman;sans-serif" w:hAnsi="Times New Roman;sans-serif"/>
          <w:b w:val="false"/>
          <w:color w:val="000000"/>
          <w:sz w:val="24"/>
          <w:u w:val="single"/>
        </w:rPr>
        <w:t>No Reissuance of Series A Preferred Stock</w:t>
      </w:r>
      <w:r>
        <w:rPr>
          <w:rFonts w:ascii="Times New Roman;sans-serif" w:hAnsi="Times New Roman;sans-serif"/>
          <w:b w:val="false"/>
          <w:color w:val="000000"/>
          <w:sz w:val="24"/>
        </w:rPr>
        <w:t>. No share(s) of Series A Preferred Stock acquired by the Company by reason of Conversion or otherwise shall be reissued, and, upon Conversion, all such shares shall be canceled, retired, and eliminated from the shares that the Company shall be authorized to issue. The Company from time to time may take such appropriate corporate action as may be necessary to reduce the authorized number of shares of the Series A Preferred Stock accordingly.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(ix)</w:t>
      </w:r>
      <w:r>
        <w:rPr>
          <w:rFonts w:ascii="Times New Roman;sans-serif" w:hAnsi="Times New Roman;sans-serif"/>
          <w:b w:val="false"/>
          <w:color w:val="000000"/>
          <w:sz w:val="24"/>
          <w:u w:val="single"/>
        </w:rPr>
        <w:t>No Impairment</w:t>
      </w:r>
      <w:r>
        <w:rPr>
          <w:rFonts w:ascii="Times New Roman;sans-serif" w:hAnsi="Times New Roman;sans-serif"/>
          <w:b w:val="false"/>
          <w:color w:val="000000"/>
          <w:sz w:val="24"/>
        </w:rPr>
        <w:t>. The Company will not, by amendment of its Charter or through any reorganization, transfer of assets, consolidation, merger, share exchange, dissolution, issue or sale of securities or any other voluntary action, avoid or seek to avoid the observance or performance of any of the terms of the Series A Preferred Stock set forth herein, but will at all times in good faith assist in the carrying out of all such terms and in the taking of all such action as may be necessary or appropriate in order to protect the rights of the holders of the Series A Preferred Stock against dilution or other impairment.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rPr>
        <w:t>The management of the business and the conduct of the affairs of the Company shall be vested in its Board of Directors. The number of directors which shall constitute the whole Board of Directors shall be fixed exclusively by one or more resolutions adopted from time to time by the Board of Directors.</w:t>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85445"/>
                <wp:effectExtent l="0" t="0" r="0" b="0"/>
                <wp:wrapNone/>
                <wp:docPr id="128" name="Frame1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3.1</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Board of Directors shall be divided into three classes designated as Class I, Class II, and Class III, respectively. Directors shall be assigned to each class in accordance with one or more resolutions adopted by the Board of Directors. At the first annual meeting of shareholders following the date of this Charter (the “Effective Date”), the term of office of the Class I directors shall expire and the Class I directors shall be elected for a full term of three years. At the second annual meeting of shareholders following the Effective Date, the term of office of the Class II directors shall expire and the Class II directors shall be elected for a full term of three years. At the third annual meeting of shareholders following the Effective Date, the term of office of the Class III directors shall expire and the Class III directors shall be elected for a full term of three years. At each succeeding annual meeting of shareholders, directors shall be elected for a full term of three years to succeed the directors of the class whose terms expire at such annual meeting.</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the foregoing provisions of this Paragraph 9, each director shall serve until his or her successor is duly elected and qualified or until his or her death, resignation or removal. No decrease in the number of directors constituting the Board of Directors shall shorten the term of any incumbent director.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shareholders may remove one or more directors only for cause, and any such removal must be by the affirmative vote of the holders of a majority of the issued and outstanding shares of the Company at a meeting as described herein. A director may be removed by the directors with cause by a vote of a majority of the entire Board of Directors. A director may be removed only at a meeting of shareholders or directors called for the purpose of removing the director, and the meeting notice must state that the purpose, or one (1) of the purposes, of the meeting is the removal of a director or directors. As used herein, the term “cause” shall be defined to mean (i) violation of any policy of the Company or (ii) the grounds for judicial removal of a director as specified in Tenn. Code Ann. Sec. 48-18-109, as in effect on the date hereof.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vacancies on the Board of Directors resulting from death, resignation, disqualification, removal or other causes shall be filled by the affirmative vote of a majority of the remaining directors then in office, even though less than a quorum of the Board of Directors. Newly created directorships resulting from any increase in the number of directors shall, unless the Board of Directors determines by resolution that any such newly created directorship shall be filled by the shareholders, be filled only by the affirmative vote of the directors then in office, even though less than a quorum of the Board of Directors. Any director elected in accordance with the preceding sentence shall hold office for the remainder of the full term of the class of directors in which the new directorship was created or the vacancy occurred and until such director’s successor shall have been elected and qualified.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furtherance and not in limitation of the powers conferred by the Act, the Board of Directors is expressly authorized to make, alter, amend or repeal the Bylaws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rPr>
        <w:t xml:space="preserve">The Company shall indemnify every person who is or was a party or is or was threatened to be made a party to any action, suit, or proceeding, whether civil, criminal, administrative, or investigative, by reason of the fact that he or she is or was a director or officer </w:t>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85445"/>
                <wp:effectExtent l="0" t="0" r="0" b="0"/>
                <wp:wrapNone/>
                <wp:docPr id="129" name="Frame1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3.1</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is or was serving at the request of the Company as a director or officer, against all expense, liability, and loss (including counsel fees, judgments, fines, ERISA excise taxes, penalties, and amounts paid in settlement) actually and reasonably incurred or suffered in connection with such action, suit, or proceeding, to the fullest extent permitted by applicable law, as in effect on the date hereof and as hereafter amended. Such indemnification may include advancement of expenses in advance of final disposition of such action, suit, or proceeding, subject to the provision of any applicable statute.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indemnification and advancement of expenses provisions of this Paragraph 10 shall not be exclusive of any other right that any person (and his or her heirs, executors, and administrators) may have or hereafter acquire under any statute, this Charter, the Company’s Bylaws, resolution adopted by the shareholders, resolution adopted by the Board of Directors, agreement, or insurance, purchased by the Company or otherwise, both as to action in his or her official capacity and as to action in another capacity. The Company is hereby authorized to provide for indemnification and advancement of expenses through its Bylaws, resolution of shareholders, resolution of the Board of Directors, or agreement, in addition to that provided by this Charter.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rPr>
        <w:t>To the fullest extent permitted by the Act as in effect on the date hereof and as hereafter amended from time to time, a director of the Company shall not be liable to the Company or its shareholders for monetary damages for breach of fiduciary duty as a director. If the Act or any successor statute is amended after adoption of this provision to authorize corporate action further eliminating or limiting the personal liability of directors, then the liability of a director of the Company shall be eliminated or limited to the fullest extent permitted by the Act, as so amended from time to time. Any repeal or modification of this Paragraph 11 by the shareholders of the Company shall not adversely affect any right or protection of a director of the Company existing at the time of such repeal or modification with respect to events occurring prior to such time.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rPr>
        <w:t>A special meeting of shareholders may be called for any purpose or purposes by the Board of Directors, and shall be called by the Chairman of the Board or the Chief Executive whenever shareholders owning at least two-thirds (2/3) of the votes entitled to be cast on any issue proposed to be considered at a proposed special meeting sign, date, and deliver to the Secretary one (1) or more written demands for the meeting describing the purpose or purposes for which the meeting is to be held, including all statements necessary to make any statement of such purpose not incomplete, false or misleading, and include any other information specified in the rules and regulations of the Securities and Exchange Commission and which written request shall be accompanied by a certified check for fifty thousand dollars ($50,000) payable to the Company to help cover the Company’s expenses in connection with such meeting, including the preparation of proxy materials or information statements and the mailing of notices and proxy materials to shareholders. Only business within the purpose or purposes described in the meeting notice may be conducted at a special shareholders’ meeting.</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Dated this 14th day of December 2022.</w:t>
      </w:r>
    </w:p>
    <w:p>
      <w:pPr>
        <w:pStyle w:val="TextBody"/>
        <w:bidi w:val="0"/>
        <w:spacing w:before="0" w:after="240"/>
        <w:jc w:val="both"/>
        <w:rPr/>
      </w:pPr>
      <w:r>
        <w:rPr/>
      </w:r>
    </w:p>
    <w:p>
      <w:pPr>
        <w:pStyle w:val="TextBody"/>
        <w:bidi w:val="0"/>
        <w:spacing w:lineRule="auto" w:line="288"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Jean W. Marstiller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Jean W. Marstiller, Corporate Secretary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85445"/>
                <wp:effectExtent l="0" t="0" r="0" b="0"/>
                <wp:wrapNone/>
                <wp:docPr id="130" name="Frame1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Effective January 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A.J. Kazimi</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1600 West End Avenue, Suite 1300</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Nashville, TN 37203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2"/>
        </w:rPr>
        <w:t xml:space="preserve">Re:    Employment of A.J. Kazimi, </w:t>
      </w:r>
      <w:r>
        <w:rPr>
          <w:rFonts w:ascii="Times New Roman;sans-serif" w:hAnsi="Times New Roman;sans-serif"/>
          <w:b w:val="false"/>
          <w:i/>
          <w:color w:val="000000"/>
          <w:sz w:val="22"/>
        </w:rPr>
        <w:t>Chief Executive Officer</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Dear A.J.,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Effective January 1, 2025, this agreement (the “Agreement”) will evidence the terms and conditions under which you will be employed by Cumberland Pharmaceuticals Inc. (the “Company”). In consideration of your appointment as </w:t>
      </w:r>
      <w:r>
        <w:rPr>
          <w:rFonts w:ascii="Times New Roman;sans-serif" w:hAnsi="Times New Roman;sans-serif"/>
          <w:b w:val="false"/>
          <w:i/>
          <w:color w:val="000000"/>
          <w:sz w:val="22"/>
        </w:rPr>
        <w:t>Chief Executive Officer</w:t>
      </w:r>
      <w:r>
        <w:rPr>
          <w:color w:val="000000"/>
        </w:rPr>
        <w:t xml:space="preserve"> </w:t>
      </w:r>
      <w:r>
        <w:rPr>
          <w:rFonts w:ascii="Times New Roman;sans-serif" w:hAnsi="Times New Roman;sans-serif"/>
          <w:b w:val="false"/>
          <w:color w:val="000000"/>
          <w:sz w:val="22"/>
        </w:rPr>
        <w:t>of the Company, and other good and valuable consideration, the receipt and sufficiency of which is hereby acknowledged, the parties agree as follows: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Compensation/Benefits.</w:t>
      </w:r>
      <w:r>
        <w:rPr>
          <w:color w:val="000000"/>
        </w:rPr>
        <w:t xml:space="preserve"> </w:t>
      </w:r>
      <w:r>
        <w:rPr>
          <w:rFonts w:ascii="Times New Roman;sans-serif" w:hAnsi="Times New Roman;sans-serif"/>
          <w:b w:val="false"/>
          <w:color w:val="000000"/>
          <w:sz w:val="22"/>
        </w:rPr>
        <w:t>The Company agrees to compensate you as follows: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(a)    The Company will pay you an annual salary for services performed of seven hundred thirty thousand eighty dollars ($730,080), in accordance with the Company’s payroll practices. Currently, employees are paid in equal monthly installments payable in arrears on the 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 xml:space="preserve">day of each calendar month. For each year hereof any adjustments to your annual salary will be determined by the Company in its sole discretion; provided, however, that any obligation to make payments under this Section 1(a) will cease effective upon termination of your employment for any reason. Notwithstanding the foregoing, nothing in this Section 1(a) alters or is intended to alter the at-will nature of your employment as described in Section 3 of this Agreement. All payments to you under this Agreement shall be net of any tax or other amounts required to be withheld by the Company under applicable law.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You will be eligible to participate in any Company-wide employee benefits, including vacation and holiday time, as approved by the Board of Directors. The terms of your eligibility and participation will be governed by the provisions of the employee benefit plans and arrangements as such plans or arrangements may be amended from time to time in the discretion of the Company's Board of Directors.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    You will be eligible to participate in a Company bonus program(s). Bonuses are based upon a combination of your performance in meeting your assigned responsibilities and objectives and the Company’s overall performance in meeting its annual objectives,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 Bonuses are paid only to those employed by the Company on the day bonuses are provided.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You will also receive a grant of Cumberland Pharmaceuticals common stock, pursuant to a stock option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Place of Employment</w:t>
      </w:r>
      <w:r>
        <w:rPr>
          <w:rFonts w:ascii="Times New Roman;sans-serif" w:hAnsi="Times New Roman;sans-serif"/>
          <w:b w:val="false"/>
          <w:color w:val="000000"/>
          <w:sz w:val="22"/>
        </w:rPr>
        <w:t xml:space="preserve">. You will perform your duties under this Agreement principally from one of the following (check as applicable):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X Company headquarters in Nashville, Tennessee 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 Remotely from your home address shown above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understand that remote work requires reliable internet access, use of approved Company equipment, the performance of services and availability during business hours, a quiet place to work, and adherence to all of the Company’s policies and practices when working remotely.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Duties and Conflicts of Interest</w:t>
      </w:r>
      <w:r>
        <w:rPr>
          <w:rFonts w:ascii="Times New Roman;sans-serif" w:hAnsi="Times New Roman;sans-serif"/>
          <w:b w:val="false"/>
          <w:color w:val="000000"/>
          <w:sz w:val="22"/>
        </w:rPr>
        <w:t>. You will have such duties and responsibilities typically associated with your position and as may be assigned from time to time by your supervisor. You are hired with the understanding that the Company is your sole employer and you will provide a full-time work effort. You will diligently devote your entire professional and business-related time and best efforts to the services required of you by the express and implicit terms of this Agreement, to the reasonable satisfaction of the Company in its sole and complete discretion. You agree to comply with the Company’s policies and practices applicable to employees that are in effect from time to time. Engaging in activities outside of work that create a conflict of interest, or detract from your ability to perform your assigned duties and responsibilities or meet your assigned goals and objectives with the Company, is a problem and may lead to disciplinary action up to and including termination of your employment. If you believe that you are potentially involved in a situation that could create a conflict of interest and affect your ability to adequately perform your job with the Company, you should immediately inform your direct supervisor and the Company’s Human Resources Department.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Expenses</w:t>
      </w:r>
      <w:r>
        <w:rPr>
          <w:rFonts w:ascii="Times New Roman;sans-serif" w:hAnsi="Times New Roman;sans-serif"/>
          <w:b w:val="false"/>
          <w:color w:val="000000"/>
          <w:sz w:val="22"/>
        </w:rPr>
        <w:t>. During the term of this Agreement, you willl be entitled to receive prompt reimbursement for all reasonable and documented expenses approved in advance by the Company and incurred in the performance of your employment in accordance with the expense reimbursement policy of the Company. Such reimbursement policy requires adequate and satisfactory documentation from you of all expenses and submission within a reasonable period after the close of the applicable calendar month.</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Employment at Will</w:t>
      </w:r>
      <w:r>
        <w:rPr>
          <w:rFonts w:ascii="Times New Roman;sans-serif" w:hAnsi="Times New Roman;sans-serif"/>
          <w:b w:val="false"/>
          <w:color w:val="000000"/>
          <w:sz w:val="22"/>
        </w:rPr>
        <w:t xml:space="preserve">. This Agreement is not intended to and shall not be understood in any manner as affecting or modifying the at-will status of your employment with the Company. You are an at-will employee. Either you or the Company may terminate your employment relationship at any time with or without cause or notice. </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All knowledge and information, not already available to the public, which you acquire, have acquired, or will acquire in the course of your employment with the Company with respect to the Company’s business, including but not limited to, financial information, customers, vendors, licensees, work methods, data, all papers, resumes, and records (including computer records) and/or regulatory matters, or other Company matters that are treated by the Company as confidential or as trade secrets, shall be referred to as (“Confidential Information”) and shall be treated by you as strictly confidential. Such Confidential Information shall not either directly or indirectly be used, disclosed, or made accessible to anyone by you for any purpose, except in the ordinary course of the Company’s business under circumstances in which you are authorized to use or disclose such information. You agree to not use or disclose Confidential Information outside of those you are authorized to make in the regular and ordinary course of your duties unless and until you receive prior written permission of the Board of Directors of the Company to make such disclosure.</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67665"/>
                <wp:effectExtent l="0" t="0" r="0" b="0"/>
                <wp:wrapNone/>
                <wp:docPr id="132" name="Frame13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Discoveries and Improvements</w:t>
      </w:r>
      <w:r>
        <w:rPr>
          <w:rFonts w:ascii="Times New Roman;sans-serif" w:hAnsi="Times New Roman;sans-serif"/>
          <w:b w:val="false"/>
          <w:color w:val="000000"/>
          <w:sz w:val="22"/>
        </w:rPr>
        <w:t>. During the time that you are employed by the Company, all Confidential Information, trade secrets, or proprietary information and all other discoveries, inventions, software programs, processes, methods and improvements that are conceived, developed, or otherwise made by you,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you hereby assign to the Company, and will execute assignment documents of all copyrights, patents and other proprietary rights you may have in any Developments without any obligation on the part of the Company to pay royalties or any other consideration to you for such Developments.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Publication</w:t>
      </w:r>
      <w:r>
        <w:rPr>
          <w:rFonts w:ascii="Times New Roman;sans-serif" w:hAnsi="Times New Roman;sans-serif"/>
          <w:b w:val="false"/>
          <w:color w:val="000000"/>
          <w:sz w:val="22"/>
        </w:rPr>
        <w:t xml:space="preserve">. All documents and other writings produced by you during the term of your employment, which relate to work you are doing or have done for the Company or to the business of the Company or its Affiliates (as defined below) shall belong to the Company. You will not publish outside of the Company any such writing without the prior written consent of the Board of Directors. You will, without further compensation, execute at any time (whether or not you are still employed by the Company) all documents requested of you relating to the protection of such rights, including the assignment of such rights to the Company. The term “Affiliate” shall mean the Company and any entity controlling, controlled by, or under common control with the Company.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Litigation and Regulatory Cooperation</w:t>
      </w:r>
      <w:r>
        <w:rPr>
          <w:rFonts w:ascii="Times New Roman;sans-serif" w:hAnsi="Times New Roman;sans-serif"/>
          <w:b w:val="false"/>
          <w:color w:val="000000"/>
          <w:sz w:val="22"/>
        </w:rPr>
        <w:t xml:space="preserve">. You shall give Notice to the Company within three (3) business days pursuant to Section 15 of this Agreement if you are no longer employed and immediately if you are still employed by the Company if you are contacted by any person relating to any claim or litigation against the Company. During and after your employment, you shall cooperate fully with the Company in the defense or prosecution of any claims or actions now in existence or that may be brought in the future against or on behalf of the Company that relate to events or occurrences that transpired while you were employed by the Company. Your full cooperation in connection with such claims or actions shall include, but not be limited to, being available to meet with counsel to prepare for discovery or trial and to act as a witness on behalf of the Company at mutually convenient times. During and after you employment, you shall also cooperate fully with the Company in connection with any investigation or review of any federal, state or local regulatory authority to the extent any any such investigation or review relates to events or occurrences that transpired while you were employed by the Company. The Company shall reimburse you for any reasonable out-of-pocket expenses incurred in connection with your performance of obligations pursuant to this Section 9.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Competition</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For so long as you are employed by the Company or any Affiliate and for a period of one (1) year after you cease to be employed by the Company or any Affiliate, you shall not, within the Territory (as defined below), directly or indirectly, engage in any work or other activity--whether as owner, stockholder, partner, officer, consultant, or otherwise--involving a trademark, product, or process that, in the opinion of the Company’s Board of Directors, is similar to a trademark, product or process on which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67665"/>
                <wp:effectExtent l="0" t="0" r="0" b="0"/>
                <wp:wrapNone/>
                <wp:docPr id="133" name="Frame13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you worked for the Company (or any Affiliate) or obtained knowledge about while working for the Company at any time during the period of employment, if such work or other activity is then, or reasonably expected to become, competitive with that of the Company or any Affiliate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In recognition of the broad geographic scope of the Company and of the ease of competing with the Company from any location throughout the United States, the restrictions in this Section 10 are intended to cover the following geographic areas (collectively, the “Territory”): (a) the United States; and, (b) each state in the United States where the Company conducted the Business during the term of my employment. If a court determines that the Territory described above in clause (a) is too restrictive, then the parties agree that the Territory shall be the area specified in clause (b). If the court determines that all of the areas mentioned above are too restrictive, then the parties agree the court may reduce or limit the area to enable the intent of this Section 10 to be enforced in the largest acceptable area.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The restrictions in this Section 10 shall not apply if you have disclosed to the Company in writing all the known facts relating to such work or activity and have received a release in writing from the Board of Directors allowing you to engage in such work or activity. The Company’s Board of Directors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By executing this Agreement, you acknowledge that you understand that the restrictions set forth in this Section 10 and in Section 11 of this Agreement are intended to protect the Company’s interest in its Confidential Information, including its trade secrets, and established employee, customer, and supplier relationships and goodwill, and you agree that such restrictions are reasonable and appropriate for this purpose.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Solicitation</w:t>
      </w:r>
      <w:r>
        <w:rPr>
          <w:rFonts w:ascii="Times New Roman;sans-serif" w:hAnsi="Times New Roman;sans-serif"/>
          <w:b w:val="false"/>
          <w:color w:val="000000"/>
          <w:sz w:val="22"/>
        </w:rPr>
        <w:t>. For a period of one year after you cease to be employed by the Company (or a Company Affiliate) you agree (a) not to solicit, directly or indirectly, business related to the development or sales of pharmaceutical products from any entity, organization, or person which is contracted with the Company,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 and (b) not to solicit, recruit, hire, or assist in the hiring of any employee of the Company to work for you or another person, firm, corporation, or business in competition with, or reasonably likely to become in competition with, the Company.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12.    </w:t>
      </w:r>
      <w:r>
        <w:rPr>
          <w:rFonts w:ascii="Times New Roman;sans-serif" w:hAnsi="Times New Roman;sans-serif"/>
          <w:b w:val="false"/>
          <w:color w:val="000000"/>
          <w:sz w:val="22"/>
          <w:u w:val="single"/>
        </w:rPr>
        <w:t>Conflicting Contracts</w:t>
      </w:r>
      <w:r>
        <w:rPr>
          <w:rFonts w:ascii="Times New Roman;sans-serif" w:hAnsi="Times New Roman;sans-serif"/>
          <w:b w:val="false"/>
          <w:color w:val="000000"/>
          <w:sz w:val="22"/>
        </w:rPr>
        <w:t>. You represent and warrant that you are not now under any obligation resulting from any contract or arrangement, to any person, firm, or corporation, which is inconsistent or in conflict with this Agreement or which would prevent, limit, or impair in any way the performance by you of your obligations to the Company.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67665"/>
                <wp:effectExtent l="0" t="0" r="0" b="0"/>
                <wp:wrapNone/>
                <wp:docPr id="134" name="Frame13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13.    </w:t>
      </w:r>
      <w:r>
        <w:rPr>
          <w:rFonts w:ascii="Times New Roman;sans-serif" w:hAnsi="Times New Roman;sans-serif"/>
          <w:b w:val="false"/>
          <w:color w:val="000000"/>
          <w:sz w:val="22"/>
          <w:u w:val="single"/>
        </w:rPr>
        <w:t>Return of Documents</w:t>
      </w:r>
      <w:r>
        <w:rPr>
          <w:rFonts w:ascii="Times New Roman;sans-serif" w:hAnsi="Times New Roman;sans-serif"/>
          <w:b w:val="false"/>
          <w:color w:val="000000"/>
          <w:sz w:val="22"/>
        </w:rPr>
        <w:t>. All documents, records, data, apparatus, equipment and other physical property, whether or not pertaining to Confidential Information, that are furnished to you by the Company or are produced by you in connection with your employment with the Company will be and remain the sole property of the Company. You shall return to the Company all such materials and property immediately upon termination of employment or upon request by the Company for any reason. You shall not retain with you any such material or property or any copies after termination of your employment.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14.    </w:t>
      </w:r>
      <w:r>
        <w:rPr>
          <w:rFonts w:ascii="Times New Roman;sans-serif" w:hAnsi="Times New Roman;sans-serif"/>
          <w:b w:val="false"/>
          <w:color w:val="000000"/>
          <w:sz w:val="22"/>
          <w:u w:val="single"/>
        </w:rPr>
        <w:t>Remedies</w:t>
      </w:r>
      <w:r>
        <w:rPr>
          <w:rFonts w:ascii="Times New Roman;sans-serif" w:hAnsi="Times New Roman;sans-serif"/>
          <w:b w:val="false"/>
          <w:color w:val="000000"/>
          <w:sz w:val="22"/>
        </w:rPr>
        <w:t>. You acknowledge that in the event of breach of this Agreement by you, actual damages to the Company will be difficult to calculate, the Company will suffer irreparable harm, and that in any event money damages would be an inadequate remedy for any such breach.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15.    </w:t>
      </w:r>
      <w:r>
        <w:rPr>
          <w:rFonts w:ascii="Times New Roman;sans-serif" w:hAnsi="Times New Roman;sans-serif"/>
          <w:b w:val="false"/>
          <w:color w:val="000000"/>
          <w:sz w:val="22"/>
          <w:u w:val="single"/>
        </w:rPr>
        <w:t>Debarment</w:t>
      </w:r>
      <w:r>
        <w:rPr>
          <w:rFonts w:ascii="Times New Roman;sans-serif" w:hAnsi="Times New Roman;sans-serif"/>
          <w:b w:val="false"/>
          <w:color w:val="000000"/>
          <w:sz w:val="22"/>
        </w:rPr>
        <w:t>. You represent and warrant that you have not been debarred, suspended or proposed for debarment or excluded from participation in any state or federal program or under the Food, Drug and Cosmetic Act and will notify the Company immediately of possible suspension or disbarment.</w:t>
      </w:r>
    </w:p>
    <w:p>
      <w:pPr>
        <w:pStyle w:val="TextBody"/>
        <w:bidi w:val="0"/>
        <w:spacing w:lineRule="auto" w:line="288" w:before="0" w:after="0"/>
        <w:jc w:val="both"/>
        <w:rPr/>
      </w:pPr>
      <w:r>
        <w:rPr>
          <w:rFonts w:ascii="Times New Roman;sans-serif" w:hAnsi="Times New Roman;sans-serif"/>
          <w:b w:val="false"/>
          <w:color w:val="000000"/>
          <w:sz w:val="22"/>
        </w:rPr>
        <w:t>16.    </w:t>
      </w:r>
      <w:r>
        <w:rPr>
          <w:rFonts w:ascii="Times New Roman;sans-serif" w:hAnsi="Times New Roman;sans-serif"/>
          <w:b w:val="false"/>
          <w:color w:val="000000"/>
          <w:sz w:val="22"/>
          <w:u w:val="single"/>
        </w:rPr>
        <w:t>Notice</w:t>
      </w:r>
      <w:r>
        <w:rPr>
          <w:rFonts w:ascii="Times New Roman;sans-serif" w:hAnsi="Times New Roman;sans-serif"/>
          <w:b w:val="false"/>
          <w:color w:val="000000"/>
          <w:sz w:val="22"/>
        </w:rPr>
        <w:t>. Any notice required or permitted to be given under this Agreement shall be sent in writing by registered or certified mail to your residence or to the Company at the address on this letterhead, Attention: Board of Directors.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17.    </w:t>
      </w:r>
      <w:r>
        <w:rPr>
          <w:rFonts w:ascii="Times New Roman;sans-serif" w:hAnsi="Times New Roman;sans-serif"/>
          <w:b w:val="false"/>
          <w:color w:val="000000"/>
          <w:sz w:val="22"/>
          <w:u w:val="single"/>
        </w:rPr>
        <w:t>Waiver/Entire Agreement/Amendments</w:t>
      </w:r>
      <w:r>
        <w:rPr>
          <w:rFonts w:ascii="Times New Roman;sans-serif" w:hAnsi="Times New Roman;sans-serif"/>
          <w:b w:val="false"/>
          <w:color w:val="000000"/>
          <w:sz w:val="22"/>
        </w:rPr>
        <w:t xml:space="preserve">. The waiver by either party of any provision of this Agreement shall not operate or be construed as a waiver of any subsequent breach. This Agreement contains the entire agreement of the parties. This Agreement may be amended or modified only by a written agreement signed by you and by a duly authorized representative of the Company.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18.    </w:t>
      </w:r>
      <w:r>
        <w:rPr>
          <w:rFonts w:ascii="Times New Roman;sans-serif" w:hAnsi="Times New Roman;sans-serif"/>
          <w:b w:val="false"/>
          <w:color w:val="000000"/>
          <w:sz w:val="22"/>
          <w:u w:val="single"/>
        </w:rPr>
        <w:t>Governance</w:t>
      </w:r>
      <w:r>
        <w:rPr>
          <w:rFonts w:ascii="Times New Roman;sans-serif" w:hAnsi="Times New Roman;sans-serif"/>
          <w:b w:val="false"/>
          <w:color w:val="000000"/>
          <w:sz w:val="22"/>
        </w:rPr>
        <w:t>. This Agreement shall be governed by the laws of the State of Tennessee. Any dispute arising out of this Agreement shall be resolved, at the Company’s sole option, by courts sitting in Nashville, Tennessee, and you waive any objection to such venue.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19.    </w:t>
      </w:r>
      <w:r>
        <w:rPr>
          <w:rFonts w:ascii="Times New Roman;sans-serif" w:hAnsi="Times New Roman;sans-serif"/>
          <w:b w:val="false"/>
          <w:color w:val="000000"/>
          <w:sz w:val="22"/>
          <w:u w:val="single"/>
        </w:rPr>
        <w:t>Enforceability</w:t>
      </w:r>
      <w:r>
        <w:rPr>
          <w:rFonts w:ascii="Times New Roman;sans-serif" w:hAnsi="Times New Roman;sans-serif"/>
          <w:b w:val="false"/>
          <w:color w:val="000000"/>
          <w:sz w:val="22"/>
        </w:rPr>
        <w:t>. In the event that any provision of this Agreement shall be held by a court to be unenforceable, such provision will be enforced to the maximum extent permissible, and the remaining portions of this Agreement shall remain in full force and effect.</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22"/>
        </w:rPr>
        <w:t>20.        </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Notwithstanding any termination of your employment, this Agreement shall survive and remain in effect in accordance with its terms. The obligations of Sections 6, 7, 8, 9, 10, 11 and 12 shall survive the termination of our employment relationship or of this Agreement. This Agreement may be signed in one or more counterparts, each of which shall be an original and all of which will constitute one and the same instrument.</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67665"/>
                <wp:effectExtent l="0" t="0" r="0" b="0"/>
                <wp:wrapNone/>
                <wp:docPr id="135" name="Frame13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Sincerely yours,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CUMBERLAND PHARMACEUTICALS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By:_______________________________________    Todd Anthony, VP, Organizational Development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Accepted as to all terms and conditions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the ______ of ______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Sign here:________________________________________</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Print name: _______________________________________</w:t>
      </w:r>
    </w:p>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67665"/>
                <wp:effectExtent l="0" t="0" r="0" b="0"/>
                <wp:wrapNone/>
                <wp:docPr id="136" name="Frame1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Effective January 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James “Jim” Herman</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430 Brentwood Oaks Drive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Nashville, TN 37211</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2"/>
        </w:rPr>
        <w:t>Re:    Employment of James Herman,</w:t>
      </w:r>
      <w:r>
        <w:rPr>
          <w:color w:val="000000"/>
        </w:rPr>
        <w:t xml:space="preserve"> </w:t>
      </w:r>
      <w:r>
        <w:rPr>
          <w:rFonts w:ascii="Times New Roman;sans-serif" w:hAnsi="Times New Roman;sans-serif"/>
          <w:b w:val="false"/>
          <w:i/>
          <w:color w:val="000000"/>
          <w:sz w:val="22"/>
        </w:rPr>
        <w:t>Vice President Trade and Distribution, Chief Compliance Officer</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Dear Jim,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Effective January 1, 2025, this agreement (the “Agreement”) will evidence the terms and conditions under which you will be employed by Cumberland Pharmaceuticals Inc. (the “Company”). In consideration of your appointment as</w:t>
      </w:r>
      <w:r>
        <w:rPr>
          <w:color w:val="000000"/>
        </w:rPr>
        <w:t xml:space="preserve"> </w:t>
      </w:r>
      <w:r>
        <w:rPr>
          <w:rFonts w:ascii="Times New Roman;sans-serif" w:hAnsi="Times New Roman;sans-serif"/>
          <w:b w:val="false"/>
          <w:i/>
          <w:color w:val="000000"/>
          <w:sz w:val="22"/>
        </w:rPr>
        <w:t>Vice President Trade and Distribution, Chief Compliance Officer</w:t>
      </w:r>
      <w:r>
        <w:rPr>
          <w:color w:val="000000"/>
        </w:rPr>
        <w:t xml:space="preserve"> </w:t>
      </w:r>
      <w:r>
        <w:rPr>
          <w:rFonts w:ascii="Times New Roman;sans-serif" w:hAnsi="Times New Roman;sans-serif"/>
          <w:b w:val="false"/>
          <w:color w:val="000000"/>
          <w:sz w:val="22"/>
        </w:rPr>
        <w:t>of the Company, and other good and valuable consideration, the receipt and sufficiency of which is hereby acknowledged, the parties agree as follows: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Compensation/Benefits.</w:t>
      </w:r>
      <w:r>
        <w:rPr>
          <w:color w:val="000000"/>
        </w:rPr>
        <w:t xml:space="preserve"> </w:t>
      </w:r>
      <w:r>
        <w:rPr>
          <w:rFonts w:ascii="Times New Roman;sans-serif" w:hAnsi="Times New Roman;sans-serif"/>
          <w:b w:val="false"/>
          <w:color w:val="000000"/>
          <w:sz w:val="22"/>
        </w:rPr>
        <w:t>The Company agrees to compensate you as follows: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(a)    The Company will pay you an annual salary for services performed of two hundred thousand dollars ($200,000), in accordance with the Company’s payroll practices. Currently, employees are paid in equal monthly installments payable in arrears on the 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 xml:space="preserve">day of each calendar month. For each year hereof any adjustments to your annual salary will be determined by the Company in its sole discretion; provided, however, that any obligation to make payments under this Section 1(a) will cease effective upon termination of your employment for any reason. Notwithstanding the foregoing, nothing in this Section 1(a) alters or is intended to alter the at-will nature of your employment as described in Section 3 of this Agreement. All payments to you under this Agreement shall be net of any tax or other amounts required to be withheld by the Company under applicable law.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You will be eligible to participate in any Company-wide employee benefits, including vacation and holiday time, as approved by the Board of Directors. The terms of your eligibility and participation will be governed by the provisions of the employee benefit plans and arrangements as such plans or arrangements may be amended from time to time in the discretion of the Company's Board of Directors.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    You will be eligible to participate in a Company bonus program(s). Bonuses are based upon a combination of your performance in meeting your assigned responsibilities and objectives and the Company’s overall performance in meeting its annual objectives,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 Bonuses are paid only to those employed by the Company on the day bonuses are provided.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You will no longer be eligible to continue your participation in the CPI Summit Plan. However, you may continue to make payroll contributions and your vested balance of company contributions is limited to those balances vested as of 12/31/2024. All unvested company contributions were forfeit as of that date.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    You will also receive a grant of Cumberland Pharmaceuticals common stock, pursuant to a stock option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Place of Employment</w:t>
      </w:r>
      <w:r>
        <w:rPr>
          <w:rFonts w:ascii="Times New Roman;sans-serif" w:hAnsi="Times New Roman;sans-serif"/>
          <w:b w:val="false"/>
          <w:color w:val="000000"/>
          <w:sz w:val="22"/>
        </w:rPr>
        <w:t xml:space="preserve">. You will perform your duties under this Agreement principally from one of the following (check as applicable):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u w:val="single"/>
        </w:rPr>
        <w:t>X</w:t>
      </w:r>
      <w:r>
        <w:rPr>
          <w:color w:val="000000"/>
        </w:rPr>
        <w:t xml:space="preserve"> </w:t>
      </w:r>
      <w:r>
        <w:rPr>
          <w:rFonts w:ascii="Times New Roman;sans-serif" w:hAnsi="Times New Roman;sans-serif"/>
          <w:b w:val="false"/>
          <w:color w:val="000000"/>
          <w:sz w:val="22"/>
        </w:rPr>
        <w:t>Company headquarters in Nashville, Tennessee 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 Remotely from your home address shown above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understand that remote work requires reliable internet access, use of approved Company equipment, the performance of services and availability during business hours, a quiet place to work, and adherence to all of the Company’s policies and practices when working remotely.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Duties and Conflicts of Interest</w:t>
      </w:r>
      <w:r>
        <w:rPr>
          <w:rFonts w:ascii="Times New Roman;sans-serif" w:hAnsi="Times New Roman;sans-serif"/>
          <w:b w:val="false"/>
          <w:color w:val="000000"/>
          <w:sz w:val="22"/>
        </w:rPr>
        <w:t>. You will have such duties and responsibilities typically associated with your position and as may be assigned from time to time by your supervisor. You are hired with the understanding that the Company is your sole employer and you will provide a full-time work effort. You will diligently devote your entire professional and business-related time and best efforts to the services required of you by the express and implicit terms of this Agreement, to the reasonable satisfaction of the Company in its sole and complete discretion. You agree to comply with the Company’s policies and practices applicable to employees that are in effect from time to time. Engaging in activities outside of work that create a conflict of interest, or detract from your ability to perform your assigned duties and responsibilities or meet your assigned goals and objectives with the Company, is a problem and may lead to disciplinary action up to and including termination of your employment. If you believe that you are potentially involved in a situation that could create a conflict of interest and affect your ability to adequately perform your job with the Company, you should immediately inform your direct supervisor and the Company’s Human Resources Department.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Expenses</w:t>
      </w:r>
      <w:r>
        <w:rPr>
          <w:rFonts w:ascii="Times New Roman;sans-serif" w:hAnsi="Times New Roman;sans-serif"/>
          <w:b w:val="false"/>
          <w:color w:val="000000"/>
          <w:sz w:val="22"/>
        </w:rPr>
        <w:t>. During the term of this Agreement, you willl be entitled to receive prompt reimbursement for all reasonable and documented expenses approved in advance by the Company and incurred in the performance of your employment in accordance with the expense reimbursement policy of the Company. Such reimbursement policy requires adequate and satisfactory documentation from you of all expenses and submission within a reasonable period after the close of the applicable calendar month.</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Employment at Will</w:t>
      </w:r>
      <w:r>
        <w:rPr>
          <w:rFonts w:ascii="Times New Roman;sans-serif" w:hAnsi="Times New Roman;sans-serif"/>
          <w:b w:val="false"/>
          <w:color w:val="000000"/>
          <w:sz w:val="22"/>
        </w:rPr>
        <w:t xml:space="preserve">. This Agreement is not intended to and shall not be understood in any manner as affecting or modifying the at-will status of your employment with the Company. You are an at-will employee. Either you or the Company may terminate your employment relationship at any time with or without cause or notice.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67665"/>
                <wp:effectExtent l="0" t="0" r="0" b="0"/>
                <wp:wrapNone/>
                <wp:docPr id="138" name="Frame13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All knowledge and information, not already available to the public, which you acquire, have acquired, or will acquire in the course of your employment with the Company with respect to the Company’s business, including but not limited to, financial information, customers, vendors, licensees, work methods, data, all papers, resumes, and records (including computer records) and/or regulatory matters, or other Company matters that are treated by the Company as confidential or as trade secrets, shall be referred to as (“Confidential Information”) and shall be treated by you as strictly confidential. Such Confidential Information shall not either directly or indirectly be used, disclosed, or made accessible to anyone by you for any purpose, except in the ordinary course of the Company’s business under circumstances in which you are authorized to use or disclose such information. You agree to not use or disclose Confidential Information outside of those you are authorized to make in the regular and ordinary course of your duties unless and until you receive prior written permission of the Chief Executive Officer of the Company to make such disclosure.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Discoveries and Improvements</w:t>
      </w:r>
      <w:r>
        <w:rPr>
          <w:rFonts w:ascii="Times New Roman;sans-serif" w:hAnsi="Times New Roman;sans-serif"/>
          <w:b w:val="false"/>
          <w:color w:val="000000"/>
          <w:sz w:val="22"/>
        </w:rPr>
        <w:t>. During the time that you are employed by the Company, all Confidential Information, trade secrets, or proprietary information and all other discoveries, inventions, software programs, processes, methods and improvements that are conceived, developed, or otherwise made by you,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you hereby assign to the Company, and will execute assignment documents of all copyrights, patents and other proprietary rights you may have in any Developments without any obligation on the part of the Company to pay royalties or any other consideration to you for such Developments.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Publication</w:t>
      </w:r>
      <w:r>
        <w:rPr>
          <w:rFonts w:ascii="Times New Roman;sans-serif" w:hAnsi="Times New Roman;sans-serif"/>
          <w:b w:val="false"/>
          <w:color w:val="000000"/>
          <w:sz w:val="22"/>
        </w:rPr>
        <w:t xml:space="preserve">. All documents and other writings produced by you during the term of your employment, which relate to work you are doing or have done for the Company or to the business of the Company or its Affiliates (as defined below) shall belong to the Company. You will not publish outside of the Company any such writing without the prior written consent of the Chief Commercial Officer. You will, without further compensation, execute at any time (whether or not you are still employed by the Company) all documents requested of you relating to the protection of such rights, including the assignment of such rights to the Company. The term “Affiliate” shall mean the Company and any entity controlling, controlled by, or under common control with the Company.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67665"/>
                <wp:effectExtent l="0" t="0" r="0" b="0"/>
                <wp:wrapNone/>
                <wp:docPr id="139" name="Frame13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Litigation and Regulatory Cooperation</w:t>
      </w:r>
      <w:r>
        <w:rPr>
          <w:rFonts w:ascii="Times New Roman;sans-serif" w:hAnsi="Times New Roman;sans-serif"/>
          <w:b w:val="false"/>
          <w:color w:val="000000"/>
          <w:sz w:val="22"/>
        </w:rPr>
        <w:t xml:space="preserve">. You shall give Notice to the Company within three (3) business days pursuant to Section 15 of this Agreement if you are no longer employed and immediately if you are still employed by the Company if you are contacted by any person relating to any claim or litigation against the Company. During and after your employment, you shall cooperate fully with the Company in the defense or prosecution of any claims or actions now in existence or that may be brought in the future against or on behalf of the Company that relate to events or occurrences that transpired while you were employed by the Company. Your full cooperation in connection with such claims or actions shall include, but not be limited to, being available to meet with counsel to prepare for discovery or trial and to act as a witness on behalf of the Company at mutually convenient times. During and after you employment, you shall also cooperate fully with the Company in connection with any investigation or review of any federal, state or local regulatory authority to the extent any any such investigation or review relates to events or occurrences that transpired while you were employed by the Company. The Company shall reimburse you for any reasonable out-of-pocket expenses incurred in connection with your performance of obligations pursuant to this Section 9.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Competition</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For so long as you are employed by the Company or any Affiliate and for a period of one (1) year after you cease to be employed by the Company or any Affiliate, you shall not, within the Territory (as defined below),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In recognition of the broad geographic scope of the Company and of the ease of competing with the Company from any location throughout the United States, the restrictions in this Section 10 are intended to cover the following geographic areas (collectively, the “Territory”): (a) the United States; and, (b) each state in the United States where the Company conducted the Business during the term of my employment. If a court determines that the Territory described above in clause (a) is too restrictive, then the parties agree that the Territory shall be the area specified in clause (b). If the court determines that all of the areas mentioned above are too restrictive, then the parties agree the court may reduce or limit the area to enable the intent of this Section 10 to be enforced in the largest acceptable area.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The restrictions in this Section 10 shall not apply if you have disclosed to the Company in writing all the known facts relating to such work or activity and have received a release in writing from the Chief Commercial Officer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67665"/>
                <wp:effectExtent l="0" t="0" r="0" b="0"/>
                <wp:wrapNone/>
                <wp:docPr id="140" name="Frame13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By executing this Agreement, you acknowledge that you understand that the restrictions set forth in this Section 10 and in Section 11 of this Agreement are intended to protect the Company’s interest in its Confidential Information, including its trade secrets, and established employee, customer, and supplier relationships and goodwill, and you agree that such restrictions are reasonable and appropriate for this purpose.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Solicitation</w:t>
      </w:r>
      <w:r>
        <w:rPr>
          <w:rFonts w:ascii="Times New Roman;sans-serif" w:hAnsi="Times New Roman;sans-serif"/>
          <w:b w:val="false"/>
          <w:color w:val="000000"/>
          <w:sz w:val="22"/>
        </w:rPr>
        <w:t>. For a period of one year after you cease to be employed by the Company (or a Company Affiliate) you agree (a) not to solicit, directly or indirectly, business related to the development or sales of pharmaceutical products from any entity, organization, or person which is contracted with the Company,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Chief Executive Officer of the Company to engage in such solicitation and (b) not to solicit, recruit, hire, or assist in the hiring of any employee of the Company to work for you or another person, firm, corporation, or business in competition with, or reasonably likely to become in competition with, the Company.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12.    </w:t>
      </w:r>
      <w:r>
        <w:rPr>
          <w:rFonts w:ascii="Times New Roman;sans-serif" w:hAnsi="Times New Roman;sans-serif"/>
          <w:b w:val="false"/>
          <w:color w:val="000000"/>
          <w:sz w:val="22"/>
          <w:u w:val="single"/>
        </w:rPr>
        <w:t>Conflicting Contracts</w:t>
      </w:r>
      <w:r>
        <w:rPr>
          <w:rFonts w:ascii="Times New Roman;sans-serif" w:hAnsi="Times New Roman;sans-serif"/>
          <w:b w:val="false"/>
          <w:color w:val="000000"/>
          <w:sz w:val="22"/>
        </w:rPr>
        <w:t>. You represent and warrant that you are not now under any obligation resulting from any contract or arrangement, to any person, firm, or corporation, which is inconsistent or in conflict with this Agreement or which would prevent, limit, or impair in any way the performance by you of your obligations to the Company.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13.    </w:t>
      </w:r>
      <w:r>
        <w:rPr>
          <w:rFonts w:ascii="Times New Roman;sans-serif" w:hAnsi="Times New Roman;sans-serif"/>
          <w:b w:val="false"/>
          <w:color w:val="000000"/>
          <w:sz w:val="22"/>
          <w:u w:val="single"/>
        </w:rPr>
        <w:t>Return of Documents</w:t>
      </w:r>
      <w:r>
        <w:rPr>
          <w:rFonts w:ascii="Times New Roman;sans-serif" w:hAnsi="Times New Roman;sans-serif"/>
          <w:b w:val="false"/>
          <w:color w:val="000000"/>
          <w:sz w:val="22"/>
        </w:rPr>
        <w:t>. All documents, records, data, apparatus, equipment and other physical property, whether or not pertaining to Confidential Information, that are furnished to you by the Company or are produced by you in connection with your employment with the Company will be and remain the sole property of the Company. You shall return to the Company all such materials and property immediately upon termination of employment or upon request by the Company for any reason. You shall not retain with you any such material or property or any copies after termination of your employment.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14.    </w:t>
      </w:r>
      <w:r>
        <w:rPr>
          <w:rFonts w:ascii="Times New Roman;sans-serif" w:hAnsi="Times New Roman;sans-serif"/>
          <w:b w:val="false"/>
          <w:color w:val="000000"/>
          <w:sz w:val="22"/>
          <w:u w:val="single"/>
        </w:rPr>
        <w:t>Remedies</w:t>
      </w:r>
      <w:r>
        <w:rPr>
          <w:rFonts w:ascii="Times New Roman;sans-serif" w:hAnsi="Times New Roman;sans-serif"/>
          <w:b w:val="false"/>
          <w:color w:val="000000"/>
          <w:sz w:val="22"/>
        </w:rPr>
        <w:t>. You acknowledge that in the event of breach of this Agreement by you, actual damages to the Company will be difficult to calculate, the Company will suffer irreparable harm, and that in any event money damages would be an inadequate remedy for any such breach.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15.    </w:t>
      </w:r>
      <w:r>
        <w:rPr>
          <w:rFonts w:ascii="Times New Roman;sans-serif" w:hAnsi="Times New Roman;sans-serif"/>
          <w:b w:val="false"/>
          <w:color w:val="000000"/>
          <w:sz w:val="22"/>
          <w:u w:val="single"/>
        </w:rPr>
        <w:t>Debarment</w:t>
      </w:r>
      <w:r>
        <w:rPr>
          <w:rFonts w:ascii="Times New Roman;sans-serif" w:hAnsi="Times New Roman;sans-serif"/>
          <w:b w:val="false"/>
          <w:color w:val="000000"/>
          <w:sz w:val="22"/>
        </w:rPr>
        <w:t>. You represent and warrant that you have not been debarred, suspended or proposed for debarment or excluded from participation in any state or federal program or under the Food, Drug and Cosmetic Act and will notify the Company immediately of possible suspension or disbarment.</w:t>
      </w:r>
    </w:p>
    <w:p>
      <w:pPr>
        <w:pStyle w:val="TextBody"/>
        <w:bidi w:val="0"/>
        <w:spacing w:lineRule="auto" w:line="288" w:before="0" w:after="0"/>
        <w:jc w:val="both"/>
        <w:rPr/>
      </w:pPr>
      <w:r>
        <w:rPr>
          <w:rFonts w:ascii="Times New Roman;sans-serif" w:hAnsi="Times New Roman;sans-serif"/>
          <w:b w:val="false"/>
          <w:color w:val="000000"/>
          <w:sz w:val="22"/>
        </w:rPr>
        <w:t>16.    </w:t>
      </w:r>
      <w:r>
        <w:rPr>
          <w:rFonts w:ascii="Times New Roman;sans-serif" w:hAnsi="Times New Roman;sans-serif"/>
          <w:b w:val="false"/>
          <w:color w:val="000000"/>
          <w:sz w:val="22"/>
          <w:u w:val="single"/>
        </w:rPr>
        <w:t>Notice</w:t>
      </w:r>
      <w:r>
        <w:rPr>
          <w:rFonts w:ascii="Times New Roman;sans-serif" w:hAnsi="Times New Roman;sans-serif"/>
          <w:b w:val="false"/>
          <w:color w:val="000000"/>
          <w:sz w:val="22"/>
        </w:rPr>
        <w:t>. Any notice required or permitted to be given under this Agreement shall be sent in writing by registered or certified mail to your residence or to the Company at the address on this letterhead, Attention: Chief Executive Officer.</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22"/>
        </w:rPr>
        <w:t>17.    </w:t>
      </w:r>
      <w:r>
        <w:rPr>
          <w:rFonts w:ascii="Times New Roman;sans-serif" w:hAnsi="Times New Roman;sans-serif"/>
          <w:b w:val="false"/>
          <w:color w:val="000000"/>
          <w:sz w:val="22"/>
          <w:u w:val="single"/>
        </w:rPr>
        <w:t>Waiver/Entire Agreement/Amendments</w:t>
      </w:r>
      <w:r>
        <w:rPr>
          <w:rFonts w:ascii="Times New Roman;sans-serif" w:hAnsi="Times New Roman;sans-serif"/>
          <w:b w:val="false"/>
          <w:color w:val="000000"/>
          <w:sz w:val="22"/>
        </w:rPr>
        <w:t xml:space="preserve">. The waiver by either party of any provision of this Agreement shall not operate or be construed as a waiver of any subsequent breach. This Agreement contains the entire agreement of the parties. This Agreement may be amended or modified only by a written agreement signed by you and by a duly authorized representative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67665"/>
                <wp:effectExtent l="0" t="0" r="0" b="0"/>
                <wp:wrapNone/>
                <wp:docPr id="141" name="Frame14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18.    </w:t>
      </w:r>
      <w:r>
        <w:rPr>
          <w:rFonts w:ascii="Times New Roman;sans-serif" w:hAnsi="Times New Roman;sans-serif"/>
          <w:b w:val="false"/>
          <w:color w:val="000000"/>
          <w:sz w:val="22"/>
          <w:u w:val="single"/>
        </w:rPr>
        <w:t>Governance</w:t>
      </w:r>
      <w:r>
        <w:rPr>
          <w:rFonts w:ascii="Times New Roman;sans-serif" w:hAnsi="Times New Roman;sans-serif"/>
          <w:b w:val="false"/>
          <w:color w:val="000000"/>
          <w:sz w:val="22"/>
        </w:rPr>
        <w:t>. This Agreement shall be governed by the laws of the State of Tennessee. Any dispute arising out of this Agreement shall be resolved, at the Company’s sole option, by courts sitting in Nashville, Tennessee, and you waive any objection to such venue.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19.    </w:t>
      </w:r>
      <w:r>
        <w:rPr>
          <w:rFonts w:ascii="Times New Roman;sans-serif" w:hAnsi="Times New Roman;sans-serif"/>
          <w:b w:val="false"/>
          <w:color w:val="000000"/>
          <w:sz w:val="22"/>
          <w:u w:val="single"/>
        </w:rPr>
        <w:t>Enforceability</w:t>
      </w:r>
      <w:r>
        <w:rPr>
          <w:rFonts w:ascii="Times New Roman;sans-serif" w:hAnsi="Times New Roman;sans-serif"/>
          <w:b w:val="false"/>
          <w:color w:val="000000"/>
          <w:sz w:val="22"/>
        </w:rPr>
        <w:t>. In the event that any provision of this Agreement shall be held by a court to be unenforceable, such provision will be enforced to the maximum extent permissible, and the remaining portions of this Agreement shall remain in full force and effect.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20.        </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Notwithstanding any termination of your employment, this Agreement shall survive and remain in effect in accordance with its terms. The obligations of Sections 6, 7, 8, 9, 10, 11 and 12 shall survive the termination of our employment relationship or of this Agreement. This Agreement may be signed in one or more counterparts, each of which shall be an original and all of which will constitute one and the same instrument.    </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Sincerely yours,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CUMBERLAND PHARMACEUTICALS INC.</w:t>
      </w:r>
    </w:p>
    <w:p>
      <w:pPr>
        <w:pStyle w:val="TextBody"/>
        <w:bidi w:val="0"/>
        <w:spacing w:before="0" w:after="0"/>
        <w:ind w:left="0" w:right="0" w:firstLine="810"/>
        <w:jc w:val="both"/>
        <w:rPr/>
      </w:pPr>
      <w:r>
        <w:rPr/>
      </w:r>
    </w:p>
    <w:p>
      <w:pPr>
        <w:pStyle w:val="TextBody"/>
        <w:bidi w:val="0"/>
        <w:spacing w:before="0" w:after="0"/>
        <w:ind w:left="0" w:right="0" w:firstLine="810"/>
        <w:jc w:val="both"/>
        <w:rPr/>
      </w:pPr>
      <w:r>
        <w:rPr/>
      </w:r>
    </w:p>
    <w:p>
      <w:pPr>
        <w:pStyle w:val="TextBody"/>
        <w:bidi w:val="0"/>
        <w:spacing w:lineRule="auto" w:line="288" w:before="0" w:after="0"/>
        <w:ind w:left="0" w:right="0" w:firstLine="810"/>
        <w:jc w:val="both"/>
        <w:rPr>
          <w:rFonts w:ascii="Times New Roman;sans-serif" w:hAnsi="Times New Roman;sans-serif"/>
          <w:b w:val="false"/>
          <w:color w:val="000000"/>
          <w:sz w:val="22"/>
        </w:rPr>
      </w:pPr>
      <w:r>
        <w:rPr>
          <w:rFonts w:ascii="Times New Roman;sans-serif" w:hAnsi="Times New Roman;sans-serif"/>
          <w:b w:val="false"/>
          <w:color w:val="000000"/>
          <w:sz w:val="22"/>
        </w:rPr>
        <w:t>By:___________________________________        </w:t>
      </w:r>
    </w:p>
    <w:p>
      <w:pPr>
        <w:pStyle w:val="TextBody"/>
        <w:bidi w:val="0"/>
        <w:spacing w:lineRule="auto" w:line="288" w:before="0" w:after="0"/>
        <w:ind w:left="0" w:right="0" w:firstLine="90"/>
        <w:jc w:val="both"/>
        <w:rPr>
          <w:rFonts w:ascii="Times New Roman;sans-serif" w:hAnsi="Times New Roman;sans-serif"/>
          <w:b w:val="false"/>
          <w:color w:val="000000"/>
          <w:sz w:val="22"/>
        </w:rPr>
      </w:pPr>
      <w:r>
        <w:rPr>
          <w:rFonts w:ascii="Times New Roman;sans-serif" w:hAnsi="Times New Roman;sans-serif"/>
          <w:b w:val="false"/>
          <w:color w:val="000000"/>
          <w:sz w:val="22"/>
        </w:rPr>
        <w:t>A.J. Kazimi, Chief Executive Officer</w:t>
      </w:r>
    </w:p>
    <w:p>
      <w:pPr>
        <w:pStyle w:val="TextBody"/>
        <w:bidi w:val="0"/>
        <w:spacing w:before="0" w:after="0"/>
        <w:ind w:left="0" w:right="0" w:firstLine="90"/>
        <w:jc w:val="both"/>
        <w:rPr/>
      </w:pPr>
      <w:r>
        <w:rPr/>
      </w:r>
    </w:p>
    <w:p>
      <w:pPr>
        <w:pStyle w:val="TextBody"/>
        <w:bidi w:val="0"/>
        <w:spacing w:before="0" w:after="0"/>
        <w:ind w:left="0" w:right="0" w:firstLine="90"/>
        <w:jc w:val="both"/>
        <w:rPr/>
      </w:pPr>
      <w:r>
        <w:rPr/>
      </w:r>
    </w:p>
    <w:p>
      <w:pPr>
        <w:pStyle w:val="TextBody"/>
        <w:bidi w:val="0"/>
        <w:spacing w:lineRule="auto" w:line="288" w:before="0" w:after="0"/>
        <w:ind w:left="0" w:right="0" w:firstLine="90"/>
        <w:jc w:val="both"/>
        <w:rPr>
          <w:rFonts w:ascii="Times New Roman;sans-serif" w:hAnsi="Times New Roman;sans-serif"/>
          <w:b w:val="false"/>
          <w:color w:val="000000"/>
          <w:sz w:val="22"/>
        </w:rPr>
      </w:pPr>
      <w:r>
        <w:rPr>
          <w:rFonts w:ascii="Times New Roman;sans-serif" w:hAnsi="Times New Roman;sans-serif"/>
          <w:b w:val="false"/>
          <w:color w:val="000000"/>
          <w:sz w:val="22"/>
        </w:rPr>
        <w:t>Accepted as to all terms and conditions</w:t>
      </w:r>
    </w:p>
    <w:p>
      <w:pPr>
        <w:pStyle w:val="TextBody"/>
        <w:bidi w:val="0"/>
        <w:spacing w:lineRule="auto" w:line="288" w:before="0" w:after="0"/>
        <w:ind w:left="0" w:right="0" w:firstLine="90"/>
        <w:jc w:val="both"/>
        <w:rPr>
          <w:rFonts w:ascii="Times New Roman;sans-serif" w:hAnsi="Times New Roman;sans-serif"/>
          <w:b w:val="false"/>
          <w:color w:val="000000"/>
          <w:sz w:val="22"/>
        </w:rPr>
      </w:pPr>
      <w:r>
        <w:rPr>
          <w:rFonts w:ascii="Times New Roman;sans-serif" w:hAnsi="Times New Roman;sans-serif"/>
          <w:b w:val="false"/>
          <w:color w:val="000000"/>
          <w:sz w:val="22"/>
        </w:rPr>
        <w:t>as of the ______ of ______ 2025:</w:t>
      </w:r>
    </w:p>
    <w:p>
      <w:pPr>
        <w:pStyle w:val="TextBody"/>
        <w:bidi w:val="0"/>
        <w:spacing w:before="0" w:after="0"/>
        <w:ind w:left="0" w:right="0" w:firstLine="9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Sign here:________________________________________</w:t>
      </w:r>
    </w:p>
    <w:p>
      <w:pPr>
        <w:pStyle w:val="TextBody"/>
        <w:bidi w:val="0"/>
        <w:spacing w:before="0" w:after="0"/>
        <w:ind w:left="0" w:right="0" w:firstLine="90"/>
        <w:jc w:val="both"/>
        <w:rPr/>
      </w:pPr>
      <w:r>
        <w:rPr/>
      </w:r>
    </w:p>
    <w:p>
      <w:pPr>
        <w:pStyle w:val="TextBody"/>
        <w:bidi w:val="0"/>
        <w:spacing w:lineRule="auto" w:line="288" w:before="0" w:after="0"/>
        <w:ind w:left="0" w:right="0" w:firstLine="90"/>
        <w:jc w:val="both"/>
        <w:rPr>
          <w:rFonts w:ascii="Times New Roman;sans-serif" w:hAnsi="Times New Roman;sans-serif"/>
          <w:b w:val="false"/>
          <w:color w:val="000000"/>
          <w:sz w:val="22"/>
        </w:rPr>
      </w:pPr>
      <w:r>
        <w:rPr>
          <w:rFonts w:ascii="Times New Roman;sans-serif" w:hAnsi="Times New Roman;sans-serif"/>
          <w:b w:val="false"/>
          <w:color w:val="000000"/>
          <w:sz w:val="22"/>
        </w:rPr>
        <w:t>Print name: _______________________________________</w:t>
      </w:r>
    </w:p>
    <w:p>
      <w:pPr>
        <w:pStyle w:val="TextBody"/>
        <w:bidi w:val="0"/>
        <w:ind w:left="0" w:right="0" w:firstLine="9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67665"/>
                <wp:effectExtent l="0" t="0" r="0" b="0"/>
                <wp:wrapNone/>
                <wp:docPr id="142" name="Frame14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Effective January 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Todd Anthony</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702 Meeting Street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Franklin, TN 37064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2"/>
        </w:rPr>
        <w:t xml:space="preserve">Re:    Employment of Todd Anthony, </w:t>
      </w:r>
      <w:r>
        <w:rPr>
          <w:rFonts w:ascii="Times New Roman;sans-serif" w:hAnsi="Times New Roman;sans-serif"/>
          <w:b w:val="false"/>
          <w:i/>
          <w:color w:val="000000"/>
          <w:sz w:val="22"/>
        </w:rPr>
        <w:t>Vice President Organizational Development</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Dear Todd,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Effective January 1, 2025, this agreement (the “Agreement”) will evidence the terms and conditions under which you will be employed by Cumberland Pharmaceuticals Inc. (the “Company”). In consideration of your appointment as </w:t>
      </w:r>
      <w:r>
        <w:rPr>
          <w:rFonts w:ascii="Times New Roman;sans-serif" w:hAnsi="Times New Roman;sans-serif"/>
          <w:b w:val="false"/>
          <w:i/>
          <w:color w:val="000000"/>
          <w:sz w:val="22"/>
        </w:rPr>
        <w:t>Vice President Organizational Development</w:t>
      </w:r>
      <w:r>
        <w:rPr>
          <w:color w:val="000000"/>
        </w:rPr>
        <w:t xml:space="preserve"> </w:t>
      </w:r>
      <w:r>
        <w:rPr>
          <w:rFonts w:ascii="Times New Roman;sans-serif" w:hAnsi="Times New Roman;sans-serif"/>
          <w:b w:val="false"/>
          <w:color w:val="000000"/>
          <w:sz w:val="22"/>
        </w:rPr>
        <w:t>of the Company, and other good and valuable consideration, the receipt and sufficiency of which is hereby acknowledged, the parties agree as follows: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Compensation/Benefits.</w:t>
      </w:r>
      <w:r>
        <w:rPr>
          <w:color w:val="000000"/>
        </w:rPr>
        <w:t xml:space="preserve"> </w:t>
      </w:r>
      <w:r>
        <w:rPr>
          <w:rFonts w:ascii="Times New Roman;sans-serif" w:hAnsi="Times New Roman;sans-serif"/>
          <w:b w:val="false"/>
          <w:color w:val="000000"/>
          <w:sz w:val="22"/>
        </w:rPr>
        <w:t>The Company agrees to compensate you as follows: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(a)    The Company will pay you an annual salary for services performed of two hundred ninety-seven thousand five hundred seventy dollars ($297,570), in accordance with the Company’s payroll practices. Currently, employees are paid in equal monthly installments payable in arrears on the 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 xml:space="preserve">day of each calendar month. For each year hereof any adjustments to your annual salary will be determined by the Company in its sole discretion; provided, however, that any obligation to make payments under this Section 1(a) will cease effective upon termination of your employment for any reason. Notwithstanding the foregoing, nothing in this Section 1(a) alters or is intended to alter the at-will nature of your employment as described in Section 3 of this Agreement. All payments to you under this Agreement shall be net of any tax or other amounts required to be withheld by the Company under applicable law.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You will be eligible to participate in any Company-wide employee benefits, including vacation and holiday time, as approved by the Board of Directors. The terms of your eligibility and participation will be governed by the provisions of the employee benefit plans and arrangements as such plans or arrangements may be amended from time to time in the discretion of the Company's Board of Directors.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    You will be eligible to participate in a Company bonus program(s). Bonuses are based upon a combination of your performance in meeting your assigned responsibilities and objectives and the Company’s overall performance in meeting its annual objectives,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 Bonuses are paid only to those employed by the Company on the day bonuses are provided.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You will also receive a grant of Cumberland Pharmaceuticals common stock, pursuant to a stock option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 xml:space="preserve">Place of Employment </w:t>
      </w:r>
      <w:r>
        <w:rPr>
          <w:rFonts w:ascii="Times New Roman;sans-serif" w:hAnsi="Times New Roman;sans-serif"/>
          <w:b w:val="false"/>
          <w:color w:val="000000"/>
          <w:sz w:val="22"/>
        </w:rPr>
        <w:t xml:space="preserve">. You will perform your duties under this Agreement principally from one of the following (check as applicable):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X Company headquarters in Nashville, Tennessee 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 Remotely from your home address shown above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understand that remote work requires reliable internet access, use of approved Company equipment, the performance of services and availability during business hours, a quiet place to work, and adherence to all of the Company’s policies and practices when working remotely.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Duties and Conflicts of Interest</w:t>
      </w:r>
      <w:r>
        <w:rPr>
          <w:rFonts w:ascii="Times New Roman;sans-serif" w:hAnsi="Times New Roman;sans-serif"/>
          <w:b w:val="false"/>
          <w:color w:val="000000"/>
          <w:sz w:val="22"/>
        </w:rPr>
        <w:t>. You will have such duties and responsibilities typically associated with your position and as may be assigned from time to time by your supervisor. You are hired with the understanding that the Company is your sole employer and you will provide a full-time work effort. You will diligently devote your entire professional and business-related time and best efforts to the services required of you by the express and implicit terms of this Agreement, to the reasonable satisfaction of the Company in its sole and complete discretion. You agree to comply with the Company’s policies and practices applicable to employees that are in effect from time to time. Engaging in activities outside of work that create a conflict of interest, or detract from your ability to perform your assigned duties and responsibilities or meet your assigned goals and objectives with the Company, is a problem and may lead to disciplinary action up to and including termination of your employment. If you believe that you are potentially involved in a situation that could create a conflict of interest and affect your ability to adequately perform your job with the Company, you should immediately inform your direct supervisor and the Company’s Human Resources Department.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Expenses</w:t>
      </w:r>
      <w:r>
        <w:rPr>
          <w:rFonts w:ascii="Times New Roman;sans-serif" w:hAnsi="Times New Roman;sans-serif"/>
          <w:b w:val="false"/>
          <w:color w:val="000000"/>
          <w:sz w:val="22"/>
        </w:rPr>
        <w:t>. During the term of this Agreement, you willl be entitled to receive prompt reimbursement for all reasonable and documented expenses approved in advance by the Company and incurred in the performance of your employment in accordance with the expense reimbursement policy of the Company. Such reimbursement policy requires adequate and satisfactory documentation from you of all expenses and submission within a reasonable period after the close of the applicable calendar month.</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Employment at Will</w:t>
      </w:r>
      <w:r>
        <w:rPr>
          <w:rFonts w:ascii="Times New Roman;sans-serif" w:hAnsi="Times New Roman;sans-serif"/>
          <w:b w:val="false"/>
          <w:color w:val="000000"/>
          <w:sz w:val="22"/>
        </w:rPr>
        <w:t xml:space="preserve">. This Agreement is not intended to and shall not be understood in any manner as affecting or modifying the at-will status of your employment with the Company. You are an at-will employee. Either you or the Company may terminate your employment relationship at any time with or without cause or notice.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All knowledge and information, not already available to the public, which you acquire, have acquired, or will acquire in the course of your employment with the Company with respect to the Company’s business, including but not limited to, financial information, customers, vendors, licensees, work methods, data, all papers, resumes, and records (including computer records) and/or regulatory matters, or other Company matters that are treated by the Company as confidential or as trade secrets, shall be referred to as (“Confidential Information”) and shall be treated by you as strictly confidential. Such Confidential Information shall not either directly or indirectly be used, disclosed, or made accessible to anyone by you for any purpose, except in the ordinary course of the Company’s business under circumstances in which you are authorized to use or disclose such information. You agree to not use or disclose Confidential Information outside of those you are authorized to make in the regular and ordinary course of your duties unless and until you receive prior written permission of the Chief Executive Officer of the Company to make such disclosure.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67665"/>
                <wp:effectExtent l="0" t="0" r="0" b="0"/>
                <wp:wrapNone/>
                <wp:docPr id="144" name="Frame14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Discoveries and Improvements</w:t>
      </w:r>
      <w:r>
        <w:rPr>
          <w:rFonts w:ascii="Times New Roman;sans-serif" w:hAnsi="Times New Roman;sans-serif"/>
          <w:b w:val="false"/>
          <w:color w:val="000000"/>
          <w:sz w:val="22"/>
        </w:rPr>
        <w:t>. During the time that you are employed by the Company, all Confidential Information, trade secrets, or proprietary information and all other discoveries, inventions, software programs, processes, methods and improvements that are conceived, developed, or otherwise made by you,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you hereby assign to the Company, and will execute assignment documents of all copyrights, patents and other proprietary rights you may have in any Developments without any obligation on the part of the Company to pay royalties or any other consideration to you for such Developments.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Publication</w:t>
      </w:r>
      <w:r>
        <w:rPr>
          <w:rFonts w:ascii="Times New Roman;sans-serif" w:hAnsi="Times New Roman;sans-serif"/>
          <w:b w:val="false"/>
          <w:color w:val="000000"/>
          <w:sz w:val="22"/>
        </w:rPr>
        <w:t xml:space="preserve">. All documents and other writings produced by you during the term of your employment, which relate to work you are doing or have done for the Company or to the business of the Company or its Affiliates (as defined below) shall belong to the Company. You will not publish outside of the Company any such writing without the prior written consent of the Chief Commercial Officer. You will, without further compensation, execute at any time (whether or not you are still employed by the Company) all documents requested of you relating to the protection of such rights, including the assignment of such rights to the Company. The term “Affiliate” shall mean the Company and any entity controlling, controlled by, or under common control with the Company.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Litigation and Regulatory Cooperation</w:t>
      </w:r>
      <w:r>
        <w:rPr>
          <w:rFonts w:ascii="Times New Roman;sans-serif" w:hAnsi="Times New Roman;sans-serif"/>
          <w:b w:val="false"/>
          <w:color w:val="000000"/>
          <w:sz w:val="22"/>
        </w:rPr>
        <w:t xml:space="preserve">. You shall give Notice to the Company within three (3) business days pursuant to Section 15 of this Agreement if you are no longer employed and immediately if you are still employed by the Company if you are contacted by any person relating to any claim or litigation against the Company. During and after your employment, you shall cooperate fully with the Company in the defense or prosecution of any claims or actions now in existence or that may be brought in the future against or on behalf of the Company that relate to events or occurrences that transpired while you were employed by the Company. Your full cooperation in connection with such claims or actions shall include, but not be limited to, being available to meet with counsel to prepare for discovery or trial and to act as a witness on behalf of the Company at mutually convenient times. During and after you employment, you shall also cooperate fully with the Company in connection with any investigation or review of any federal, state or local regulatory authority to the extent any any such investigation or review relates to events or occurrences that transpired while you were employed by the Company. The Company shall reimburse you for any reasonable out-of-pocket expenses incurred in connection with your performance of obligations pursuant to this Section 9.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Competition</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For so long as you are employed by the Company or any Affiliate and for a period of one (1) year after you cease to be employed by the Company or any Affiliate, you shall not, within the Territory (as defined below),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67665"/>
                <wp:effectExtent l="0" t="0" r="0" b="0"/>
                <wp:wrapNone/>
                <wp:docPr id="145" name="Frame14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In recognition of the broad geographic scope of the Company and of the ease of competing with the Company from any location throughout the United States, the restrictions in this Section 10 are intended to cover the following geographic areas (collectively, the “Territory”): (a) the United States; and, (b) each state in the United States where the Company conducted the Business during the term of my employment. If a court determines that the Territory described above in clause (a) is too restrictive, then the parties agree that the Territory shall be the area specified in clause (b). If the court determines that all of the areas mentioned above are too restrictive, then the parties agree the court may reduce or limit the area to enable the intent of this Section 10 to be enforced in the largest acceptable area.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The restrictions in this Section 10 shall not apply if you have disclosed to the Company in writing all the known facts relating to such work or activity and have received a release in writing from the Chief Commercial Officer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By executing this Agreement, you acknowledge that you understand that the restrictions set forth in this Section 10 and in Section 11 of this Agreement are intended to protect the Company’s interest in its Confidential Information, including its trade secrets, and established employee, customer, and supplier relationships and goodwill, and you agree that such restrictions are reasonable and appropriate for this purpose.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Solicitation</w:t>
      </w:r>
      <w:r>
        <w:rPr>
          <w:rFonts w:ascii="Times New Roman;sans-serif" w:hAnsi="Times New Roman;sans-serif"/>
          <w:b w:val="false"/>
          <w:color w:val="000000"/>
          <w:sz w:val="22"/>
        </w:rPr>
        <w:t>. For a period of one year after you cease to be employed by the Company (or a Company Affiliate) you agree (a) not to solicit, directly or indirectly, business related to the development or sales of pharmaceutical products from any entity, organization, or person which is contracted with the Company,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Chief Executive Officer of the Company to engage in such solicitation and (b) not to solicit, recruit, hire, or assist in the hiring of any employee of the Company to work for you or another person, firm, corporation, or business in competition with, or reasonably likely to become in competition with, the Company.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12.    </w:t>
      </w:r>
      <w:r>
        <w:rPr>
          <w:rFonts w:ascii="Times New Roman;sans-serif" w:hAnsi="Times New Roman;sans-serif"/>
          <w:b w:val="false"/>
          <w:color w:val="000000"/>
          <w:sz w:val="22"/>
          <w:u w:val="single"/>
        </w:rPr>
        <w:t>Conflicting Contracts</w:t>
      </w:r>
      <w:r>
        <w:rPr>
          <w:rFonts w:ascii="Times New Roman;sans-serif" w:hAnsi="Times New Roman;sans-serif"/>
          <w:b w:val="false"/>
          <w:color w:val="000000"/>
          <w:sz w:val="22"/>
        </w:rPr>
        <w:t>. You represent and warrant that you are not now under any obligation resulting from any contract or arrangement, to any person, firm, or corporation, which is inconsistent or in conflict with this Agreement or which would prevent, limit, or impair in any way the performance by you of your obligations to the Company.</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22"/>
        </w:rPr>
        <w:t>13.    </w:t>
      </w:r>
      <w:r>
        <w:rPr>
          <w:rFonts w:ascii="Times New Roman;sans-serif" w:hAnsi="Times New Roman;sans-serif"/>
          <w:b w:val="false"/>
          <w:color w:val="000000"/>
          <w:sz w:val="22"/>
          <w:u w:val="single"/>
        </w:rPr>
        <w:t>Return of Documents</w:t>
      </w:r>
      <w:r>
        <w:rPr>
          <w:rFonts w:ascii="Times New Roman;sans-serif" w:hAnsi="Times New Roman;sans-serif"/>
          <w:b w:val="false"/>
          <w:color w:val="000000"/>
          <w:sz w:val="22"/>
        </w:rPr>
        <w:t xml:space="preserve">. All documents, records, data, apparatus, equipment and other physical property, whether or not pertaining to Confidential Information, that are furnished to you by the Company or are produced by you in connection with your employment with the Company will be and remain the sole property of the Company. You shall return to the Company all such materials and property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67665"/>
                <wp:effectExtent l="0" t="0" r="0" b="0"/>
                <wp:wrapNone/>
                <wp:docPr id="146" name="Frame14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immediately upon termination of employment or upon request by the Company for any reason. You shall not retain with you any such material or property or any copies after termination of your employment.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14.    </w:t>
      </w:r>
      <w:r>
        <w:rPr>
          <w:rFonts w:ascii="Times New Roman;sans-serif" w:hAnsi="Times New Roman;sans-serif"/>
          <w:b w:val="false"/>
          <w:color w:val="000000"/>
          <w:sz w:val="22"/>
          <w:u w:val="single"/>
        </w:rPr>
        <w:t>Remedies</w:t>
      </w:r>
      <w:r>
        <w:rPr>
          <w:rFonts w:ascii="Times New Roman;sans-serif" w:hAnsi="Times New Roman;sans-serif"/>
          <w:b w:val="false"/>
          <w:color w:val="000000"/>
          <w:sz w:val="22"/>
        </w:rPr>
        <w:t>. You acknowledge that in the event of breach of this Agreement by you, actual damages to the Company will be difficult to calculate, the Company will suffer irreparable harm, and that in any event money damages would be an inadequate remedy for any such breach.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15.    </w:t>
      </w:r>
      <w:r>
        <w:rPr>
          <w:rFonts w:ascii="Times New Roman;sans-serif" w:hAnsi="Times New Roman;sans-serif"/>
          <w:b w:val="false"/>
          <w:color w:val="000000"/>
          <w:sz w:val="22"/>
          <w:u w:val="single"/>
        </w:rPr>
        <w:t>Debarment</w:t>
      </w:r>
      <w:r>
        <w:rPr>
          <w:rFonts w:ascii="Times New Roman;sans-serif" w:hAnsi="Times New Roman;sans-serif"/>
          <w:b w:val="false"/>
          <w:color w:val="000000"/>
          <w:sz w:val="22"/>
        </w:rPr>
        <w:t>. You represent and warrant that you have not been debarred, suspended or proposed for debarment or excluded from participation in any state or federal program or under the Food, Drug and Cosmetic Act and will notify the Company immediately of possible suspension or disbarment.</w:t>
      </w:r>
    </w:p>
    <w:p>
      <w:pPr>
        <w:pStyle w:val="TextBody"/>
        <w:bidi w:val="0"/>
        <w:spacing w:lineRule="auto" w:line="288" w:before="0" w:after="0"/>
        <w:jc w:val="both"/>
        <w:rPr/>
      </w:pPr>
      <w:r>
        <w:rPr>
          <w:rFonts w:ascii="Times New Roman;sans-serif" w:hAnsi="Times New Roman;sans-serif"/>
          <w:b w:val="false"/>
          <w:color w:val="000000"/>
          <w:sz w:val="22"/>
        </w:rPr>
        <w:t>16.    </w:t>
      </w:r>
      <w:r>
        <w:rPr>
          <w:rFonts w:ascii="Times New Roman;sans-serif" w:hAnsi="Times New Roman;sans-serif"/>
          <w:b w:val="false"/>
          <w:color w:val="000000"/>
          <w:sz w:val="22"/>
          <w:u w:val="single"/>
        </w:rPr>
        <w:t>Notice</w:t>
      </w:r>
      <w:r>
        <w:rPr>
          <w:rFonts w:ascii="Times New Roman;sans-serif" w:hAnsi="Times New Roman;sans-serif"/>
          <w:b w:val="false"/>
          <w:color w:val="000000"/>
          <w:sz w:val="22"/>
        </w:rPr>
        <w:t>. Any notice required or permitted to be given under this Agreement shall be sent in writing by registered or certified mail to your residence or to the Company at the address on this letterhead, Attention: Chief Executive Officer.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17.    </w:t>
      </w:r>
      <w:r>
        <w:rPr>
          <w:rFonts w:ascii="Times New Roman;sans-serif" w:hAnsi="Times New Roman;sans-serif"/>
          <w:b w:val="false"/>
          <w:color w:val="000000"/>
          <w:sz w:val="22"/>
          <w:u w:val="single"/>
        </w:rPr>
        <w:t>Waiver/Entire Agreement/Amendments</w:t>
      </w:r>
      <w:r>
        <w:rPr>
          <w:rFonts w:ascii="Times New Roman;sans-serif" w:hAnsi="Times New Roman;sans-serif"/>
          <w:b w:val="false"/>
          <w:color w:val="000000"/>
          <w:sz w:val="22"/>
        </w:rPr>
        <w:t xml:space="preserve">. The waiver by either party of any provision of this Agreement shall not operate or be construed as a waiver of any subsequent breach. This Agreement contains the entire agreement of the parties. This Agreement may be amended or modified only by a written agreement signed by you and by a duly authorized representative of the Company.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18.    </w:t>
      </w:r>
      <w:r>
        <w:rPr>
          <w:rFonts w:ascii="Times New Roman;sans-serif" w:hAnsi="Times New Roman;sans-serif"/>
          <w:b w:val="false"/>
          <w:color w:val="000000"/>
          <w:sz w:val="22"/>
          <w:u w:val="single"/>
        </w:rPr>
        <w:t>Governance</w:t>
      </w:r>
      <w:r>
        <w:rPr>
          <w:rFonts w:ascii="Times New Roman;sans-serif" w:hAnsi="Times New Roman;sans-serif"/>
          <w:b w:val="false"/>
          <w:color w:val="000000"/>
          <w:sz w:val="22"/>
        </w:rPr>
        <w:t>. This Agreement shall be governed by the laws of the State of Tennessee. Any dispute arising out of this Agreement shall be resolved, at the Company’s sole option, by courts sitting in Nashville, Tennessee, and you waive any objection to such venue.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19.    </w:t>
      </w:r>
      <w:r>
        <w:rPr>
          <w:rFonts w:ascii="Times New Roman;sans-serif" w:hAnsi="Times New Roman;sans-serif"/>
          <w:b w:val="false"/>
          <w:color w:val="000000"/>
          <w:sz w:val="22"/>
          <w:u w:val="single"/>
        </w:rPr>
        <w:t>Enforceability</w:t>
      </w:r>
      <w:r>
        <w:rPr>
          <w:rFonts w:ascii="Times New Roman;sans-serif" w:hAnsi="Times New Roman;sans-serif"/>
          <w:b w:val="false"/>
          <w:color w:val="000000"/>
          <w:sz w:val="22"/>
        </w:rPr>
        <w:t>. In the event that any provision of this Agreement shall be held by a court to be unenforceable, such provision will be enforced to the maximum extent permissible, and the remaining portions of this Agreement shall remain in full force and effect.</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22"/>
        </w:rPr>
        <w:t>20.        </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Notwithstanding any termination of your employment, this Agreement shall survive and remain in effect in accordance with its terms. The obligations of Sections 6, 7, 8, 9, 10, 11 and 12 shall survive the termination of our employment relationship or of this Agreement. This Agreement may be signed in one or more counterparts, each of which shall be an original and all of which will constitute one and the same instrument.</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67665"/>
                <wp:effectExtent l="0" t="0" r="0" b="0"/>
                <wp:wrapNone/>
                <wp:docPr id="147" name="Frame14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Sincerely yours,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CUMBERLAND PHARMACEUTICALS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By:_______________________________________        A.J. Kazimi, 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Accepted as to all terms and conditions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the ______ of ______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Sign here:________________________________________</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Print name: _______________________________________</w:t>
      </w:r>
    </w:p>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67665"/>
                <wp:effectExtent l="0" t="0" r="0" b="0"/>
                <wp:wrapNone/>
                <wp:docPr id="148" name="Frame14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Effective January 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Chris Bitterman</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605 Press Place, Apt. 107</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Nashville, TN 37208</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2"/>
        </w:rPr>
        <w:t xml:space="preserve">Re:    Employment of Chris Bitterman, </w:t>
      </w:r>
      <w:r>
        <w:rPr>
          <w:rFonts w:ascii="Times New Roman;sans-serif" w:hAnsi="Times New Roman;sans-serif"/>
          <w:b w:val="false"/>
          <w:i/>
          <w:color w:val="000000"/>
          <w:sz w:val="22"/>
        </w:rPr>
        <w:t>Vice President Sales &amp; Marketing</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Dear Chris,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Effective January 1, 2025, this agreement (the “Agreement”) will evidence the terms and conditions under which you will be employed by Cumberland Pharmaceuticals Inc. (the “Company”). In consideration of your appointment as </w:t>
      </w:r>
      <w:r>
        <w:rPr>
          <w:rFonts w:ascii="Times New Roman;sans-serif" w:hAnsi="Times New Roman;sans-serif"/>
          <w:b w:val="false"/>
          <w:i/>
          <w:color w:val="000000"/>
          <w:sz w:val="22"/>
        </w:rPr>
        <w:t>Vice President Sales &amp; Marketing</w:t>
      </w:r>
      <w:r>
        <w:rPr>
          <w:color w:val="000000"/>
        </w:rPr>
        <w:t xml:space="preserve"> </w:t>
      </w:r>
      <w:r>
        <w:rPr>
          <w:rFonts w:ascii="Times New Roman;sans-serif" w:hAnsi="Times New Roman;sans-serif"/>
          <w:b w:val="false"/>
          <w:color w:val="000000"/>
          <w:sz w:val="22"/>
        </w:rPr>
        <w:t>of the Company, and other good and valuable consideration, the receipt and sufficiency of which is hereby acknowledged, the parties agree as follows: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Compensation/Benefits.</w:t>
      </w:r>
      <w:r>
        <w:rPr>
          <w:color w:val="000000"/>
        </w:rPr>
        <w:t xml:space="preserve"> </w:t>
      </w:r>
      <w:r>
        <w:rPr>
          <w:rFonts w:ascii="Times New Roman;sans-serif" w:hAnsi="Times New Roman;sans-serif"/>
          <w:b w:val="false"/>
          <w:color w:val="000000"/>
          <w:sz w:val="22"/>
        </w:rPr>
        <w:t>The Company agrees to compensate you as follows: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(a)    The Company will pay you an annual salary for services performed of two hundred sixty-eight thousand eight hundred forty dollars ($268,840.00), in accordance with the Company’s payroll practices. In lieu of a merit increase you will receive a housing stipend as outlined in your 2024 Performance Review. Currently, employees are paid in equal monthly installments payable in arrears on the 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 xml:space="preserve">day of each calendar month. For each year hereof any adjustments to your annual salary will be determined by the Company in its sole discretion; provided, however, that any obligation to make payments under this Section 1(a) will cease effective upon termination of your employment for any reason. Notwithstanding the foregoing, nothing in this Section 1(a) alters or is intended to alter the at-will nature of your employment as described in Section 3 of this Agreement. All payments to you under this Agreement shall be net of any tax or other amounts required to be withheld by the Company under applicable law.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You will be eligible to participate in any Company-wide employee benefits, including vacation and holiday time, as approved by the Board of Directors. The terms of your eligibility and participation will be governed by the provisions of the employee benefit plans and arrangements as such plans or arrangements may be amended from time to time in the discretion of the Company's Board of Directors.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    You will be eligible to participate in a Company bonus program(s). Bonuses are based upon a combination of your performance in meeting your assigned responsibilities and objectives and the Company’s overall performance in meeting its annual objectives,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 Bonuses are paid only to those employed by the Company on the day bonuses are provided.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You will also receive a grant of Cumberland Pharmaceuticals common stock, pursuant to a stock option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 xml:space="preserve">Place of Employment </w:t>
      </w:r>
      <w:r>
        <w:rPr>
          <w:rFonts w:ascii="Times New Roman;sans-serif" w:hAnsi="Times New Roman;sans-serif"/>
          <w:b w:val="false"/>
          <w:color w:val="000000"/>
          <w:sz w:val="22"/>
        </w:rPr>
        <w:t xml:space="preserve">. You will perform your duties under this Agreement principally from one of the following (check as applicable):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u w:val="single"/>
        </w:rPr>
        <w:t>X</w:t>
      </w:r>
      <w:r>
        <w:rPr>
          <w:color w:val="000000"/>
        </w:rPr>
        <w:t xml:space="preserve"> </w:t>
      </w:r>
      <w:r>
        <w:rPr>
          <w:rFonts w:ascii="Times New Roman;sans-serif" w:hAnsi="Times New Roman;sans-serif"/>
          <w:b w:val="false"/>
          <w:color w:val="000000"/>
          <w:sz w:val="22"/>
        </w:rPr>
        <w:t>Company headquarters in Nashville, Tennessee 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 Remotely from your home address shown above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understand that remote work requires reliable internet access, use of approved Company equipment, the performance of services and availability during business hours, a quiet place to work, and adherence to all of the Company’s policies and practices when working remotely.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Duties and Conflicts of Interest</w:t>
      </w:r>
      <w:r>
        <w:rPr>
          <w:rFonts w:ascii="Times New Roman;sans-serif" w:hAnsi="Times New Roman;sans-serif"/>
          <w:b w:val="false"/>
          <w:color w:val="000000"/>
          <w:sz w:val="22"/>
        </w:rPr>
        <w:t>. You will have such duties and responsibilities typically associated with your position and as may be assigned from time to time by your supervisor. You are hired with the understanding that the Company is your sole employer and you will provide a full-time work effort. You will diligently devote your entire professional and business-related time and best efforts to the services required of you by the express and implicit terms of this Agreement, to the reasonable satisfaction of the Company in its sole and complete discretion. You agree to comply with the Company’s policies and practices applicable to employees that are in effect from time to time. Engaging in activities outside of work that create a conflict of interest, or detract from your ability to perform your assigned duties and responsibilities or meet your assigned goals and objectives with the Company, is a problem and may lead to disciplinary action up to and including termination of your employment. If you believe that you are potentially involved in a situation that could create a conflict of interest and affect your ability to adequately perform your job with the Company, you should immediately inform your direct supervisor and the Company’s Human Resources Department.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Expenses</w:t>
      </w:r>
      <w:r>
        <w:rPr>
          <w:rFonts w:ascii="Times New Roman;sans-serif" w:hAnsi="Times New Roman;sans-serif"/>
          <w:b w:val="false"/>
          <w:color w:val="000000"/>
          <w:sz w:val="22"/>
        </w:rPr>
        <w:t>. During the term of this Agreement, you willl be entitled to receive prompt reimbursement for all reasonable and documented expenses approved in advance by the Company and incurred in the performance of your employment in accordance with the expense reimbursement policy of the Company. Such reimbursement policy requires adequate and satisfactory documentation from you of all expenses and submission within a reasonable period after the close of the applicable calendar month.</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Employment at Will</w:t>
      </w:r>
      <w:r>
        <w:rPr>
          <w:rFonts w:ascii="Times New Roman;sans-serif" w:hAnsi="Times New Roman;sans-serif"/>
          <w:b w:val="false"/>
          <w:color w:val="000000"/>
          <w:sz w:val="22"/>
        </w:rPr>
        <w:t xml:space="preserve">. This Agreement is not intended to and shall not be understood in any manner as affecting or modifying the at-will status of your employment with the Company. You are an at-will employee. Either you or the Company may terminate your employment relationship at any time with or without cause or notice.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67665"/>
                <wp:effectExtent l="0" t="0" r="0" b="0"/>
                <wp:wrapNone/>
                <wp:docPr id="150" name="Frame14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All knowledge and information, not already available to the public, which you acquire, have acquired, or will acquire in the course of your employment with the Company with respect to the Company’s business, including but not limited to, financial information, customers, vendors, licensees, work methods, data, all papers, resumes, and records (including computer records) and/or regulatory matters, or other Company matters that are treated by the Company as confidential or as trade secrets, shall be referred to as (“Confidential Information”) and shall be treated by you as strictly confidential. Such Confidential Information shall not either directly or indirectly be used, disclosed, or made accessible to anyone by you for any purpose, except in the ordinary course of the Company’s business under circumstances in which you are authorized to use or disclose such information. You agree to not use or disclose Confidential Information outside of those you are authorized to make in the regular and ordinary course of your duties unless and until you receive prior written permission of the Chief Executive Officer of the Company to make such disclosure.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Discoveries and Improvements</w:t>
      </w:r>
      <w:r>
        <w:rPr>
          <w:rFonts w:ascii="Times New Roman;sans-serif" w:hAnsi="Times New Roman;sans-serif"/>
          <w:b w:val="false"/>
          <w:color w:val="000000"/>
          <w:sz w:val="22"/>
        </w:rPr>
        <w:t>. During the time that you are employed by the Company, all Confidential Information, trade secrets, or proprietary information and all other discoveries, inventions, software programs, processes, methods and improvements that are conceived, developed, or otherwise made by you,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you hereby assign to the Company, and will execute assignment documents of all copyrights, patents and other proprietary rights you may have in any Developments without any obligation on the part of the Company to pay royalties or any other consideration to you for such Developments.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Publication</w:t>
      </w:r>
      <w:r>
        <w:rPr>
          <w:rFonts w:ascii="Times New Roman;sans-serif" w:hAnsi="Times New Roman;sans-serif"/>
          <w:b w:val="false"/>
          <w:color w:val="000000"/>
          <w:sz w:val="22"/>
        </w:rPr>
        <w:t xml:space="preserve">. All documents and other writings produced by you during the term of your employment, which relate to work you are doing or have done for the Company or to the business of the Company or its Affiliates (as defined below) shall belong to the Company. You will not publish outside of the Company any such writing without the prior written consent of the Chief Commercial Officer. You will, without further compensation, execute at any time (whether or not you are still employed by the Company) all documents requested of you relating to the protection of such rights, including the assignment of such rights to the Company. The term “Affiliate” shall mean the Company and any entity controlling, controlled by, or under common control with the Company.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67665"/>
                <wp:effectExtent l="0" t="0" r="0" b="0"/>
                <wp:wrapNone/>
                <wp:docPr id="151" name="Frame15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Litigation and Regulatory Cooperation</w:t>
      </w:r>
      <w:r>
        <w:rPr>
          <w:rFonts w:ascii="Times New Roman;sans-serif" w:hAnsi="Times New Roman;sans-serif"/>
          <w:b w:val="false"/>
          <w:color w:val="000000"/>
          <w:sz w:val="22"/>
        </w:rPr>
        <w:t xml:space="preserve">. You shall give Notice to the Company within three (3) business days pursuant to Section 15 of this Agreement if you are no longer employed and immediately if you are still employed by the Company if you are contacted by any person relating to any claim or litigation against the Company. During and after your employment, you shall cooperate fully with the Company in the defense or prosecution of any claims or actions now in existence or that may be brought in the future against or on behalf of the Company that relate to events or occurrences that transpired while you were employed by the Company. Your full cooperation in connection with such claims or actions shall include, but not be limited to, being available to meet with counsel to prepare for discovery or trial and to act as a witness on behalf of the Company at mutually convenient times. During and after you employment, you shall also cooperate fully with the Company in connection with any investigation or review of any federal, state or local regulatory authority to the extent any any such investigation or review relates to events or occurrences that transpired while you were employed by the Company. The Company shall reimburse you for any reasonable out-of-pocket expenses incurred in connection with your performance of obligations pursuant to this Section 9.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Competition</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For so long as you are employed by the Company or any Affiliate and for a period of one (1) year after you cease to be employed by the Company or any Affiliate, you shall not, within the Territory (as defined below),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In recognition of the broad geographic scope of the Company and of the ease of competing with the Company from any location throughout the United States, the restrictions in this Section 10 are intended to cover the following geographic areas (collectively, the “Territory”): (a) the United States; and, (b) each state in the United States where the Company conducted the Business during the term of my employment. If a court determines that the Territory described above in clause (a) is too restrictive, then the parties agree that the Territory shall be the area specified in clause (b). If the court determines that all of the areas mentioned above are too restrictive, then the parties agree the court may reduce or limit the area to enable the intent of this Section 10 to be enforced in the largest acceptable area.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The restrictions in this Section 10 shall not apply if you have disclosed to the Company in writing all the known facts relating to such work or activity and have received a release in writing from the Chief Commercial Officer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67665"/>
                <wp:effectExtent l="0" t="0" r="0" b="0"/>
                <wp:wrapNone/>
                <wp:docPr id="152" name="Frame15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By executing this Agreement, you acknowledge that you understand that the restrictions set forth in this Section 10 and in Section 11 of this Agreement are intended to protect the Company’s interest in its Confidential Information, including its trade secrets, and established employee, customer, and supplier relationships and goodwill, and you agree that such restrictions are reasonable and appropriate for this purpose.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Solicitation</w:t>
      </w:r>
      <w:r>
        <w:rPr>
          <w:rFonts w:ascii="Times New Roman;sans-serif" w:hAnsi="Times New Roman;sans-serif"/>
          <w:b w:val="false"/>
          <w:color w:val="000000"/>
          <w:sz w:val="22"/>
        </w:rPr>
        <w:t>. For a period of one year after you cease to be employed by the Company (or a Company Affiliate) you agree (a) not to solicit, directly or indirectly, business related to the development or sales of pharmaceutical products from any entity, organization, or person which is contracted with the Company,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Chief Executive Officer of the Company to engage in such solicitation and (b) not to solicit, recruit, hire, or assist in the hiring of any employee of the Company to work for you or another person, firm, corporation, or business in competition with, or reasonably likely to become in competition with, the Company.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12.    </w:t>
      </w:r>
      <w:r>
        <w:rPr>
          <w:rFonts w:ascii="Times New Roman;sans-serif" w:hAnsi="Times New Roman;sans-serif"/>
          <w:b w:val="false"/>
          <w:color w:val="000000"/>
          <w:sz w:val="22"/>
          <w:u w:val="single"/>
        </w:rPr>
        <w:t>Conflicting Contracts</w:t>
      </w:r>
      <w:r>
        <w:rPr>
          <w:rFonts w:ascii="Times New Roman;sans-serif" w:hAnsi="Times New Roman;sans-serif"/>
          <w:b w:val="false"/>
          <w:color w:val="000000"/>
          <w:sz w:val="22"/>
        </w:rPr>
        <w:t>. You represent and warrant that you are not now under any obligation resulting from any contract or arrangement, to any person, firm, or corporation, which is inconsistent or in conflict with this Agreement or which would prevent, limit, or impair in any way the performance by you of your obligations to the Company.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13.    </w:t>
      </w:r>
      <w:r>
        <w:rPr>
          <w:rFonts w:ascii="Times New Roman;sans-serif" w:hAnsi="Times New Roman;sans-serif"/>
          <w:b w:val="false"/>
          <w:color w:val="000000"/>
          <w:sz w:val="22"/>
          <w:u w:val="single"/>
        </w:rPr>
        <w:t>Return of Documents</w:t>
      </w:r>
      <w:r>
        <w:rPr>
          <w:rFonts w:ascii="Times New Roman;sans-serif" w:hAnsi="Times New Roman;sans-serif"/>
          <w:b w:val="false"/>
          <w:color w:val="000000"/>
          <w:sz w:val="22"/>
        </w:rPr>
        <w:t>. All documents, records, data, apparatus, equipment and other physical property, whether or not pertaining to Confidential Information, that are furnished to you by the Company or are produced by you in connection with your employment with the Company will be and remain the sole property of the Company. You shall return to the Company all such materials and property immediately upon termination of employment or upon request by the Company for any reason. You shall not retain with you any such material or property or any copies after termination of your employment.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14.    </w:t>
      </w:r>
      <w:r>
        <w:rPr>
          <w:rFonts w:ascii="Times New Roman;sans-serif" w:hAnsi="Times New Roman;sans-serif"/>
          <w:b w:val="false"/>
          <w:color w:val="000000"/>
          <w:sz w:val="22"/>
          <w:u w:val="single"/>
        </w:rPr>
        <w:t>Remedies</w:t>
      </w:r>
      <w:r>
        <w:rPr>
          <w:rFonts w:ascii="Times New Roman;sans-serif" w:hAnsi="Times New Roman;sans-serif"/>
          <w:b w:val="false"/>
          <w:color w:val="000000"/>
          <w:sz w:val="22"/>
        </w:rPr>
        <w:t>. You acknowledge that in the event of breach of this Agreement by you, actual damages to the Company will be difficult to calculate, the Company will suffer irreparable harm, and that in any event money damages would be an inadequate remedy for any such breach.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15.    </w:t>
      </w:r>
      <w:r>
        <w:rPr>
          <w:rFonts w:ascii="Times New Roman;sans-serif" w:hAnsi="Times New Roman;sans-serif"/>
          <w:b w:val="false"/>
          <w:color w:val="000000"/>
          <w:sz w:val="22"/>
          <w:u w:val="single"/>
        </w:rPr>
        <w:t>Debarment</w:t>
      </w:r>
      <w:r>
        <w:rPr>
          <w:rFonts w:ascii="Times New Roman;sans-serif" w:hAnsi="Times New Roman;sans-serif"/>
          <w:b w:val="false"/>
          <w:color w:val="000000"/>
          <w:sz w:val="22"/>
        </w:rPr>
        <w:t>. You represent and warrant that you have not been debarred, suspended or proposed for debarment or excluded from participation in any state or federal program or under the Food, Drug and Cosmetic Act and will notify the Company immediately of possible suspension or disbarment.</w:t>
      </w:r>
    </w:p>
    <w:p>
      <w:pPr>
        <w:pStyle w:val="TextBody"/>
        <w:bidi w:val="0"/>
        <w:spacing w:lineRule="auto" w:line="288" w:before="0" w:after="0"/>
        <w:jc w:val="both"/>
        <w:rPr/>
      </w:pPr>
      <w:r>
        <w:rPr>
          <w:rFonts w:ascii="Times New Roman;sans-serif" w:hAnsi="Times New Roman;sans-serif"/>
          <w:b w:val="false"/>
          <w:color w:val="000000"/>
          <w:sz w:val="22"/>
        </w:rPr>
        <w:t>16.    </w:t>
      </w:r>
      <w:r>
        <w:rPr>
          <w:rFonts w:ascii="Times New Roman;sans-serif" w:hAnsi="Times New Roman;sans-serif"/>
          <w:b w:val="false"/>
          <w:color w:val="000000"/>
          <w:sz w:val="22"/>
          <w:u w:val="single"/>
        </w:rPr>
        <w:t>Notice</w:t>
      </w:r>
      <w:r>
        <w:rPr>
          <w:rFonts w:ascii="Times New Roman;sans-serif" w:hAnsi="Times New Roman;sans-serif"/>
          <w:b w:val="false"/>
          <w:color w:val="000000"/>
          <w:sz w:val="22"/>
        </w:rPr>
        <w:t>. Any notice required or permitted to be given under this Agreement shall be sent in writing by registered or certified mail to your residence or to the Company at the address on this letterhead, Attention: Chief Executive Officer.</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22"/>
        </w:rPr>
        <w:t>17.    </w:t>
      </w:r>
      <w:r>
        <w:rPr>
          <w:rFonts w:ascii="Times New Roman;sans-serif" w:hAnsi="Times New Roman;sans-serif"/>
          <w:b w:val="false"/>
          <w:color w:val="000000"/>
          <w:sz w:val="22"/>
          <w:u w:val="single"/>
        </w:rPr>
        <w:t>Waiver/Entire Agreement/Amendments</w:t>
      </w:r>
      <w:r>
        <w:rPr>
          <w:rFonts w:ascii="Times New Roman;sans-serif" w:hAnsi="Times New Roman;sans-serif"/>
          <w:b w:val="false"/>
          <w:color w:val="000000"/>
          <w:sz w:val="22"/>
        </w:rPr>
        <w:t xml:space="preserve">. The waiver by either party of any provision of this Agreement shall not operate or be construed as a waiver of any subsequent breach. This Agreement contains the entire agreement of the parties. This Agreement may be amended or modified only by a written agreement signed by you and by a duly authorized representative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67665"/>
                <wp:effectExtent l="0" t="0" r="0" b="0"/>
                <wp:wrapNone/>
                <wp:docPr id="153" name="Frame15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18.    </w:t>
      </w:r>
      <w:r>
        <w:rPr>
          <w:rFonts w:ascii="Times New Roman;sans-serif" w:hAnsi="Times New Roman;sans-serif"/>
          <w:b w:val="false"/>
          <w:color w:val="000000"/>
          <w:sz w:val="22"/>
          <w:u w:val="single"/>
        </w:rPr>
        <w:t>Governance</w:t>
      </w:r>
      <w:r>
        <w:rPr>
          <w:rFonts w:ascii="Times New Roman;sans-serif" w:hAnsi="Times New Roman;sans-serif"/>
          <w:b w:val="false"/>
          <w:color w:val="000000"/>
          <w:sz w:val="22"/>
        </w:rPr>
        <w:t>. This Agreement shall be governed by the laws of the State of Tennessee. Any dispute arising out of this Agreement shall be resolved, at the Company’s sole option, by courts sitting in Nashville, Tennessee, and you waive any objection to such venue.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19.    </w:t>
      </w:r>
      <w:r>
        <w:rPr>
          <w:rFonts w:ascii="Times New Roman;sans-serif" w:hAnsi="Times New Roman;sans-serif"/>
          <w:b w:val="false"/>
          <w:color w:val="000000"/>
          <w:sz w:val="22"/>
          <w:u w:val="single"/>
        </w:rPr>
        <w:t>Enforceability</w:t>
      </w:r>
      <w:r>
        <w:rPr>
          <w:rFonts w:ascii="Times New Roman;sans-serif" w:hAnsi="Times New Roman;sans-serif"/>
          <w:b w:val="false"/>
          <w:color w:val="000000"/>
          <w:sz w:val="22"/>
        </w:rPr>
        <w:t>. In the event that any provision of this Agreement shall be held by a court to be unenforceable, such provision will be enforced to the maximum extent permissible, and the remaining portions of this Agreement shall remain in full force and effect.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20.        </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Notwithstanding any termination of your employment, this Agreement shall survive and remain in effect in accordance with its terms. The obligations of Sections 6, 7, 8, 9, 10, 11 and 12 shall survive the termination of our employment relationship or of this Agreement. This Agreement may be signed in one or more counterparts, each of which shall be an original and all of which will constitute one and the same instrument.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Sincerely yours,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CUMBERLAND PHARMACEUTICALS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By:_______________________________________        A.J. Kazimi, 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Accepted as to all terms and conditions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the ______ of ______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Sign here:________________________________________</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Print name: _______________________________________</w:t>
      </w:r>
    </w:p>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67665"/>
                <wp:effectExtent l="0" t="0" r="0" b="0"/>
                <wp:wrapNone/>
                <wp:docPr id="154" name="Frame15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Effective January 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John Hamm</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1659 Kirkwood Place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Brentwood, TN 37207</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2"/>
        </w:rPr>
        <w:t>Re:    Employment of John Hamm,</w:t>
      </w:r>
      <w:r>
        <w:rPr>
          <w:color w:val="000000"/>
        </w:rPr>
        <w:t xml:space="preserve"> </w:t>
      </w:r>
      <w:r>
        <w:rPr>
          <w:rFonts w:ascii="Times New Roman;sans-serif" w:hAnsi="Times New Roman;sans-serif"/>
          <w:b w:val="false"/>
          <w:i/>
          <w:color w:val="000000"/>
          <w:sz w:val="22"/>
        </w:rPr>
        <w:t>Vice President, Chief Financial Officer</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Dear John,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Effective January 1, 2025, this agreement (the “Agreement”) will evidence the terms and conditions under which you will be employed by Cumberland Pharmaceuticals Inc. (the “Company”). In consideration of your appointment as </w:t>
      </w:r>
      <w:r>
        <w:rPr>
          <w:rFonts w:ascii="Times New Roman;sans-serif" w:hAnsi="Times New Roman;sans-serif"/>
          <w:b w:val="false"/>
          <w:i/>
          <w:color w:val="000000"/>
          <w:sz w:val="22"/>
        </w:rPr>
        <w:t>Vice President, Chief Financial Officer</w:t>
      </w:r>
      <w:r>
        <w:rPr>
          <w:color w:val="000000"/>
        </w:rPr>
        <w:t xml:space="preserve"> </w:t>
      </w:r>
      <w:r>
        <w:rPr>
          <w:rFonts w:ascii="Times New Roman;sans-serif" w:hAnsi="Times New Roman;sans-serif"/>
          <w:b w:val="false"/>
          <w:color w:val="000000"/>
          <w:sz w:val="22"/>
        </w:rPr>
        <w:t>of the Company, and other good and valuable consideration, the receipt and sufficiency of which is hereby acknowledged, the parties agree as follows: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Compensation/Benefits.</w:t>
      </w:r>
      <w:r>
        <w:rPr>
          <w:color w:val="000000"/>
        </w:rPr>
        <w:t xml:space="preserve"> </w:t>
      </w:r>
      <w:r>
        <w:rPr>
          <w:rFonts w:ascii="Times New Roman;sans-serif" w:hAnsi="Times New Roman;sans-serif"/>
          <w:b w:val="false"/>
          <w:color w:val="000000"/>
          <w:sz w:val="22"/>
        </w:rPr>
        <w:t>The Company agrees to compensate you as follows: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(a)    The Company will pay you an annual salary for services performed of two hundred fifty-six thousand ninety dollars ($256,090), in accordance with the Company’s payroll practices. Currently, employees are paid in equal monthly installments payable in arrears on the 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 xml:space="preserve">day of each calendar month. For each year hereof any adjustments to your annual salary will be determined by the Company in its sole discretion; provided, however, that any obligation to make payments under this Section 1(a) will cease effective upon termination of your employment for any reason. Notwithstanding the foregoing, nothing in this Section 1(a) alters or is intended to alter the at-will nature of your employment as described in Section 3 of this Agreement. All payments to you under this Agreement shall be net of any tax or other amounts required to be withheld by the Company under applicable law.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You will be eligible to participate in any Company-wide employee benefits, including vacation and holiday time, as approved by the Board of Directors. The terms of your eligibility and participation will be governed by the provisions of the employee benefit plans and arrangements as such plans or arrangements may be amended from time to time in the discretion of the Company's Board of Directors.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    You will be eligible to participate in a Company bonus program(s). Bonuses are based upon a combination of your performance in meeting your assigned responsibilities and objectives and the Company’s overall performance in meeting its annual objectives,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 Bonuses are paid only to those employed by the Company on the day bonuses are provided.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You will also receive a grant of Cumberland Pharmaceuticals common stock, pursuant to a stock option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 xml:space="preserve">Place of Employment </w:t>
      </w:r>
      <w:r>
        <w:rPr>
          <w:rFonts w:ascii="Times New Roman;sans-serif" w:hAnsi="Times New Roman;sans-serif"/>
          <w:b w:val="false"/>
          <w:color w:val="000000"/>
          <w:sz w:val="22"/>
        </w:rPr>
        <w:t xml:space="preserve">. You will perform your duties under this Agreement principally from one of the following (check as applicable):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X Company headquarters in Nashville, Tennessee 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 Remotely from your home address shown above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understand that remote work requires reliable internet access, use of approved Company equipment, the performance of services and availability during business hours, a quiet place to work, and adherence to all of the Company’s policies and practices when working remotely.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Duties and Conflicts of Interest</w:t>
      </w:r>
      <w:r>
        <w:rPr>
          <w:rFonts w:ascii="Times New Roman;sans-serif" w:hAnsi="Times New Roman;sans-serif"/>
          <w:b w:val="false"/>
          <w:color w:val="000000"/>
          <w:sz w:val="22"/>
        </w:rPr>
        <w:t>. You will have such duties and responsibilities typically associated with your position and as may be assigned from time to time by your supervisor. You are hired with the understanding that the Company is your sole employer and you will provide a full-time work effort. You will diligently devote your entire professional and business-related time and best efforts to the services required of you by the express and implicit terms of this Agreement, to the reasonable satisfaction of the Company in its sole and complete discretion. You agree to comply with the Company’s policies and practices applicable to employees that are in effect from time to time. Engaging in activities outside of work that create a conflict of interest, or detract from your ability to perform your assigned duties and responsibilities or meet your assigned goals and objectives with the Company, is a problem and may lead to disciplinary action up to and including termination of your employment. If you believe that you are potentially involved in a situation that could create a conflict of interest and affect your ability to adequately perform your job with the Company, you should immediately inform your direct supervisor and the Company’s Human Resources Department.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Expenses</w:t>
      </w:r>
      <w:r>
        <w:rPr>
          <w:rFonts w:ascii="Times New Roman;sans-serif" w:hAnsi="Times New Roman;sans-serif"/>
          <w:b w:val="false"/>
          <w:color w:val="000000"/>
          <w:sz w:val="22"/>
        </w:rPr>
        <w:t>. During the term of this Agreement, you willl be entitled to receive prompt reimbursement for all reasonable and documented expenses approved in advance by the Company and incurred in the performance of your employment in accordance with the expense reimbursement policy of the Company. Such reimbursement policy requires adequate and satisfactory documentation from you of all expenses and submission within a reasonable period after the close of the applicable calendar month.</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Employment at Will</w:t>
      </w:r>
      <w:r>
        <w:rPr>
          <w:rFonts w:ascii="Times New Roman;sans-serif" w:hAnsi="Times New Roman;sans-serif"/>
          <w:b w:val="false"/>
          <w:color w:val="000000"/>
          <w:sz w:val="22"/>
        </w:rPr>
        <w:t xml:space="preserve">. This Agreement is not intended to and shall not be understood in any manner as affecting or modifying the at-will status of your employment with the Company. You are an at-will employee. Either you or the Company may terminate your employment relationship at any time with or without cause or notice.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All knowledge and information, not already available to the public, which you acquire, have acquired, or will acquire in the course of your employment with the Company with respect to the Company’s business, including but not limited to, financial information, customers, vendors, licensees, work methods, data, all papers, resumes, and records (including computer records) and/or regulatory matters, or other Company matters that are treated by the Company as confidential or as trade secrets, shall be referred to as (“Confidential Information”) and shall be treated by you as strictly confidential. Such Confidential Information shall not either directly or indirectly be used, disclosed, or made accessible to anyone by you for any purpose, except in the ordinary course of the Company’s business under circumstances in which you are authorized to use or disclose such information. You agree to not use or disclose Confidential Information outside of those you are authorized to make in the regular and ordinary course of your duties unless and until you receive prior written permission of the Chief Executive Officer of the Company to make such disclosure.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67665"/>
                <wp:effectExtent l="0" t="0" r="0" b="0"/>
                <wp:wrapNone/>
                <wp:docPr id="156" name="Frame15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Discoveries and Improvements</w:t>
      </w:r>
      <w:r>
        <w:rPr>
          <w:rFonts w:ascii="Times New Roman;sans-serif" w:hAnsi="Times New Roman;sans-serif"/>
          <w:b w:val="false"/>
          <w:color w:val="000000"/>
          <w:sz w:val="22"/>
        </w:rPr>
        <w:t>. During the time that you are employed by the Company, all Confidential Information, trade secrets, or proprietary information and all other discoveries, inventions, software programs, processes, methods and improvements that are conceived, developed, or otherwise made by you,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you hereby assign to the Company, and will execute assignment documents of all copyrights, patents and other proprietary rights you may have in any Developments without any obligation on the part of the Company to pay royalties or any other consideration to you for such Developments.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Publication</w:t>
      </w:r>
      <w:r>
        <w:rPr>
          <w:rFonts w:ascii="Times New Roman;sans-serif" w:hAnsi="Times New Roman;sans-serif"/>
          <w:b w:val="false"/>
          <w:color w:val="000000"/>
          <w:sz w:val="22"/>
        </w:rPr>
        <w:t xml:space="preserve">. All documents and other writings produced by you during the term of your employment, which relate to work you are doing or have done for the Company or to the business of the Company or its Affiliates (as defined below) shall belong to the Company. You will not publish outside of the Company any such writing without the prior written consent of the Chief Commercial Officer. You will, without further compensation, execute at any time (whether or not you are still employed by the Company) all documents requested of you relating to the protection of such rights, including the assignment of such rights to the Company. The term “Affiliate” shall mean the Company and any entity controlling, controlled by, or under common control with the Company.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Litigation and Regulatory Cooperation</w:t>
      </w:r>
      <w:r>
        <w:rPr>
          <w:rFonts w:ascii="Times New Roman;sans-serif" w:hAnsi="Times New Roman;sans-serif"/>
          <w:b w:val="false"/>
          <w:color w:val="000000"/>
          <w:sz w:val="22"/>
        </w:rPr>
        <w:t xml:space="preserve">. You shall give Notice to the Company within three (3) business days pursuant to Section 15 of this Agreement if you are no longer employed and immediately if you are still employed by the Company if you are contacted by any person relating to any claim or litigation against the Company. During and after your employment, you shall cooperate fully with the Company in the defense or prosecution of any claims or actions now in existence or that may be brought in the future against or on behalf of the Company that relate to events or occurrences that transpired while you were employed by the Company. Your full cooperation in connection with such claims or actions shall include, but not be limited to, being available to meet with counsel to prepare for discovery or trial and to act as a witness on behalf of the Company at mutually convenient times. During and after you employment, you shall also cooperate fully with the Company in connection with any investigation or review of any federal, state or local regulatory authority to the extent any any such investigation or review relates to events or occurrences that transpired while you were employed by the Company. The Company shall reimburse you for any reasonable out-of-pocket expenses incurred in connection with your performance of obligations pursuant to this Section 9.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Competition</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For so long as you are employed by the Company or any Affiliate and for a period of one (1) year after you cease to be employed by the Company or any Affiliate, you shall not, within the Territory (as defined below),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67665"/>
                <wp:effectExtent l="0" t="0" r="0" b="0"/>
                <wp:wrapNone/>
                <wp:docPr id="157" name="Frame15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In recognition of the broad geographic scope of the Company and of the ease of competing with the Company from any location throughout the United States, the restrictions in this Section 10 are intended to cover the following geographic areas (collectively, the “Territory”): (a) the United States; and, (b) each state in the United States where the Company conducted the Business during the term of my employment. If a court determines that the Territory described above in clause (a) is too restrictive, then the parties agree that the Territory shall be the area specified in clause (b). If the court determines that all of the areas mentioned above are too restrictive, then the parties agree the court may reduce or limit the area to enable the intent of this Section 10 to be enforced in the largest acceptable area.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The restrictions in this Section 10 shall not apply if you have disclosed to the Company in writing all the known facts relating to such work or activity and have received a release in writing from the Chief Commercial Officer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By executing this Agreement, you acknowledge that you understand that the restrictions set forth in this Section 10 and in Section 11 of this Agreement are intended to protect the Company’s interest in its Confidential Information, including its trade secrets, and established employee, customer, and supplier relationships and goodwill, and you agree that such restrictions are reasonable and appropriate for this purpose.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Solicitation</w:t>
      </w:r>
      <w:r>
        <w:rPr>
          <w:rFonts w:ascii="Times New Roman;sans-serif" w:hAnsi="Times New Roman;sans-serif"/>
          <w:b w:val="false"/>
          <w:color w:val="000000"/>
          <w:sz w:val="22"/>
        </w:rPr>
        <w:t>. For a period of one year after you cease to be employed by the Company (or a Company Affiliate) you agree (a) not to solicit, directly or indirectly, business related to the development or sales of pharmaceutical products from any entity, organization, or person which is contracted with the Company,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Chief Executive Officer of the Company to engage in such solicitation and (b) not to solicit, recruit, hire, or assist in the hiring of any employee of the Company to work for you or another person, firm, corporation, or business in competition with, or reasonably likely to become in competition with, the Company.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12.    </w:t>
      </w:r>
      <w:r>
        <w:rPr>
          <w:rFonts w:ascii="Times New Roman;sans-serif" w:hAnsi="Times New Roman;sans-serif"/>
          <w:b w:val="false"/>
          <w:color w:val="000000"/>
          <w:sz w:val="22"/>
          <w:u w:val="single"/>
        </w:rPr>
        <w:t>Conflicting Contracts</w:t>
      </w:r>
      <w:r>
        <w:rPr>
          <w:rFonts w:ascii="Times New Roman;sans-serif" w:hAnsi="Times New Roman;sans-serif"/>
          <w:b w:val="false"/>
          <w:color w:val="000000"/>
          <w:sz w:val="22"/>
        </w:rPr>
        <w:t>. You represent and warrant that you are not now under any obligation resulting from any contract or arrangement, to any person, firm, or corporation, which is inconsistent or in conflict with this Agreement or which would prevent, limit, or impair in any way the performance by you of your obligations to the Company.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67665"/>
                <wp:effectExtent l="0" t="0" r="0" b="0"/>
                <wp:wrapNone/>
                <wp:docPr id="158" name="Frame15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13.    </w:t>
      </w:r>
      <w:r>
        <w:rPr>
          <w:rFonts w:ascii="Times New Roman;sans-serif" w:hAnsi="Times New Roman;sans-serif"/>
          <w:b w:val="false"/>
          <w:color w:val="000000"/>
          <w:sz w:val="22"/>
          <w:u w:val="single"/>
        </w:rPr>
        <w:t>Return of Documents</w:t>
      </w:r>
      <w:r>
        <w:rPr>
          <w:rFonts w:ascii="Times New Roman;sans-serif" w:hAnsi="Times New Roman;sans-serif"/>
          <w:b w:val="false"/>
          <w:color w:val="000000"/>
          <w:sz w:val="22"/>
        </w:rPr>
        <w:t>. All documents, records, data, apparatus, equipment and other physical property, whether or not pertaining to Confidential Information, that are furnished to you by the Company or are produced by you in connection with your employment with the Company will be and remain the sole property of the Company. You shall return to the Company all such materials and property immediately upon termination of employment or upon request by the Company for any reason. You shall not retain with you any such material or property or any copies after termination of your employment.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14.    </w:t>
      </w:r>
      <w:r>
        <w:rPr>
          <w:rFonts w:ascii="Times New Roman;sans-serif" w:hAnsi="Times New Roman;sans-serif"/>
          <w:b w:val="false"/>
          <w:color w:val="000000"/>
          <w:sz w:val="22"/>
          <w:u w:val="single"/>
        </w:rPr>
        <w:t>Remedies</w:t>
      </w:r>
      <w:r>
        <w:rPr>
          <w:rFonts w:ascii="Times New Roman;sans-serif" w:hAnsi="Times New Roman;sans-serif"/>
          <w:b w:val="false"/>
          <w:color w:val="000000"/>
          <w:sz w:val="22"/>
        </w:rPr>
        <w:t>. You acknowledge that in the event of breach of this Agreement by you, actual damages to the Company will be difficult to calculate, the Company will suffer irreparable harm, and that in any event money damages would be an inadequate remedy for any such breach.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15.    </w:t>
      </w:r>
      <w:r>
        <w:rPr>
          <w:rFonts w:ascii="Times New Roman;sans-serif" w:hAnsi="Times New Roman;sans-serif"/>
          <w:b w:val="false"/>
          <w:color w:val="000000"/>
          <w:sz w:val="22"/>
          <w:u w:val="single"/>
        </w:rPr>
        <w:t>Debarment</w:t>
      </w:r>
      <w:r>
        <w:rPr>
          <w:rFonts w:ascii="Times New Roman;sans-serif" w:hAnsi="Times New Roman;sans-serif"/>
          <w:b w:val="false"/>
          <w:color w:val="000000"/>
          <w:sz w:val="22"/>
        </w:rPr>
        <w:t>. You represent and warrant that you have not been debarred, suspended or proposed for debarment or excluded from participation in any state or federal program or under the Food, Drug and Cosmetic Act and will notify the Company immediately of possible suspension or disbarment.</w:t>
      </w:r>
    </w:p>
    <w:p>
      <w:pPr>
        <w:pStyle w:val="TextBody"/>
        <w:bidi w:val="0"/>
        <w:spacing w:lineRule="auto" w:line="288" w:before="0" w:after="0"/>
        <w:jc w:val="both"/>
        <w:rPr/>
      </w:pPr>
      <w:r>
        <w:rPr>
          <w:rFonts w:ascii="Times New Roman;sans-serif" w:hAnsi="Times New Roman;sans-serif"/>
          <w:b w:val="false"/>
          <w:color w:val="000000"/>
          <w:sz w:val="22"/>
        </w:rPr>
        <w:t>16.    </w:t>
      </w:r>
      <w:r>
        <w:rPr>
          <w:rFonts w:ascii="Times New Roman;sans-serif" w:hAnsi="Times New Roman;sans-serif"/>
          <w:b w:val="false"/>
          <w:color w:val="000000"/>
          <w:sz w:val="22"/>
          <w:u w:val="single"/>
        </w:rPr>
        <w:t>Notice</w:t>
      </w:r>
      <w:r>
        <w:rPr>
          <w:rFonts w:ascii="Times New Roman;sans-serif" w:hAnsi="Times New Roman;sans-serif"/>
          <w:b w:val="false"/>
          <w:color w:val="000000"/>
          <w:sz w:val="22"/>
        </w:rPr>
        <w:t>. Any notice required or permitted to be given under this Agreement shall be sent in writing by registered or certified mail to your residence or to the Company at the address on this letterhead, Attention: Chief Executive Officer.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17.    </w:t>
      </w:r>
      <w:r>
        <w:rPr>
          <w:rFonts w:ascii="Times New Roman;sans-serif" w:hAnsi="Times New Roman;sans-serif"/>
          <w:b w:val="false"/>
          <w:color w:val="000000"/>
          <w:sz w:val="22"/>
          <w:u w:val="single"/>
        </w:rPr>
        <w:t>Waiver/Entire Agreement/Amendments</w:t>
      </w:r>
      <w:r>
        <w:rPr>
          <w:rFonts w:ascii="Times New Roman;sans-serif" w:hAnsi="Times New Roman;sans-serif"/>
          <w:b w:val="false"/>
          <w:color w:val="000000"/>
          <w:sz w:val="22"/>
        </w:rPr>
        <w:t xml:space="preserve">. The waiver by either party of any provision of this Agreement shall not operate or be construed as a waiver of any subsequent breach. This Agreement contains the entire agreement of the parties. This Agreement may be amended or modified only by a written agreement signed by you and by a duly authorized representative of the Company.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18.    </w:t>
      </w:r>
      <w:r>
        <w:rPr>
          <w:rFonts w:ascii="Times New Roman;sans-serif" w:hAnsi="Times New Roman;sans-serif"/>
          <w:b w:val="false"/>
          <w:color w:val="000000"/>
          <w:sz w:val="22"/>
          <w:u w:val="single"/>
        </w:rPr>
        <w:t>Governance</w:t>
      </w:r>
      <w:r>
        <w:rPr>
          <w:rFonts w:ascii="Times New Roman;sans-serif" w:hAnsi="Times New Roman;sans-serif"/>
          <w:b w:val="false"/>
          <w:color w:val="000000"/>
          <w:sz w:val="22"/>
        </w:rPr>
        <w:t>. This Agreement shall be governed by the laws of the State of Tennessee. Any dispute arising out of this Agreement shall be resolved, at the Company’s sole option, by courts sitting in Nashville, Tennessee, and you waive any objection to such venue.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19.    </w:t>
      </w:r>
      <w:r>
        <w:rPr>
          <w:rFonts w:ascii="Times New Roman;sans-serif" w:hAnsi="Times New Roman;sans-serif"/>
          <w:b w:val="false"/>
          <w:color w:val="000000"/>
          <w:sz w:val="22"/>
          <w:u w:val="single"/>
        </w:rPr>
        <w:t>Enforceability</w:t>
      </w:r>
      <w:r>
        <w:rPr>
          <w:rFonts w:ascii="Times New Roman;sans-serif" w:hAnsi="Times New Roman;sans-serif"/>
          <w:b w:val="false"/>
          <w:color w:val="000000"/>
          <w:sz w:val="22"/>
        </w:rPr>
        <w:t>. In the event that any provision of this Agreement shall be held by a court to be unenforceable, such provision will be enforced to the maximum extent permissible, and the remaining portions of this Agreement shall remain in full force and effect.</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22"/>
        </w:rPr>
        <w:t>20.        </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Notwithstanding any termination of your employment, this Agreement shall survive and remain in effect in accordance with its terms. The obligations of Sections 6, 7, 8, 9, 10, 11 and 12 shall survive the termination of our employment relationship or of this Agreement. This Agreement may be signed in one or more counterparts, each of which shall be an original and all of which will constitute one and the same instrument.</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67665"/>
                <wp:effectExtent l="0" t="0" r="0" b="0"/>
                <wp:wrapNone/>
                <wp:docPr id="159" name="Frame15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Sincerely yours,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CUMBERLAND PHARMACEUTICALS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By:_______________________________________        A.J. Kazimi, 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Accepted as to all terms and conditions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the ______ of ______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Sign here:________________________________________</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Print name: _______________________________________</w:t>
      </w:r>
    </w:p>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67665"/>
                <wp:effectExtent l="0" t="0" r="0" b="0"/>
                <wp:wrapNone/>
                <wp:docPr id="160" name="Frame15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331" w:before="0" w:after="120"/>
        <w:jc w:val="left"/>
        <w:rPr>
          <w:rFonts w:ascii="Calibri;sans-serif" w:hAnsi="Calibri;sans-serif"/>
          <w:b w:val="false"/>
          <w:color w:val="000000"/>
          <w:sz w:val="48"/>
        </w:rPr>
      </w:pPr>
      <w:r>
        <w:rPr>
          <w:rFonts w:ascii="Calibri;sans-serif" w:hAnsi="Calibri;sans-serif"/>
          <w:b w:val="false"/>
          <w:color w:val="000000"/>
          <w:sz w:val="48"/>
        </w:rPr>
        <w:t>Insider Information Policy</w:t>
      </w:r>
    </w:p>
    <w:p>
      <w:pPr>
        <w:pStyle w:val="TextBody"/>
        <w:bidi w:val="0"/>
        <w:spacing w:lineRule="auto" w:line="348" w:before="0" w:after="120"/>
        <w:jc w:val="both"/>
        <w:rPr/>
      </w:pPr>
      <w:r>
        <w:rPr>
          <w:rFonts w:ascii="Times New Roman;sans-serif" w:hAnsi="Times New Roman;sans-serif"/>
          <w:b/>
          <w:color w:val="003E7E"/>
          <w:sz w:val="24"/>
        </w:rPr>
        <w:t>Insider Information</w:t>
      </w:r>
      <w:r>
        <w:rPr>
          <w:color w:val="003E7E"/>
        </w:rPr>
        <w:t xml:space="preserve"> </w:t>
      </w:r>
    </w:p>
    <w:p>
      <w:pPr>
        <w:pStyle w:val="TextBody"/>
        <w:bidi w:val="0"/>
        <w:spacing w:lineRule="auto" w:line="348" w:before="0" w:after="120"/>
        <w:jc w:val="both"/>
        <w:rPr/>
      </w:pPr>
      <w:r>
        <w:rPr>
          <w:rFonts w:ascii="Times New Roman;sans-serif" w:hAnsi="Times New Roman;sans-serif"/>
          <w:b w:val="false"/>
          <w:color w:val="000000"/>
          <w:sz w:val="24"/>
        </w:rPr>
        <w:t>For the purpose of this policy,</w:t>
      </w:r>
      <w:r>
        <w:rPr>
          <w:color w:val="000000"/>
        </w:rPr>
        <w:t xml:space="preserve"> </w:t>
      </w:r>
      <w:r>
        <w:rPr>
          <w:rFonts w:ascii="Times New Roman;sans-serif" w:hAnsi="Times New Roman;sans-serif"/>
          <w:b w:val="false"/>
          <w:color w:val="000000"/>
          <w:sz w:val="24"/>
        </w:rPr>
        <w:t xml:space="preserve">Insider Information shall mean material, non-public information about Cumberland, or its current or prospective business partners, customers or vendors (“Cumberland or Related Parties”). The test of materiality is whether the information is of such importance that it could be expected to affect the judgment of investors as to trading or holding stock, bonds or other securities (“Securities”) and if generally known, could be expected to affect the market price of the Securities. </w:t>
      </w:r>
    </w:p>
    <w:p>
      <w:pPr>
        <w:pStyle w:val="TextBody"/>
        <w:bidi w:val="0"/>
        <w:spacing w:lineRule="auto" w:line="348" w:before="0" w:after="120"/>
        <w:jc w:val="both"/>
        <w:rPr/>
      </w:pPr>
      <w:r>
        <w:rPr>
          <w:rFonts w:ascii="Times New Roman;sans-serif" w:hAnsi="Times New Roman;sans-serif"/>
          <w:b/>
          <w:color w:val="003E7E"/>
          <w:sz w:val="24"/>
        </w:rPr>
        <w:t>Stock Tipping</w:t>
      </w:r>
      <w:r>
        <w:rPr>
          <w:color w:val="003E7E"/>
        </w:rPr>
        <w:t xml:space="preserve"> </w:t>
      </w:r>
    </w:p>
    <w:p>
      <w:pPr>
        <w:pStyle w:val="TextBody"/>
        <w:bidi w:val="0"/>
        <w:spacing w:lineRule="auto" w:line="34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the purpose of this policy, Stock Tipping shall mean disclosing such Insider Information to any other person to enable the purchase or sale of Cumberland or Related Parties’ Securities on the basis of such information. </w:t>
      </w:r>
    </w:p>
    <w:p>
      <w:pPr>
        <w:pStyle w:val="TextBody"/>
        <w:bidi w:val="0"/>
        <w:spacing w:lineRule="auto" w:line="348" w:before="0" w:after="120"/>
        <w:jc w:val="both"/>
        <w:rPr>
          <w:rFonts w:ascii="Times New Roman;sans-serif" w:hAnsi="Times New Roman;sans-serif"/>
          <w:b/>
          <w:color w:val="003E7E"/>
          <w:sz w:val="24"/>
        </w:rPr>
      </w:pPr>
      <w:r>
        <w:rPr>
          <w:rFonts w:ascii="Times New Roman;sans-serif" w:hAnsi="Times New Roman;sans-serif"/>
          <w:b/>
          <w:color w:val="003E7E"/>
          <w:sz w:val="24"/>
        </w:rPr>
        <w:t xml:space="preserve">Insider Trading </w:t>
      </w:r>
    </w:p>
    <w:p>
      <w:pPr>
        <w:pStyle w:val="TextBody"/>
        <w:bidi w:val="0"/>
        <w:spacing w:lineRule="auto" w:line="331"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the purpose of this policy, Insider Trading shall mean personally buying or selling the Securities of Cumberland or Related Parties while in possession of and due to Insider Information about the organization(s). </w:t>
      </w:r>
    </w:p>
    <w:p>
      <w:pPr>
        <w:pStyle w:val="TextBody"/>
        <w:bidi w:val="0"/>
        <w:spacing w:lineRule="auto" w:line="331"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Cumberland employees are prohibited from engaging in Securities transactions directly or indirectly involving Cumberland or Related Parties on the basis of information not available to the general public and which, if known to outsiders, might affect their investment decisions. The dissemination of Inside Information to others who might make use of that knowledge to trade in such Securities is also prohibited. </w:t>
      </w:r>
    </w:p>
    <w:p>
      <w:pPr>
        <w:pStyle w:val="TextBody"/>
        <w:bidi w:val="0"/>
        <w:spacing w:lineRule="auto" w:line="331"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Do not disclose Insider Information to anyone outside of Cumberland (including family members), except when such disclosure is needed to enable Cumberland to carry on its business properly and effectively, and appropriate steps have been taken by Cumberland to prevent the misuse of the information. Employees are urged to consult with an officer of Cumberland and or Cumberland’s legal counsel to determine if such disclosure is needed and is being undertaken in an appropriate manner.</w:t>
      </w:r>
    </w:p>
    <w:p>
      <w:pPr>
        <w:pStyle w:val="TextBody"/>
        <w:bidi w:val="0"/>
        <w:spacing w:lineRule="auto" w:line="331"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Cumberland employees are expected to comply with the requirements of this policy at all times. Non-compliance puts an employee at risk for disciplinary action, up to and including termination, as well as being reported to applicable federal and state authorities for further investigation and/or prosecution. </w:t>
      </w:r>
    </w:p>
    <w:p>
      <w:pPr>
        <w:pStyle w:val="TextBody"/>
        <w:bidi w:val="0"/>
        <w:spacing w:lineRule="auto" w:line="297"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If an employee has any questions about this policy, they are encouraged to talk to either the Chief Compliance Officer or Human Resources.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23.1</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Statements of Cumberland Pharmaceuticals Inc. (the “Company”) on Form S-3 (No. 333-251308) and Forms S-8 (No. 333-164376 and 333-271978) of our report dated March 7, 2025, with respect to the consolidated financial statements of the Company, included in this Annual Report on Form 10-K for the year ended December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Carr, Riggs &amp; Ingram, LLC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Nashville, Tennessee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7,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A.J. Kazimi,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10-K of Cumberland Pharmaceuticals Inc.;</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6.All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a.Any fraud, whether or not material, that involves management or other employees who have a significant role in the registrant’s internal control over financial reporting.</w:t>
      </w:r>
    </w:p>
    <w:tbl>
      <w:tblPr>
        <w:tblW w:w="5087" w:type="dxa"/>
        <w:jc w:val="left"/>
        <w:tblInd w:w="0" w:type="dxa"/>
        <w:tblLayout w:type="fixed"/>
        <w:tblCellMar>
          <w:top w:w="28" w:type="dxa"/>
          <w:left w:w="28" w:type="dxa"/>
          <w:bottom w:w="28" w:type="dxa"/>
          <w:right w:w="28" w:type="dxa"/>
        </w:tblCellMar>
      </w:tblPr>
      <w:tblGrid>
        <w:gridCol w:w="473"/>
        <w:gridCol w:w="414"/>
        <w:gridCol w:w="418"/>
        <w:gridCol w:w="109"/>
        <w:gridCol w:w="109"/>
        <w:gridCol w:w="109"/>
        <w:gridCol w:w="109"/>
        <w:gridCol w:w="109"/>
        <w:gridCol w:w="109"/>
        <w:gridCol w:w="109"/>
        <w:gridCol w:w="109"/>
        <w:gridCol w:w="109"/>
        <w:gridCol w:w="134"/>
        <w:gridCol w:w="134"/>
        <w:gridCol w:w="136"/>
        <w:gridCol w:w="109"/>
        <w:gridCol w:w="109"/>
        <w:gridCol w:w="109"/>
        <w:gridCol w:w="604"/>
        <w:gridCol w:w="604"/>
        <w:gridCol w:w="862"/>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A.J. Kazimi</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A.J. Kazimi</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ind w:left="0" w:right="0" w:hanging="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M. Hamm,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10-K of Cumberland Pharmaceuticals Inc.; </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587" w:type="dxa"/>
        <w:jc w:val="left"/>
        <w:tblInd w:w="0" w:type="dxa"/>
        <w:tblLayout w:type="fixed"/>
        <w:tblCellMar>
          <w:top w:w="28" w:type="dxa"/>
          <w:left w:w="28" w:type="dxa"/>
          <w:bottom w:w="28" w:type="dxa"/>
          <w:right w:w="28" w:type="dxa"/>
        </w:tblCellMar>
      </w:tblPr>
      <w:tblGrid>
        <w:gridCol w:w="473"/>
        <w:gridCol w:w="414"/>
        <w:gridCol w:w="418"/>
        <w:gridCol w:w="109"/>
        <w:gridCol w:w="109"/>
        <w:gridCol w:w="109"/>
        <w:gridCol w:w="109"/>
        <w:gridCol w:w="109"/>
        <w:gridCol w:w="109"/>
        <w:gridCol w:w="109"/>
        <w:gridCol w:w="109"/>
        <w:gridCol w:w="109"/>
        <w:gridCol w:w="134"/>
        <w:gridCol w:w="134"/>
        <w:gridCol w:w="136"/>
        <w:gridCol w:w="109"/>
        <w:gridCol w:w="109"/>
        <w:gridCol w:w="109"/>
        <w:gridCol w:w="1045"/>
        <w:gridCol w:w="1045"/>
        <w:gridCol w:w="1480"/>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M. Hamm</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M. Hamm</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Financial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Cumberland Pharmaceuticals Inc. (the “Company”) on Form 10-K for the fiscal year ended December 31, 2024, as filed with the Securities and Exchange Commission on the date hereof (the “Report”), I, A.J. Kazimi, Chief Executive Officer, and John M. Hamm, Vice President and Chief Financial Officer, of the Company, certify, pursuant to Section 906 of the Sarbanes-Oxley Act of 2002 (18 U.S.C. section 1350), that, based on my knowledge: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411" w:type="dxa"/>
        <w:jc w:val="left"/>
        <w:tblInd w:w="0" w:type="dxa"/>
        <w:tblLayout w:type="fixed"/>
        <w:tblCellMar>
          <w:top w:w="28" w:type="dxa"/>
          <w:left w:w="28" w:type="dxa"/>
          <w:bottom w:w="28" w:type="dxa"/>
          <w:right w:w="28" w:type="dxa"/>
        </w:tblCellMar>
      </w:tblPr>
      <w:tblGrid>
        <w:gridCol w:w="737"/>
        <w:gridCol w:w="649"/>
        <w:gridCol w:w="653"/>
        <w:gridCol w:w="109"/>
        <w:gridCol w:w="109"/>
        <w:gridCol w:w="154"/>
      </w:tblGrid>
      <w:tr>
        <w:trPr/>
        <w:tc>
          <w:tcPr>
            <w:tcW w:w="7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A.J. Kazimi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A.J. Kazimi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7,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3912" w:type="dxa"/>
        <w:jc w:val="left"/>
        <w:tblInd w:w="0" w:type="dxa"/>
        <w:tblLayout w:type="fixed"/>
        <w:tblCellMar>
          <w:top w:w="28" w:type="dxa"/>
          <w:left w:w="28" w:type="dxa"/>
          <w:bottom w:w="28" w:type="dxa"/>
          <w:right w:w="28" w:type="dxa"/>
        </w:tblCellMar>
      </w:tblPr>
      <w:tblGrid>
        <w:gridCol w:w="1279"/>
        <w:gridCol w:w="1128"/>
        <w:gridCol w:w="1133"/>
        <w:gridCol w:w="109"/>
        <w:gridCol w:w="109"/>
        <w:gridCol w:w="154"/>
      </w:tblGrid>
      <w:tr>
        <w:trPr/>
        <w:tc>
          <w:tcPr>
            <w:tcW w:w="127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M. Hamm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M. Hamm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7,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87294/000162828022000440/finalforexecutionkkuscipde.htm" TargetMode="External"/><Relationship Id="rId4" Type="http://schemas.openxmlformats.org/officeDocument/2006/relationships/hyperlink" Target="https://www.sec.gov/Archives/edgar/data/1087294/000095012309023228/c0628619exv3w2.htm" TargetMode="External"/><Relationship Id="rId5" Type="http://schemas.openxmlformats.org/officeDocument/2006/relationships/hyperlink" Target="https://www.sec.gov/Archives/edgar/data/1087294/000095014407007248/g06286a5exv4w1.htm" TargetMode="External"/><Relationship Id="rId6" Type="http://schemas.openxmlformats.org/officeDocument/2006/relationships/hyperlink" Target="https://www.sec.gov/Archives/edgar/data/1087294/000119312517372414/d489256dex42.htm" TargetMode="External"/><Relationship Id="rId7" Type="http://schemas.openxmlformats.org/officeDocument/2006/relationships/hyperlink" Target="https://www.sec.gov/Archives/edgar/data/1087294/000119312517335943/d489256dex42.htm" TargetMode="External"/><Relationship Id="rId8" Type="http://schemas.openxmlformats.org/officeDocument/2006/relationships/hyperlink" Target="https://www.sec.gov/Archives/edgar/data/1087294/000119312517335943/d489256dex43.htm" TargetMode="External"/><Relationship Id="rId9" Type="http://schemas.openxmlformats.org/officeDocument/2006/relationships/hyperlink" Target="https://www.sec.gov/Archives/edgar/data/1087294/000095014407004069/g06286exv4w5.htm" TargetMode="External"/><Relationship Id="rId10" Type="http://schemas.openxmlformats.org/officeDocument/2006/relationships/hyperlink" Target="https://www.sec.gov/Archives/edgar/data/1087294/000144530513000573/cpixexhibit461.htm" TargetMode="External"/><Relationship Id="rId11" Type="http://schemas.openxmlformats.org/officeDocument/2006/relationships/hyperlink" Target="https://www.sec.gov/Archives/edgar/data/1087294/000144530513000573/cpixexhibit462.htm" TargetMode="External"/><Relationship Id="rId12" Type="http://schemas.openxmlformats.org/officeDocument/2006/relationships/hyperlink" Target="https://www.sec.gov/Archives/edgar/data/1087294/000144530513000573/cpixexhibit47.htm" TargetMode="External"/><Relationship Id="rId13" Type="http://schemas.openxmlformats.org/officeDocument/2006/relationships/hyperlink" Target="https://www.sec.gov/Archives/edgar/data/1087294/000119312517335943/d489256dex42.htm" TargetMode="External"/><Relationship Id="rId14" Type="http://schemas.openxmlformats.org/officeDocument/2006/relationships/hyperlink" Target="https://www.sec.gov/Archives/edgar/data/1087294/000119312517335943/d489256dex43.htm" TargetMode="External"/><Relationship Id="rId15" Type="http://schemas.openxmlformats.org/officeDocument/2006/relationships/hyperlink" Target="https://www.sec.gov/Archives/edgar/data/1087294/000162828024010725/a2023q4exhibit411.htm" TargetMode="External"/><Relationship Id="rId16" Type="http://schemas.openxmlformats.org/officeDocument/2006/relationships/hyperlink" Target="https://www.sec.gov/Archives/edgar/data/1087294/000129993310003084/exhibit1.htm" TargetMode="External"/><Relationship Id="rId17" Type="http://schemas.openxmlformats.org/officeDocument/2006/relationships/hyperlink" Target="https://www.sec.gov/Archives/edgar/data/1087294/000108729413000004/exhibit1071amendmenttoexcl.htm" TargetMode="External"/><Relationship Id="rId18" Type="http://schemas.openxmlformats.org/officeDocument/2006/relationships/hyperlink" Target="https://www.sec.gov/Archives/edgar/data/1087294/000095014407006504/g06286a3exv10w10.htm" TargetMode="External"/><Relationship Id="rId19" Type="http://schemas.openxmlformats.org/officeDocument/2006/relationships/hyperlink" Target="https://www.sec.gov/Archives/edgar/data/1087294/000095014407004069/g06286exv10w17.htm" TargetMode="External"/><Relationship Id="rId20" Type="http://schemas.openxmlformats.org/officeDocument/2006/relationships/hyperlink" Target="https://www.sec.gov/Archives/edgar/data/1087294/000119312512107956/d293470ddef14a.htm" TargetMode="External"/><Relationship Id="rId21" Type="http://schemas.openxmlformats.org/officeDocument/2006/relationships/hyperlink" Target="https://www.sec.gov/Archives/edgar/data/1087294/000119312512107956/d293470ddef14a.htm" TargetMode="External"/><Relationship Id="rId22" Type="http://schemas.openxmlformats.org/officeDocument/2006/relationships/hyperlink" Target="https://www.sec.gov/Archives/edgar/data/1087294/000095014407004069/g06286exv10w20.htm" TargetMode="External"/><Relationship Id="rId23" Type="http://schemas.openxmlformats.org/officeDocument/2006/relationships/hyperlink" Target="https://www.sec.gov/Archives/edgar/data/1087294/000095014407004069/g06286exv10w23.htm" TargetMode="External"/><Relationship Id="rId24" Type="http://schemas.openxmlformats.org/officeDocument/2006/relationships/hyperlink" Target="https://www.sec.gov/Archives/edgar/data/1087294/000095014407004069/g06286exv10w24.htm" TargetMode="External"/><Relationship Id="rId25" Type="http://schemas.openxmlformats.org/officeDocument/2006/relationships/hyperlink" Target="https://www.sec.gov/Archives/edgar/data/1087294/000095014408004306/g06286b1exv10w24w1.htm" TargetMode="External"/><Relationship Id="rId26" Type="http://schemas.openxmlformats.org/officeDocument/2006/relationships/hyperlink" Target="https://www.sec.gov/Archives/edgar/data/1087294/000119312512347942/d334181dex10241.htm" TargetMode="External"/><Relationship Id="rId27" Type="http://schemas.openxmlformats.org/officeDocument/2006/relationships/hyperlink" Target="https://www.sec.gov/Archives/edgar/data/1087294/000129993311003397/exhibit1.htm" TargetMode="External"/><Relationship Id="rId28" Type="http://schemas.openxmlformats.org/officeDocument/2006/relationships/hyperlink" Target="https://www.sec.gov/Archives/edgar/data/1087294/000119312512247355/d358671dex1030.htm" TargetMode="External"/><Relationship Id="rId29" Type="http://schemas.openxmlformats.org/officeDocument/2006/relationships/hyperlink" Target="https://www.sec.gov/Archives/edgar/data/1087294/000144530513000573/cpixexhibit1031-perrigoxpa.htm" TargetMode="External"/><Relationship Id="rId30" Type="http://schemas.openxmlformats.org/officeDocument/2006/relationships/hyperlink" Target="https://www.sec.gov/Archives/edgar/data/1087294/000144530513000573/cpixexhibit1032-perrigoxpa.htm" TargetMode="External"/><Relationship Id="rId31" Type="http://schemas.openxmlformats.org/officeDocument/2006/relationships/hyperlink" Target="https://www.sec.gov/Archives/edgar/data/1087294/000162828020012738/exhibit101-amendment2l.htm" TargetMode="External"/><Relationship Id="rId32" Type="http://schemas.openxmlformats.org/officeDocument/2006/relationships/hyperlink" Target="https://www.sec.gov/Archives/edgar/data/1087294/000162828020012738/exhibit102-amendment2d.htm" TargetMode="External"/><Relationship Id="rId33" Type="http://schemas.openxmlformats.org/officeDocument/2006/relationships/hyperlink" Target="https://www.sec.gov/Archives/edgar/data/1087294/000162828022005942/a1600westendavepartnersl.htm" TargetMode="External"/><Relationship Id="rId34" Type="http://schemas.openxmlformats.org/officeDocument/2006/relationships/hyperlink" Target="https://www.sec.gov/Archives/edgar/data/1087294/000162828023029112/amendmentno3totheamendedan.htm" TargetMode="External"/><Relationship Id="rId35" Type="http://schemas.openxmlformats.org/officeDocument/2006/relationships/hyperlink" Target="https://www.sec.gov/Archives/edgar/data/1087294/000162828024012261/exhibit11salesagreement.htm" TargetMode="External"/><Relationship Id="rId36" Type="http://schemas.openxmlformats.org/officeDocument/2006/relationships/hyperlink" Target="https://www.sec.gov/Archives/edgar/data/1087294/000162828023031458/cumberlandpharm-arloanagre.htm" TargetMode="External"/><Relationship Id="rId37" Type="http://schemas.openxmlformats.org/officeDocument/2006/relationships/hyperlink" Target="https://www.sec.gov/Archives/edgar/data/1087294/000162828024022658/a2024q1-exhibit106.htm" TargetMode="External"/><Relationship Id="rId38" Type="http://schemas.openxmlformats.org/officeDocument/2006/relationships/hyperlink" Target="https://www.sec.gov/Archives/edgar/data/1087294/000162828023019604/a00exhibit161fromforvis.htm" TargetMode="External"/><Relationship Id="rId39" Type="http://schemas.openxmlformats.org/officeDocument/2006/relationships/hyperlink" Target="https://www.sec.gov/Archives/edgar/data/1087294/000095014407004069/g06286exv21.htm" TargetMode="External"/><Relationship Id="rId40" Type="http://schemas.openxmlformats.org/officeDocument/2006/relationships/hyperlink" Target="https://www.sec.gov/Archives/edgar/data/1087294/000162828024010725/a2023-xex971compensationre.htm" TargetMode="External"/><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52</Pages>
  <Words>79624</Words>
  <Characters>446488</Characters>
  <CharactersWithSpaces>524019</CharactersWithSpaces>
  <Paragraphs>3632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