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 w:lineRule="exact"/>
        <w:rPr>
          <w:sz w:val="24"/>
          <w:szCs w:val="24"/>
          <w:color w:val="auto"/>
        </w:rPr>
      </w:pPr>
    </w:p>
    <w:p>
      <w:pPr>
        <w:ind w:left="700" w:hanging="654"/>
        <w:spacing w:after="0"/>
        <w:tabs>
          <w:tab w:leader="none" w:pos="7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2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001-33637</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Cumberland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70" w:type="dxa"/>
        <w:tblCellMar>
          <w:top w:w="0" w:type="dxa"/>
          <w:left w:w="0" w:type="dxa"/>
          <w:bottom w:w="0" w:type="dxa"/>
          <w:right w:w="0" w:type="dxa"/>
        </w:tblCellMar>
      </w:tblPr>
      <w:tr>
        <w:trPr>
          <w:trHeight w:val="227"/>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Pr>
          <w:p>
            <w:pPr>
              <w:jc w:val="right"/>
              <w:ind w:right="758"/>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146"/>
        </w:trPr>
        <w:tc>
          <w:tcPr>
            <w:tcW w:w="282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80" w:type="dxa"/>
            <w:vAlign w:val="bottom"/>
          </w:tcPr>
          <w:p>
            <w:pPr>
              <w:jc w:val="center"/>
              <w:ind w:left="838"/>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55"/>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1600 West End Avenue, Suite 1300,</w:t>
            </w: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80" w:type="dxa"/>
            <w:vAlign w:val="bottom"/>
            <w:vMerge w:val="restart"/>
          </w:tcPr>
          <w:p>
            <w:pPr>
              <w:jc w:val="right"/>
              <w:ind w:right="958"/>
              <w:spacing w:after="0"/>
              <w:rPr>
                <w:sz w:val="20"/>
                <w:szCs w:val="20"/>
                <w:color w:val="auto"/>
              </w:rPr>
            </w:pPr>
            <w:r>
              <w:rPr>
                <w:rFonts w:ascii="Times New Roman" w:cs="Times New Roman" w:eastAsia="Times New Roman" w:hAnsi="Times New Roman"/>
                <w:sz w:val="18"/>
                <w:szCs w:val="18"/>
                <w:b w:val="1"/>
                <w:bCs w:val="1"/>
                <w:color w:val="auto"/>
              </w:rPr>
              <w:t>37203</w:t>
            </w:r>
          </w:p>
        </w:tc>
        <w:tc>
          <w:tcPr>
            <w:tcW w:w="0" w:type="dxa"/>
            <w:vAlign w:val="bottom"/>
          </w:tcPr>
          <w:p>
            <w:pPr>
              <w:spacing w:after="0"/>
              <w:rPr>
                <w:sz w:val="1"/>
                <w:szCs w:val="1"/>
                <w:color w:val="auto"/>
              </w:rPr>
            </w:pPr>
          </w:p>
        </w:tc>
      </w:tr>
      <w:tr>
        <w:trPr>
          <w:trHeight w:val="232"/>
        </w:trPr>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8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Pr>
          <w:p>
            <w:pPr>
              <w:jc w:val="center"/>
              <w:ind w:left="85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58"/>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(615) 255-0068</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3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r>
        <w:trPr>
          <w:trHeight w:val="199"/>
        </w:trPr>
        <w:tc>
          <w:tcPr>
            <w:tcW w:w="8360" w:type="dxa"/>
            <w:vAlign w:val="bottom"/>
            <w:tcBorders>
              <w:bottom w:val="single" w:sz="8" w:color="auto"/>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360" w:type="dxa"/>
            <w:vAlign w:val="bottom"/>
            <w:tcBorders>
              <w:left w:val="single" w:sz="8" w:color="auto"/>
              <w:right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0" w:type="dxa"/>
            <w:vAlign w:val="bottom"/>
          </w:tcPr>
          <w:p>
            <w:pPr>
              <w:spacing w:after="0"/>
              <w:rPr>
                <w:sz w:val="1"/>
                <w:szCs w:val="1"/>
                <w:color w:val="auto"/>
              </w:rPr>
            </w:pPr>
          </w:p>
        </w:tc>
      </w:tr>
      <w:tr>
        <w:trPr>
          <w:trHeight w:val="234"/>
        </w:trPr>
        <w:tc>
          <w:tcPr>
            <w:tcW w:w="2820" w:type="dxa"/>
            <w:vAlign w:val="bottom"/>
            <w:tcBorders>
              <w:lef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w:t>
            </w: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480" w:type="dxa"/>
            <w:vAlign w:val="bottom"/>
            <w:tcBorders>
              <w:right w:val="single" w:sz="8" w:color="auto"/>
            </w:tcBorders>
          </w:tcPr>
          <w:p>
            <w:pPr>
              <w:jc w:val="center"/>
              <w:ind w:right="298"/>
              <w:spacing w:after="0"/>
              <w:rPr>
                <w:sz w:val="20"/>
                <w:szCs w:val="20"/>
                <w:color w:val="auto"/>
              </w:rPr>
            </w:pPr>
            <w:r>
              <w:rPr>
                <w:rFonts w:ascii="Times New Roman" w:cs="Times New Roman" w:eastAsia="Times New Roman" w:hAnsi="Times New Roman"/>
                <w:sz w:val="18"/>
                <w:szCs w:val="18"/>
                <w:color w:val="auto"/>
              </w:rPr>
              <w:t>Name of exchange on which registered</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left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00" w:type="dxa"/>
            <w:vAlign w:val="bottom"/>
            <w:tcBorders>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CPIX</w:t>
            </w:r>
          </w:p>
        </w:tc>
        <w:tc>
          <w:tcPr>
            <w:tcW w:w="1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480" w:type="dxa"/>
            <w:vAlign w:val="bottom"/>
            <w:tcBorders>
              <w:top w:val="single" w:sz="8" w:color="auto"/>
              <w:bottom w:val="single" w:sz="8" w:color="auto"/>
              <w:right w:val="single" w:sz="8" w:color="auto"/>
            </w:tcBorders>
          </w:tcPr>
          <w:p>
            <w:pPr>
              <w:jc w:val="center"/>
              <w:ind w:right="278"/>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0"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7"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6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03" w:lineRule="exact"/>
        <w:rPr>
          <w:sz w:val="24"/>
          <w:szCs w:val="24"/>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tbl>
      <w:tblPr>
        <w:tblLayout w:type="fixed"/>
        <w:tblInd w:w="0" w:type="dxa"/>
        <w:tblCellMar>
          <w:top w:w="0" w:type="dxa"/>
          <w:left w:w="0" w:type="dxa"/>
          <w:bottom w:w="0" w:type="dxa"/>
          <w:right w:w="0" w:type="dxa"/>
        </w:tblCellMar>
      </w:tblPr>
      <w:tr>
        <w:trPr>
          <w:trHeight w:val="188"/>
        </w:trPr>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of</w:t>
            </w:r>
          </w:p>
        </w:tc>
        <w:tc>
          <w:tcPr>
            <w:tcW w:w="2900" w:type="dxa"/>
            <w:vAlign w:val="bottom"/>
          </w:tcPr>
          <w:p>
            <w:pPr>
              <w:ind w:left="1040"/>
              <w:spacing w:after="0" w:line="189" w:lineRule="exact"/>
              <w:rPr>
                <w:sz w:val="20"/>
                <w:szCs w:val="20"/>
                <w:color w:val="auto"/>
              </w:rPr>
            </w:pPr>
            <w:r>
              <w:rPr>
                <w:rFonts w:ascii="Times New Roman" w:cs="Times New Roman" w:eastAsia="Times New Roman" w:hAnsi="Times New Roman"/>
                <w:sz w:val="17"/>
                <w:szCs w:val="17"/>
                <w:color w:val="auto"/>
              </w:rPr>
              <w:t>the</w:t>
            </w:r>
          </w:p>
        </w:tc>
        <w:tc>
          <w:tcPr>
            <w:tcW w:w="5100" w:type="dxa"/>
            <w:vAlign w:val="bottom"/>
          </w:tcPr>
          <w:p>
            <w:pPr>
              <w:ind w:left="1640"/>
              <w:spacing w:after="0" w:line="189" w:lineRule="exact"/>
              <w:rPr>
                <w:sz w:val="20"/>
                <w:szCs w:val="20"/>
                <w:color w:val="auto"/>
              </w:rPr>
            </w:pPr>
            <w:r>
              <w:rPr>
                <w:rFonts w:ascii="Times New Roman" w:cs="Times New Roman" w:eastAsia="Times New Roman" w:hAnsi="Times New Roman"/>
                <w:sz w:val="17"/>
                <w:szCs w:val="17"/>
                <w:color w:val="auto"/>
              </w:rPr>
              <w:t>Exchange</w:t>
            </w:r>
          </w:p>
        </w:tc>
        <w:tc>
          <w:tcPr>
            <w:tcW w:w="820" w:type="dxa"/>
            <w:vAlign w:val="bottom"/>
          </w:tcPr>
          <w:p>
            <w:pPr>
              <w:ind w:left="520"/>
              <w:spacing w:after="0" w:line="189" w:lineRule="exact"/>
              <w:rPr>
                <w:sz w:val="20"/>
                <w:szCs w:val="20"/>
                <w:color w:val="auto"/>
              </w:rPr>
            </w:pPr>
            <w:r>
              <w:rPr>
                <w:rFonts w:ascii="Times New Roman" w:cs="Times New Roman" w:eastAsia="Times New Roman" w:hAnsi="Times New Roman"/>
                <w:sz w:val="17"/>
                <w:szCs w:val="17"/>
                <w:color w:val="auto"/>
                <w:w w:val="97"/>
              </w:rPr>
              <w:t>Act.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Accelerated filer</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30"/>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ind w:left="27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2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r>
      <w:tr>
        <w:trPr>
          <w:trHeight w:val="287"/>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2900" w:type="dxa"/>
            <w:vAlign w:val="bottom"/>
          </w:tcPr>
          <w:p>
            <w:pPr>
              <w:ind w:left="520"/>
              <w:spacing w:after="0" w:line="171" w:lineRule="exact"/>
              <w:rPr>
                <w:sz w:val="20"/>
                <w:szCs w:val="20"/>
                <w:color w:val="auto"/>
              </w:rPr>
            </w:pPr>
            <w:r>
              <w:rPr>
                <w:rFonts w:ascii="MS PGothic" w:cs="MS PGothic" w:eastAsia="MS PGothic" w:hAnsi="MS PGothic"/>
                <w:sz w:val="17"/>
                <w:szCs w:val="17"/>
                <w:color w:val="auto"/>
              </w:rPr>
              <w:t>☐</w:t>
            </w:r>
          </w:p>
        </w:tc>
        <w:tc>
          <w:tcPr>
            <w:tcW w:w="5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70"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9" w:lineRule="exact"/>
        <w:rPr>
          <w:sz w:val="24"/>
          <w:szCs w:val="24"/>
          <w:color w:val="auto"/>
        </w:rPr>
      </w:pPr>
    </w:p>
    <w:p>
      <w:pPr>
        <w:spacing w:after="0" w:line="196" w:lineRule="exact"/>
        <w:tabs>
          <w:tab w:leader="none" w:pos="846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207"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14,191,229 shares of common stock as of May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CUMBERLAND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PART I – FINANCIAL INFORMATION</w:t>
            </w:r>
          </w:p>
        </w:tc>
        <w:tc>
          <w:tcPr>
            <w:tcW w:w="6180" w:type="dxa"/>
            <w:vAlign w:val="bottom"/>
            <w:gridSpan w:val="9"/>
          </w:tcPr>
          <w:p>
            <w:pPr>
              <w:spacing w:after="0"/>
              <w:rPr>
                <w:sz w:val="17"/>
                <w:szCs w:val="17"/>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5780" w:type="dxa"/>
            <w:vAlign w:val="bottom"/>
            <w:gridSpan w:val="7"/>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5060" w:type="dxa"/>
            <w:vAlign w:val="bottom"/>
            <w:gridSpan w:val="5"/>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5000" w:type="dxa"/>
            <w:vAlign w:val="bottom"/>
            <w:gridSpan w:val="4"/>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4460" w:type="dxa"/>
            <w:vAlign w:val="bottom"/>
            <w:gridSpan w:val="3"/>
          </w:tcPr>
          <w:p>
            <w:pPr>
              <w:spacing w:after="0"/>
              <w:rPr>
                <w:sz w:val="24"/>
                <w:szCs w:val="24"/>
                <w:color w:val="auto"/>
              </w:rPr>
            </w:pP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04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16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gridSpan w:val="8"/>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27</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1.</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460" w:type="dxa"/>
            <w:vAlign w:val="bottom"/>
          </w:tcPr>
          <w:p>
            <w:pPr>
              <w:spacing w:after="0"/>
              <w:rPr>
                <w:sz w:val="24"/>
                <w:szCs w:val="24"/>
                <w:color w:val="auto"/>
              </w:rPr>
            </w:pPr>
          </w:p>
        </w:tc>
        <w:tc>
          <w:tcPr>
            <w:tcW w:w="6500" w:type="dxa"/>
            <w:vAlign w:val="bottom"/>
            <w:gridSpan w:val="10"/>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280" w:type="dxa"/>
            <w:vAlign w:val="bottom"/>
          </w:tcPr>
          <w:p>
            <w:pPr>
              <w:spacing w:after="0"/>
              <w:rPr>
                <w:sz w:val="24"/>
                <w:szCs w:val="24"/>
                <w:color w:val="auto"/>
              </w:rPr>
            </w:pP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2.</w:t>
            </w:r>
          </w:p>
        </w:tc>
        <w:tc>
          <w:tcPr>
            <w:tcW w:w="438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5.</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3040" w:type="dxa"/>
            <w:vAlign w:val="bottom"/>
            <w:gridSpan w:val="9"/>
          </w:tcPr>
          <w:p>
            <w:pPr>
              <w:spacing w:after="0"/>
              <w:rPr>
                <w:sz w:val="24"/>
                <w:szCs w:val="24"/>
                <w:color w:val="auto"/>
              </w:rPr>
            </w:pPr>
          </w:p>
        </w:tc>
        <w:tc>
          <w:tcPr>
            <w:tcW w:w="3920" w:type="dxa"/>
            <w:vAlign w:val="bottom"/>
            <w:gridSpan w:val="2"/>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7"/>
              </w:rPr>
              <w:t>Item 6.</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6960" w:type="dxa"/>
            <w:vAlign w:val="bottom"/>
            <w:gridSpan w:val="11"/>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28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91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29</w:t>
            </w:r>
          </w:p>
        </w:tc>
      </w:tr>
      <w:tr>
        <w:trPr>
          <w:trHeight w:val="128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18,548,485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10,647,267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9,758,176</w:t>
            </w: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4,327,526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4,609,362</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2,682,673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3,025,248</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36,205,951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35,714,410</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inventories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12,915,896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367,903</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21,522,441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22,607,918</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914,000</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6,521,088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6,674,394</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3,060,643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2,692,921</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81,509,518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13,075,764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14,037,629</w:t>
            </w:r>
          </w:p>
        </w:tc>
      </w:tr>
      <w:tr>
        <w:trPr>
          <w:trHeight w:val="230"/>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348,092</w:t>
            </w:r>
          </w:p>
        </w:tc>
      </w:tr>
      <w:tr>
        <w:trPr>
          <w:trHeight w:val="230"/>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12,987,372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13,596,528</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26,425,380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27,982,249</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16,084,144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12,784,144</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5,200,148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6,610,294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6,453,566</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54,319,966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52,516,206</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3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175"/>
        </w:trPr>
        <w:tc>
          <w:tcPr>
            <w:tcW w:w="66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Common stock—no par value; 100,000,000 shares authorized; 14,159,954 and</w:t>
            </w: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5"/>
        </w:trPr>
        <w:tc>
          <w:tcPr>
            <w:tcW w:w="664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14,121,833 shares issued and outstanding as of March 31, 2024 and December 31,</w:t>
            </w:r>
          </w:p>
        </w:tc>
        <w:tc>
          <w:tcPr>
            <w:tcW w:w="3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243"/>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 respectively</w:t>
            </w:r>
          </w:p>
        </w:tc>
        <w:tc>
          <w:tcPr>
            <w:tcW w:w="3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r>
      <w:tr>
        <w:trPr>
          <w:trHeight w:val="230"/>
        </w:trPr>
        <w:tc>
          <w:tcPr>
            <w:tcW w:w="6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(17,488,161)</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27,489,333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29,603,441</w:t>
            </w: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(343,572)</w:t>
            </w:r>
          </w:p>
        </w:tc>
      </w:tr>
      <w:tr>
        <w:trPr>
          <w:trHeight w:val="223"/>
        </w:trPr>
        <w:tc>
          <w:tcPr>
            <w:tcW w:w="66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r>
      <w:tr>
        <w:trPr>
          <w:trHeight w:val="223"/>
        </w:trPr>
        <w:tc>
          <w:tcPr>
            <w:tcW w:w="6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81,509,518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81,776,075</w:t>
            </w:r>
          </w:p>
        </w:tc>
      </w:tr>
      <w:tr>
        <w:trPr>
          <w:trHeight w:val="20"/>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9,224,638</w:t>
            </w:r>
          </w:p>
        </w:tc>
        <w:tc>
          <w:tcPr>
            <w:tcW w:w="0" w:type="dxa"/>
            <w:vAlign w:val="bottom"/>
          </w:tcPr>
          <w:p>
            <w:pPr>
              <w:spacing w:after="0"/>
              <w:rPr>
                <w:sz w:val="1"/>
                <w:szCs w:val="1"/>
                <w:color w:val="auto"/>
              </w:rPr>
            </w:pP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products sold</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1,575,542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1,250,264</w:t>
            </w:r>
          </w:p>
        </w:tc>
        <w:tc>
          <w:tcPr>
            <w:tcW w:w="0" w:type="dxa"/>
            <w:vAlign w:val="bottom"/>
          </w:tcPr>
          <w:p>
            <w:pPr>
              <w:spacing w:after="0"/>
              <w:rPr>
                <w:sz w:val="1"/>
                <w:szCs w:val="1"/>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w:t>
            </w: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4,154,588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4,277,318</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1,158,253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1,499,670</w:t>
            </w:r>
          </w:p>
        </w:tc>
        <w:tc>
          <w:tcPr>
            <w:tcW w:w="0" w:type="dxa"/>
            <w:vAlign w:val="bottom"/>
          </w:tcPr>
          <w:p>
            <w:pPr>
              <w:spacing w:after="0"/>
              <w:rPr>
                <w:sz w:val="1"/>
                <w:szCs w:val="1"/>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2,367,907</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2,498,993</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1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1,110,661</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1,230,071</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10,366,951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10,756,316</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(1,869,250)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(1,531,678)</w:t>
            </w:r>
          </w:p>
        </w:tc>
        <w:tc>
          <w:tcPr>
            <w:tcW w:w="0" w:type="dxa"/>
            <w:vAlign w:val="bottom"/>
          </w:tcPr>
          <w:p>
            <w:pPr>
              <w:spacing w:after="0"/>
              <w:rPr>
                <w:sz w:val="1"/>
                <w:szCs w:val="1"/>
                <w:color w:val="auto"/>
              </w:rPr>
            </w:pP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50,190</w:t>
            </w: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1,847,065</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(118,526)</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(186,353)</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(1,891,030)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179,224</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0" w:type="dxa"/>
            <w:vAlign w:val="bottom"/>
          </w:tcPr>
          <w:p>
            <w:pPr>
              <w:spacing w:after="0"/>
              <w:rPr>
                <w:sz w:val="1"/>
                <w:szCs w:val="1"/>
                <w:color w:val="auto"/>
              </w:rPr>
            </w:pPr>
          </w:p>
        </w:tc>
      </w:tr>
      <w:tr>
        <w:trPr>
          <w:trHeight w:val="223"/>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(1,902,472)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172,286</w:t>
            </w:r>
          </w:p>
        </w:tc>
        <w:tc>
          <w:tcPr>
            <w:tcW w:w="0" w:type="dxa"/>
            <w:vAlign w:val="bottom"/>
          </w:tcPr>
          <w:p>
            <w:pPr>
              <w:spacing w:after="0"/>
              <w:rPr>
                <w:sz w:val="1"/>
                <w:szCs w:val="1"/>
                <w:color w:val="auto"/>
              </w:rPr>
            </w:pP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 subsidiary attributable to noncontrolling interests</w:t>
            </w: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0" w:type="dxa"/>
            <w:vAlign w:val="bottom"/>
          </w:tcPr>
          <w:p>
            <w:pPr>
              <w:spacing w:after="0"/>
              <w:rPr>
                <w:sz w:val="1"/>
                <w:szCs w:val="1"/>
                <w:color w:val="auto"/>
              </w:rPr>
            </w:pPr>
          </w:p>
        </w:tc>
      </w:tr>
      <w:tr>
        <w:trPr>
          <w:trHeight w:val="248"/>
        </w:trPr>
        <w:tc>
          <w:tcPr>
            <w:tcW w:w="68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(1,946,263)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192,184</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shareholders</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basic</w:t>
            </w: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14,098,022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14,359,322</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diluted</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14,098,022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14,587,843</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76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172,286</w:t>
            </w:r>
          </w:p>
        </w:tc>
      </w:tr>
      <w:tr>
        <w:trPr>
          <w:trHeight w:val="229"/>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1,255,675</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172,209</w:t>
            </w: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Decrease in non-cash contingent consideration</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(267,637)</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Increase in cash surrender value of life insurance policies over premiums paid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(30,799)</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Increase in noncash interest expense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receivable of FDA fees</w:t>
            </w:r>
          </w:p>
        </w:tc>
        <w:tc>
          <w:tcPr>
            <w:tcW w:w="3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(1,847,065)</w:t>
            </w:r>
          </w:p>
        </w:tc>
      </w:tr>
      <w:tr>
        <w:trPr>
          <w:trHeight w:val="229"/>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changes in assets and liabilities affecting operating activities: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481,613</w:t>
            </w:r>
          </w:p>
        </w:tc>
      </w:tr>
      <w:tr>
        <w:trPr>
          <w:trHeight w:val="230"/>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(323,557)</w:t>
            </w:r>
          </w:p>
        </w:tc>
      </w:tr>
      <w:tr>
        <w:trPr>
          <w:trHeight w:val="229"/>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Other current assets and other assets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383,612</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127,137</w:t>
            </w:r>
          </w:p>
        </w:tc>
      </w:tr>
      <w:tr>
        <w:trPr>
          <w:trHeight w:val="230"/>
        </w:trPr>
        <w:tc>
          <w:tcPr>
            <w:tcW w:w="762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(645,542)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(1,105,263)</w:t>
            </w:r>
          </w:p>
        </w:tc>
      </w:tr>
      <w:tr>
        <w:trPr>
          <w:trHeight w:val="229"/>
        </w:trPr>
        <w:tc>
          <w:tcPr>
            <w:tcW w:w="76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(530,872)</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(2,136,647)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(1,418,209)</w:t>
            </w:r>
          </w:p>
        </w:tc>
      </w:tr>
      <w:tr>
        <w:trPr>
          <w:trHeight w:val="209"/>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(67,193)</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(174,453)</w:t>
            </w: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Borrowings on line of credit</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(8,127,714)</w:t>
            </w:r>
          </w:p>
        </w:tc>
      </w:tr>
      <w:tr>
        <w:trPr>
          <w:trHeight w:val="230"/>
        </w:trPr>
        <w:tc>
          <w:tcPr>
            <w:tcW w:w="7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Cash settlement of contingent consideration</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(1,464,311)</w:t>
            </w:r>
          </w:p>
        </w:tc>
      </w:tr>
      <w:tr>
        <w:trPr>
          <w:trHeight w:val="230"/>
        </w:trPr>
        <w:tc>
          <w:tcPr>
            <w:tcW w:w="7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Payments made in connection with repurchase of common shares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(247,605)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(187,117)</w:t>
            </w:r>
          </w:p>
        </w:tc>
      </w:tr>
      <w:tr>
        <w:trPr>
          <w:trHeight w:val="223"/>
        </w:trPr>
        <w:tc>
          <w:tcPr>
            <w:tcW w:w="7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2,421,694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(1,779,142)</w:t>
            </w:r>
          </w:p>
        </w:tc>
      </w:tr>
      <w:tr>
        <w:trPr>
          <w:trHeight w:val="22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(3,371,804)</w:t>
            </w:r>
          </w:p>
        </w:tc>
      </w:tr>
      <w:tr>
        <w:trPr>
          <w:trHeight w:val="230"/>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18,321,624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19,757,970</w:t>
            </w: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18,548,485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16,386,166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0"/>
        </w:trPr>
        <w:tc>
          <w:tcPr>
            <w:tcW w:w="3500" w:type="dxa"/>
            <w:vAlign w:val="bottom"/>
          </w:tcPr>
          <w:p>
            <w:pPr>
              <w:spacing w:after="0"/>
              <w:rPr>
                <w:sz w:val="21"/>
                <w:szCs w:val="21"/>
                <w:color w:val="auto"/>
              </w:rPr>
            </w:pPr>
          </w:p>
        </w:tc>
        <w:tc>
          <w:tcPr>
            <w:tcW w:w="15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14,366,616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47,474,973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(11,208,841)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35,974,006</w:t>
            </w: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90,156</w:t>
            </w: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(187,961)</w:t>
            </w: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172,286</w:t>
            </w:r>
          </w:p>
        </w:tc>
      </w:tr>
      <w:tr>
        <w:trPr>
          <w:trHeight w:val="248"/>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2023</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47,377,168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(11,016,657)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36,048,487</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0"/>
        </w:trPr>
        <w:tc>
          <w:tcPr>
            <w:tcW w:w="3520" w:type="dxa"/>
            <w:vAlign w:val="bottom"/>
          </w:tcPr>
          <w:p>
            <w:pPr>
              <w:spacing w:after="0"/>
              <w:rPr>
                <w:sz w:val="21"/>
                <w:szCs w:val="21"/>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60" w:type="dxa"/>
            <w:vAlign w:val="bottom"/>
          </w:tcPr>
          <w:p>
            <w:pPr>
              <w:spacing w:after="0"/>
              <w:rPr>
                <w:sz w:val="21"/>
                <w:szCs w:val="21"/>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8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equity</w:t>
            </w:r>
          </w:p>
        </w:tc>
      </w:tr>
      <w:tr>
        <w:trPr>
          <w:trHeight w:val="223"/>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14,121,833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47,091,602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(17,488,161)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(343,572)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29,259,869</w:t>
            </w: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78,754</w:t>
            </w:r>
          </w:p>
        </w:tc>
      </w:tr>
      <w:tr>
        <w:trPr>
          <w:trHeight w:val="23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shares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(246,599)</w:t>
            </w:r>
          </w:p>
        </w:tc>
      </w:tr>
      <w:tr>
        <w:trPr>
          <w:trHeight w:val="229"/>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(1,902,472)</w:t>
            </w:r>
          </w:p>
        </w:tc>
      </w:tr>
      <w:tr>
        <w:trPr>
          <w:trHeight w:val="248"/>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14,159,954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46,923,757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(19,434,424)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27,189,552</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1" w:right="3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CUMBERLAND PHARMACEUTICALS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markets are hospital acute care, gastroenterology and oncology. These medical specialties are characterized by relatively concentrated prescriber bases that we believe can be served effectively by small, targeted sales forces. We promote our approved products through our hospital, oncology and field sales forces in the United States. We have also established international partnerships and are continuing to build a network of companies outside the U.S. to register and provide our medicines to patients in their countries.</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Cumberland’s growth strategy involves maximizing the success of our existing brands, while continuing to add differentiated products. We have built our portfolio of FDA approved products through both development and acquisition. Additionally, we look for opportunities to expand our products into new patient populations through clinical trials, improved presentations and our support of select, investigator-initiated studies. We actively pursue opportunities to acquire additional marketed products, as well as late-stage development product candidates in our target medical specialties. Our clinical team is developing a pipeline of new product candidates to address poorly met medical needs.</w:t>
      </w:r>
    </w:p>
    <w:p>
      <w:pPr>
        <w:spacing w:after="0" w:line="1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products are manufactured by third parties, which are overseen by our quality control and manufacturing professionals. We work closely with our warehousing and distribution partners to make our products available in the U.S.</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of the Company have been prepared on a basis consistent with the December 31, 2023, audited consolidated financial statements and include all adjustments, consisting of only normal recurring adjustments, necessary to fairly present the information set forth herein. All significant intercompany accounts and transactions have been eliminated in consolidation. The unaudited condensed consolidated financial statements have been prepared in accordance with the regulations of the Securities and Exchange Commission (the “SEC”), and certain information and disclosures have been condensed or omitted as permitted by the SEC for interim period presentation. These unaudited condensed consolidated financial statements should be read in conjunction with the audited consolidated financial statements and notes included in our Annual Report on Form 10-K for the year ended December 31, 2023 (the “2023 Annual Report on Form 10-K”). The results of operations for the three months ended March 31, 2024, are not necessarily indicative of the results to be expected for the entire fiscal year or any future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Guidance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Instruments-Credit Losses,” which changes the impairment model for most financial assets and certain other instruments. For trade and other receivables, held-to-maturity debt securities, loans and other instruments, companies are required to use a new forward-looking “expected loss” model that generally results in an earlier recognition of allowances for losses. For available-for-sale debt securities with unrealized losses, companies measure credit losses in a manner similar with previous guidance, except that the losses are recognized as allowances rather than as reductions in the amortized cost of the securities. Companies have to disclose additional information, including information they use to track credit quality by year of origination for most financing receivables. Companies apply the ASU’s provisions as a cumulative-effect adjustment, if any, to the accumulated deficit as of the beginning of the first reporting period in which the guidance is adopted.</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Related to ASU No. 2016-13 discussed above, in May 2019, the FASB issued ASU 2019-05, "Financial Instruments-Credit Losses (Topic 326): Targeted Transition Relief" which provides transition relief for ASU 2016-13 by providing entities with an alternative to irrevocably elect the fair value option for eligible financial assets measured at amortized cost upon adoption of the new credit losses standard. Certain eligibility requirements must be met and the election must be applied on an instrument-by-instrument basis. The election is not available for either available-for-sale or held-to-maturity debt securities. The Company adopted both ASU 2016-13 and ASU 2019-05 on January 1, 2023. Please refer to </w:t>
      </w:r>
      <w:r>
        <w:rPr>
          <w:rFonts w:ascii="Times New Roman" w:cs="Times New Roman" w:eastAsia="Times New Roman" w:hAnsi="Times New Roman"/>
          <w:sz w:val="18"/>
          <w:szCs w:val="18"/>
          <w:i w:val="1"/>
          <w:iCs w:val="1"/>
          <w:color w:val="auto"/>
        </w:rPr>
        <w:t>Trade and Notes Receivables Policy</w:t>
      </w:r>
      <w:r>
        <w:rPr>
          <w:rFonts w:ascii="Times New Roman" w:cs="Times New Roman" w:eastAsia="Times New Roman" w:hAnsi="Times New Roman"/>
          <w:sz w:val="18"/>
          <w:szCs w:val="18"/>
          <w:color w:val="auto"/>
        </w:rPr>
        <w:t xml:space="preserve"> below.</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final guidance intended to improve transparency of segment disclosures, primarily through expanded disclosures for significant segment expenses. The guidance is effective for annual periods beginning in 2024 and interim periods beginning in 2025. Early adoption is permitted. This new guidance will result in incremental disclosures in the notes to the Company’s segment reporting disclosures. We intend to adopt this standard in our Annual Report on Form 10-K for the year ending December 31, 2025. We are currently evaluating the potential impact of adopting this standard on our disclosures.</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final guidance to improve transparency of income tax disclosures. The final guidance requires enhanced disclosures primarily related to existing rate reconciliation and income taxes paid information. The guidance is effective for 2025 annual reporting. Early adoption is permitted. This new guidance will result in incremental disclosures in the notes to the Company’s income tax disclosures. We are currently assessing the impact of the requirements on our consolidated financial statements and disclosures. We intend to adopt this standard in our Annual Report on Form 10-K for the year ending December 31, 2024. We are currently evaluating the potential impact of adopting this standard on our disclosures.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generally accepted accounting principles requires management of the Company to make estimates and assumptions that affect the reported amounts of assets and liabilities and disclosure of contingent liabilities at the date of the condensed consolidated financial statements and the reported amounts of revenues and expenses during the period. Actual results could differ from those estimates under different assumptions and conditions.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Segments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one operating segment which is specialty pharmaceutical products. Management has chosen to organize the Company based on the type of products sold. Operating segments are identified as components of an enterprise about which separate discrete financial information is evaluated by the chief operating decision maker, or decision-making group, in making decisions regarding resource allocation and assessing performance. The Company, which uses consolidated financial information in determining how to allocate resources and assess performance, has concluded that our specialty pharmaceutical products compete in similar economic markets and similar circumstances. Substantially all of the Company’s assets are located in the United States and total revenues are primarily attributable to U.S. customers.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Trade and Note Receivables Policy</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the application of Current Expected Credit Losses (CECL) to all of its financial instruments including trade and note receivables. CECL is applicable to all financial instruments measured at amortized cost. Therefore for the Company, this principally relates to trade receivables and two notes receivable. CECL also requires the measurement of expected credit losses on a collective (pool) basis when similar risk characteristics exist. This may include, either individually or in combination, some of the following characteristics of Accounting Standards Codification ("ASC") (326-20-55-5):</w:t>
      </w:r>
    </w:p>
    <w:p>
      <w:pPr>
        <w:spacing w:after="0" w:line="7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or external credit score/rating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ratings or classification</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 type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Geographical location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or expected credit loss patterns</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and supportable forecast periods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standard requires entities to pool financial assets but allows them to choose which risk characteristics to use. Under the requirements of the guidance, the Company reassesses at the end of each reporting period whether the pool of assets continues to display similar risk characteristics.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twenty years of experience, Cumberland has experienced virtually no write downs of receivables as most of our receivables are due from large successful pharmaceutical, healthcare or government customers, consistently making payments on account. Although the payment behaviors of all of our customers are consistently reliable, for the sake of transparency, we have separated our customer base into seven separate pools. The Company performs a monthly analysis of aged accounts receivable to determine how much, if any, of the accounts receivable balance should be reserved as potential bad debt. The Company reviews all balances over 90 days past due for a possible reserve and considers any specific factors or information for balances aged under 90 days if there are indicators that the balance should be reserved, such as other aged balances with the customer or bankruptcy as well as any economic issues with a customer industry or region. The adoption of ASC 326 did not result in a material impact to the Company.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(LOSS) PER SHARE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used to calculate basic and diluted earnings (loss) per share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 and 2023: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36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64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r>
      <w:tr>
        <w:trPr>
          <w:trHeight w:val="20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(1,946,263)</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192,184</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6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w:t>
            </w: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14,098,022</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14,359,322</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other securities</w:t>
            </w:r>
          </w:p>
        </w:tc>
        <w:tc>
          <w:tcPr>
            <w:tcW w:w="1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228,521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diluted</w:t>
            </w: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14,098,022</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14,587,843</w:t>
            </w:r>
          </w:p>
        </w:tc>
      </w:tr>
      <w:tr>
        <w:trPr>
          <w:trHeight w:val="20"/>
        </w:trPr>
        <w:tc>
          <w:tcPr>
            <w:tcW w:w="6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2024 and 2023, restricted stock awards and options to purchase 496,859 and 331,338 shares of common stock, respectively, were outstanding but were not included in the computation of diluted earnings per share because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accounts for revenues from contracts with customers under ASC 606.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net revenues consisted of the following for the three months ended March 31, 2024 and 2023:</w:t>
      </w:r>
    </w:p>
    <w:p>
      <w:pPr>
        <w:spacing w:after="0" w:line="113" w:lineRule="exact"/>
        <w:rPr>
          <w:sz w:val="20"/>
          <w:szCs w:val="20"/>
          <w:color w:val="auto"/>
        </w:rPr>
      </w:pPr>
    </w:p>
    <w:tbl>
      <w:tblPr>
        <w:tblLayout w:type="fixed"/>
        <w:tblInd w:w="22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820" w:type="dxa"/>
            <w:vAlign w:val="bottom"/>
            <w:tcBorders>
              <w:bottom w:val="single" w:sz="8" w:color="auto"/>
            </w:tcBorders>
          </w:tcPr>
          <w:p>
            <w:pPr>
              <w:spacing w:after="0"/>
              <w:rPr>
                <w:sz w:val="20"/>
                <w:szCs w:val="20"/>
                <w:color w:val="auto"/>
              </w:rPr>
            </w:pPr>
          </w:p>
        </w:tc>
      </w:tr>
      <w:tr>
        <w:trPr>
          <w:trHeight w:val="223"/>
        </w:trPr>
        <w:tc>
          <w:tcPr>
            <w:tcW w:w="45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18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29"/>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Kristalose</w:t>
            </w:r>
          </w:p>
        </w:tc>
        <w:tc>
          <w:tcPr>
            <w:tcW w:w="18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3,195,609</w:t>
            </w:r>
          </w:p>
        </w:tc>
        <w:tc>
          <w:tcPr>
            <w:tcW w:w="120" w:type="dxa"/>
            <w:vAlign w:val="bottom"/>
          </w:tcPr>
          <w:p>
            <w:pPr>
              <w:spacing w:after="0"/>
              <w:rPr>
                <w:sz w:val="19"/>
                <w:szCs w:val="19"/>
                <w:color w:val="auto"/>
              </w:rPr>
            </w:pPr>
          </w:p>
        </w:tc>
        <w:tc>
          <w:tcPr>
            <w:tcW w:w="12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4,315,128</w:t>
            </w:r>
          </w:p>
        </w:tc>
      </w:tr>
      <w:tr>
        <w:trPr>
          <w:trHeight w:val="230"/>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Sancuso</w:t>
            </w:r>
          </w:p>
        </w:tc>
        <w:tc>
          <w:tcPr>
            <w:tcW w:w="1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1,827,769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1,886,793</w:t>
            </w:r>
          </w:p>
        </w:tc>
      </w:tr>
      <w:tr>
        <w:trPr>
          <w:trHeight w:val="229"/>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Vibativ</w:t>
            </w:r>
          </w:p>
        </w:tc>
        <w:tc>
          <w:tcPr>
            <w:tcW w:w="1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1,605,489</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1,848,187</w:t>
            </w:r>
          </w:p>
        </w:tc>
      </w:tr>
      <w:tr>
        <w:trPr>
          <w:trHeight w:val="229"/>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Caldolor</w:t>
            </w:r>
          </w:p>
        </w:tc>
        <w:tc>
          <w:tcPr>
            <w:tcW w:w="1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1,470,699</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935,043</w:t>
            </w:r>
          </w:p>
        </w:tc>
      </w:tr>
      <w:tr>
        <w:trPr>
          <w:trHeight w:val="230"/>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Acetadote</w:t>
            </w:r>
          </w:p>
        </w:tc>
        <w:tc>
          <w:tcPr>
            <w:tcW w:w="1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80,203</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169,856</w:t>
            </w:r>
          </w:p>
        </w:tc>
      </w:tr>
      <w:tr>
        <w:trPr>
          <w:trHeight w:val="229"/>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Vaprisol</w:t>
            </w:r>
          </w:p>
        </w:tc>
        <w:tc>
          <w:tcPr>
            <w:tcW w:w="1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r>
      <w:tr>
        <w:trPr>
          <w:trHeight w:val="230"/>
        </w:trPr>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Omeclamox-Pak</w:t>
            </w:r>
          </w:p>
        </w:tc>
        <w:tc>
          <w:tcPr>
            <w:tcW w:w="18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29"/>
        </w:trPr>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RediTrex</w:t>
            </w:r>
          </w:p>
        </w:tc>
        <w:tc>
          <w:tcPr>
            <w:tcW w:w="18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35,556</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(141,045)</w:t>
            </w:r>
          </w:p>
        </w:tc>
      </w:tr>
      <w:tr>
        <w:trPr>
          <w:trHeight w:val="229"/>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275,329</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197,186</w:t>
            </w: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1840" w:type="dxa"/>
            <w:vAlign w:val="bottom"/>
            <w:tcBorders>
              <w:bottom w:val="single" w:sz="8" w:color="auto"/>
            </w:tcBorders>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9,224,638</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was no Omeclamox-Pak net revenue for the first quarter of 2024 due to our lack of commercial inventory of this product. The packager for our Omeclamox-Pak product encountered financial difficulties due to the impact of COVID-19. As we have not been able to identify an alternative site to package the product, we decided to discontinue the sales of Omeclamox-Pak and expense the remaining brand intangible assets in late 2023. For the three months ended March 31, 2024 and 2023, the amounts noted resulted from normal adjustments by channel partners.</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regard to Vaprisol, we are in the process of transitioning to a new manufacturer, who was issued a U.S. Food and Drug Administration ("FDA") Form 483 in the second quarter of 2022. Once these FDA Form 483 related issues are satisfactorily resolved by the manufacturer, we will then resubmit our application for their facility to the FDA for approval. Meanwhile, we have been working with them to support a special, interim supply of compounded product for critically ill patients, which they introduced to the market in late 2023. For the three months ended March 31, 2024, the amounts reflected our share of sales of the compounded product. For the three months ended March 31, 2023, net revenue was impacted by product return and accrual adjustments.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an amendment to the agreement between the Company and Nordic Group B.V. ("Nordic"), effective June 30, 2023, the Company returned all rights of RediTrex back to Nordic and the Company will receive a long-term royalty on any Nordic sales of the product in the future. For the three months ended March 31, 2024 and 2023, the revenue amounts represented normal adjustments by channel partners and accrual adjustments.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agreements with international partners for commercialization of the Company's products with associated payments included in other revenues. Those agreements provide that each of the partners is responsible for seeking regulatory approvals for the product, and following approval, each partner will be responsible for the ongoing distribution and sales in the respective international territories. The Company provides a dossier for product registration and maintains responsibility for the relevant intellectual property. Cumberland is typically entitled to receive a non-refundable, up-front payment at the time each agreement is executed as consideration for the product dossier and for the rights to the distinct intellectual property rights in the respective international territory. These agreements also typically provide for additional payments upon a partner’s achievement of a defined regulatory approval and sales milestones. The Company may also be entitled to receive royalties on future sales of the products and a transfer price on supplies. The contractual payments associated with the partner’s achievement of regulatory approvals, sales milestones and royalties on future sales are recognized as revenue upon occurrence, or at such time that the Company has a high degree of confidence that the revenue would not be reversed in a subsequent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include funding from federal grant programs including those secured from the FDA and from those secured by Cumberland Emerging Technologies Inc. ("CET") through the Small Business Administration. Grant revenue from these federal grant programs totaled approximately $0.1 million for the three months ended March 31, 2024 and 2023.</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revenues also include lease income generated by CET’s Life Sciences Center. It is a research facility that provides scientists with access to flexible lab space and other resources to develop biomedical products. This lease income, as noted in Footnote 5 - Leases, was approximately $0.2 million and $0.1 million for the three months ended March 31, 2024 and 2023,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works closely with third parties to manufacture and package finished goods for sale. Based on the arrangements with the manufacturer or</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packager, the Company will either take title to the finished goods at the time of shipment or at the time of arrival at the Company’s warehouses. The Company then holds such goods in inventory until distribution and sale. These finished goods inventories are stated at the lower of cost or net realizable value with cost determined using the first-in, first-out method.</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continually evaluates inventory for potential losses due to excess, obsolete or slow-moving goods by comparing sales history and projections to the inventory on hand. When evidence indicates that the carrying value may not be recoverable, a charge is taken to reduce the inventory to its current net realizable value. At March 31, 2024 and December 31, 2023, there were no cumulative obsolescence and discontinuance losses necessary.</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purchases the active pharmaceutical ingredient (“API”) for Kristalose and maintains the inventory of that raw material. API for the Company's Vaprisol and Vibativ brands were included in the assets associated with the acquisition of those brands and are also included in the raw materials inventory. As part of the Vibativ acquisition, the Company acquired API and work in process inventories of $15.6 million that were all initially classified as non-current inventories at the date of acquisition.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these APIs are consumed in the manufacture of our products, the value of the API involved is transferred from raw materials to finished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Consigned inventory represents Authorized Generic inventory stored with our partner until shipment to their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the Company's net inventories consisted of the following:</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42"/>
        </w:trPr>
        <w:tc>
          <w:tcPr>
            <w:tcW w:w="6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work in process</w:t>
            </w:r>
          </w:p>
        </w:tc>
        <w:tc>
          <w:tcPr>
            <w:tcW w:w="8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12,772,140</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12,619,092</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Consigned inventory</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231,264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149,701</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5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4,240,018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4,645,098</w:t>
            </w:r>
          </w:p>
        </w:tc>
      </w:tr>
      <w:tr>
        <w:trPr>
          <w:trHeight w:val="223"/>
        </w:trPr>
        <w:tc>
          <w:tcPr>
            <w:tcW w:w="6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inventories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17,243,422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17,413,891</w:t>
            </w:r>
          </w:p>
        </w:tc>
      </w:tr>
      <w:tr>
        <w:trPr>
          <w:trHeight w:val="230"/>
        </w:trPr>
        <w:tc>
          <w:tcPr>
            <w:tcW w:w="6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non-current inventories</w:t>
            </w:r>
          </w:p>
        </w:tc>
        <w:tc>
          <w:tcPr>
            <w:tcW w:w="5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(12,915,896)</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current</w:t>
            </w:r>
          </w:p>
        </w:tc>
        <w:tc>
          <w:tcPr>
            <w:tcW w:w="5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4,327,526</w:t>
            </w:r>
          </w:p>
        </w:tc>
        <w:tc>
          <w:tcPr>
            <w:tcW w:w="12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4,609,362</w:t>
            </w:r>
          </w:p>
        </w:tc>
      </w:tr>
      <w:tr>
        <w:trPr>
          <w:trHeight w:val="21"/>
        </w:trPr>
        <w:tc>
          <w:tcPr>
            <w:tcW w:w="6700" w:type="dxa"/>
            <w:vAlign w:val="bottom"/>
            <w:gridSpan w:val="2"/>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588"/>
        </w:trPr>
        <w:tc>
          <w:tcPr>
            <w:tcW w:w="8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 March 31, 2024 and December 31, 2023, the Company's non-current inventories consisted of the following:</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1"/>
        </w:trPr>
        <w:tc>
          <w:tcPr>
            <w:tcW w:w="6200" w:type="dxa"/>
            <w:vAlign w:val="bottom"/>
          </w:tcPr>
          <w:p>
            <w:pPr>
              <w:spacing w:after="0"/>
              <w:rPr>
                <w:sz w:val="24"/>
                <w:szCs w:val="24"/>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6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75"/>
        </w:trPr>
        <w:tc>
          <w:tcPr>
            <w:tcW w:w="6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80" w:type="dxa"/>
            <w:vAlign w:val="bottom"/>
          </w:tcPr>
          <w:p>
            <w:pPr>
              <w:spacing w:after="0"/>
              <w:rPr>
                <w:sz w:val="6"/>
                <w:szCs w:val="6"/>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Vibativ Raw Materials</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6,611,426</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6,611,426</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Kristalose Raw Materials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3,213,387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3,263,516</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Vaprisol Conivaptan Raw Materials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1,173,442</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1,170,641</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Raw Materials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578,804</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574,502</w:t>
            </w: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Raw Materials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31,489</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Acetadote Raw Materials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33,678</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 Drug Ifetroban Raw Materials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203,383</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203,383</w:t>
            </w:r>
          </w:p>
        </w:tc>
      </w:tr>
      <w:tr>
        <w:trPr>
          <w:trHeight w:val="23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Finished Goods</w:t>
            </w: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955,969</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810,454</w:t>
            </w: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Caldolor Finished Goods</w:t>
            </w:r>
          </w:p>
        </w:tc>
        <w:tc>
          <w:tcPr>
            <w:tcW w:w="5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53,326</w:t>
            </w: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67,307</w:t>
            </w:r>
          </w:p>
        </w:tc>
      </w:tr>
      <w:tr>
        <w:trPr>
          <w:trHeight w:val="230"/>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Omeclamox</w:t>
            </w:r>
          </w:p>
        </w:tc>
        <w:tc>
          <w:tcPr>
            <w:tcW w:w="5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69,622</w:t>
            </w:r>
          </w:p>
        </w:tc>
      </w:tr>
      <w:tr>
        <w:trPr>
          <w:trHeight w:val="24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 classified as non-current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12,915,896</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12915896</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12,804,529</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15, 2021, Cumberland entered into a lease (the "Lease"), pursuant to which the Company leases approximately 16,903 rentable square feet of space (the "Leased Premise") at Broadwest located in Nashville, Tennessee with 1600 West End Avenue Partners, LLC (the "Landlord"). The Leased Premise serves as the Company's new corporate headquarters. The initial term of the Lease is one hundred fifty-seven (157) months, with two consecutive options to renew for a period of five years each, with the commencement date of October 25, 2022. This lease currently expires in November 2035.</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responsible for paying rent to the landlord under the lease beginning three months after the commencement date. The Company pays a base rent of $33.06 per square foot of rentable space with a gradual rental rate increase of 2.5% for each year thereafter of the prior year's base rental. In addition to the monthly base rent, the Company is responsible for its percentage share of the operating expenses of the building. The lease also provided for a tenant improvement allowance which we used to build out the space.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24, 2022, the CET lease with The Gateway to Nashville, LLC provided the notice of exercise to extend the lease for five years. The lease is for approximately 14,200 square feet of wet laboratory and office space in Nashville, Tennessee where CET operates the CET Life Sciences Center. The wet laboratory and office space is leased through April 2028. The Company also subleases a portion of the space under this lease.</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Also included within the right-of-use assets are start up expenditures related to a new supply agreement with Nephron Pharmaceuticals Corporation (“Nephron”) for our Vaprisol product. These expenditures are classified as an embedded lease resulting in a right-of-use asset to be amortized over the life of the Nephron contract. As of March 31, 2024, the value of this lease was $0.9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lease liabilities were recorded as the present value of remaining lease payments not yet paid for the lease term discounted using the incremental borrowing rate associated with each lease. Operating lease right-of-use assets represent operating lease liabilities adjusted for lease incentives and initial direct costs. As the Company’s leases do not contain implicit borrowing rates, the incremental borrowing rates were calculated based on information available at October 25, 2022 and May 1, 2023. Incremental borrowing rates reflect the Company’s estimated interest rates for collateralized borrowings over similar lease terms.</w:t>
      </w:r>
    </w:p>
    <w:p>
      <w:pPr>
        <w:spacing w:after="0" w:line="1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weighted-average remaining lease term for the Broadwest and Gateway leases is 10.2 years and 12.6 years at March 31, 2024 and March 31, 2023, respectively. The weighted-average incremental borrowing rate used to discount the present value of the remaining lease payments is 9.40% for the Broadwest lease and 9.24% for the remaining CET lease.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Position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the Company's lease assets and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300" w:type="dxa"/>
            <w:vAlign w:val="bottom"/>
          </w:tcPr>
          <w:p>
            <w:pPr>
              <w:spacing w:after="0"/>
              <w:rPr>
                <w:sz w:val="20"/>
                <w:szCs w:val="20"/>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6,521,088</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6,674,394</w:t>
            </w:r>
          </w:p>
        </w:tc>
      </w:tr>
      <w:tr>
        <w:trPr>
          <w:trHeight w:val="439"/>
        </w:trPr>
        <w:tc>
          <w:tcPr>
            <w:tcW w:w="66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300" w:type="dxa"/>
            <w:vAlign w:val="bottom"/>
          </w:tcPr>
          <w:p>
            <w:pPr>
              <w:spacing w:after="0"/>
              <w:rPr>
                <w:sz w:val="24"/>
                <w:szCs w:val="24"/>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6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2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362,244</w:t>
            </w:r>
          </w:p>
        </w:tc>
        <w:tc>
          <w:tcPr>
            <w:tcW w:w="2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348,092</w:t>
            </w:r>
          </w:p>
        </w:tc>
      </w:tr>
      <w:tr>
        <w:trPr>
          <w:trHeight w:val="229"/>
        </w:trPr>
        <w:tc>
          <w:tcPr>
            <w:tcW w:w="6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5,200,148</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5,296,247</w:t>
            </w:r>
          </w:p>
        </w:tc>
      </w:tr>
      <w:tr>
        <w:trPr>
          <w:trHeight w:val="24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5,562,392</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5,644,339</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cumulative future minimum sublease income under non-cancelable operating subleases totals approximately $0.2 million which includes the 90-day notice required for lease termination. Future minimum lease payments under non-cancelable operating leases (with initial or remaining lease terms in excess of one year)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Maturity of Lease Liabilities at March 31, 2024</w:t>
            </w:r>
          </w:p>
        </w:tc>
        <w:tc>
          <w:tcPr>
            <w:tcW w:w="260" w:type="dxa"/>
            <w:vAlign w:val="bottom"/>
          </w:tcPr>
          <w:p>
            <w:pPr>
              <w:spacing w:after="0"/>
              <w:rPr>
                <w:sz w:val="20"/>
                <w:szCs w:val="20"/>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23"/>
        </w:trPr>
        <w:tc>
          <w:tcPr>
            <w:tcW w:w="8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649,494</w:t>
            </w: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836,100</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909,911</w:t>
            </w: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934,180</w:t>
            </w: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740,791</w:t>
            </w:r>
          </w:p>
        </w:tc>
      </w:tr>
      <w:tr>
        <w:trPr>
          <w:trHeight w:val="229"/>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After 2028</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4,847,401</w:t>
            </w:r>
          </w:p>
        </w:tc>
      </w:tr>
      <w:tr>
        <w:trPr>
          <w:trHeight w:val="223"/>
        </w:trPr>
        <w:tc>
          <w:tcPr>
            <w:tcW w:w="8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8,917,877</w:t>
            </w:r>
          </w:p>
        </w:tc>
      </w:tr>
      <w:tr>
        <w:trPr>
          <w:trHeight w:val="230"/>
        </w:trPr>
        <w:tc>
          <w:tcPr>
            <w:tcW w:w="9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3,355,485</w:t>
            </w:r>
          </w:p>
        </w:tc>
      </w:tr>
      <w:tr>
        <w:trPr>
          <w:trHeight w:val="248"/>
        </w:trPr>
        <w:tc>
          <w:tcPr>
            <w:tcW w:w="9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5,562,392</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 is recognized over the expected term of the lease, including renewal option periods, if applicable, on a straight-line basis as a component of general and administrative expense. Rent expense and sublease income were as follows:</w:t>
      </w:r>
    </w:p>
    <w:p>
      <w:pPr>
        <w:spacing w:after="0" w:line="117"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6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355,064</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234,863</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55"/>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155,683</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(6) SHAREHOLDERS’ EQUITY AND DEBT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currently has a share repurchase program available to repurchase up to $10 million of its common stock pursuant to Rule 10b-18 of the Securities Exchange Act of 1934. In January 2019, the Company's Board of Directors established the current $10 million repurchase program to replace the prior authorizations. During the three months ended March 31, 2024 and March 31, 2023, the Company repurchased 125,870 shares and 86,829 shares of common stock for approximately $0.2 million, respectively. At March 31, 2024, there remains approximately $2.8 million available under the current repurchase program for common share repurchases.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purchases and sales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Company's March 2024 trading window, several members of Cumberland's Board of Directors entered into agreements for trading plans to purchase shares of the Company's stock pursuant to Rule 10b5-1 of the Securities Exchange Act of 1934. These purchases are designed to increase ownership in the Company by the members of the Board. As of March 31, 2024, there were no shares purchased through these trading plans as the purchases will begin in June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Sales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Cumberland filed a Shelf Registration on Form S-3 with the SEC associated with the sale of up to $100 million in corporate securities. The Shelf Registration was declared effective in January 2018. It also included an At the Market ("ATM") feature that allowed the Company to sell common shares at market prices, along with an agreement with B. Riley FBR Inc. to support such a placement of shares. The Company filed an updated Form S-3 with the SEC in December 2023, which was declared effective December 26, 2023. On March 20, 2024, the Company filed a related prospectus supplement in connection with the sale and issuance of shares having an aggregate gross sales price of up to $5.8 million. The Company intends to continue an ATM feature through H.C. Wainwright &amp; Co., LLC, that would allow the Company to issue shares of its common stock. The Company did not issue any shares under an ATM during the three months ended March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Grants and Incentive Stock Options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and March 31, 2023, the Company issued 50,500 shares and 28,250 shares of restricted stock, respectively, to employees, advisors and directors. Restricted stock issued to employees and advisors generally cliff-vests on the fourth anniversary of the date of grant and for directors on the one-year anniversary of the date of grant. During the three months ended March 31, 2024 and 2023, the Company also issued 187,600 and 183,250 incentive stock options, respectively, to employees that cliff-vest on the fourth anniversary of the date of grant, and are largely set to expire in 2034 and 2033, respectively.</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compensation expense is presented as a component of general and administrative expense in the condensed consolidated statements of operations as it relates to these restricted share grants and options. For the three months ended March 31, 2024, we recorded a credit of $0.01 million to stock compensation expense related to the forfeiture of unvested restricted stock awards and incentive stock options.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Agreement</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(a) up to $20 million or (b) the sum of the Company's cash balances and eligible accounts receivable.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$16.1 million and $12.8 million, respectively, in borrowings outstanding under its revolving credit facility. The applicable interest rate under the Pinnacle Agreement was 8.125% at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2020, Cumberland entered into an agreement with WinHealth Investment (Singapore) Ltd creating </w:t>
      </w:r>
      <w:r>
        <w:rPr>
          <w:rFonts w:ascii="Times New Roman" w:cs="Times New Roman" w:eastAsia="Times New Roman" w:hAnsi="Times New Roman"/>
          <w:sz w:val="18"/>
          <w:szCs w:val="18"/>
          <w:i w:val="1"/>
          <w:iCs w:val="1"/>
          <w:color w:val="auto"/>
        </w:rPr>
        <w:t>WHC Biopharmaceuticals, Pte. Ltd</w:t>
      </w:r>
      <w:r>
        <w:rPr>
          <w:rFonts w:ascii="Times New Roman" w:cs="Times New Roman" w:eastAsia="Times New Roman" w:hAnsi="Times New Roman"/>
          <w:sz w:val="18"/>
          <w:szCs w:val="18"/>
          <w:color w:val="auto"/>
        </w:rPr>
        <w:t>. The joint venture, as a limited liability company, will focus on acquiring, developing, registering, and commercializing development stage and commercial stage biopharmaceuticals for China, Hong Kong and other Asian markets. The agreement provides for initial investment from WinHealth in the form of a $0.2 million equity contribution and an initial investment from Cumberland in the form of a $0.2 million convertible note, which was funded during the first quarter of 2021. The joint venture will seek additional future capital from additional investors and has entered into exclusive option agreements to license product candidates from both Cumberland Pharmaceuticals Inc. and Cumberland Emerging Technologies Inc.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the Company has approximately $52.1 million in federal net operating loss carryforwards including approximately $44.1 million of net operating loss carryforwards resulting from the exercise of nonqualified stock options. These have historically been used to significantly offset income tax obligations. The Company expects it will continue to pay minimal income taxes during 2024 and beyond, through the continued utilization of these net operating loss carryforwards, on any taxable income generated from our operations.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COLLABORATIVE AGREEMENTS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Cumberland is a party to several collaborative arrangements with research institutions to identify and pursue promising pharmaceutical product candidates. The funding for these programs is primarily provided through Federal Small Business Administration (SBIR/STTR) and other grant awards. The Company has determined that these collaborative agreements, with the exception of the collaborative payment discussed in Note 10, related to Vibativ and Sancuso contingent consideration payments, do not meet the criteria for accounting under ASC Topic 808, </w:t>
      </w:r>
      <w:r>
        <w:rPr>
          <w:rFonts w:ascii="Times New Roman" w:cs="Times New Roman" w:eastAsia="Times New Roman" w:hAnsi="Times New Roman"/>
          <w:sz w:val="18"/>
          <w:szCs w:val="18"/>
          <w:i w:val="1"/>
          <w:iCs w:val="1"/>
          <w:color w:val="auto"/>
        </w:rPr>
        <w:t>Collaborative Agreements</w:t>
      </w:r>
      <w:r>
        <w:rPr>
          <w:rFonts w:ascii="Times New Roman" w:cs="Times New Roman" w:eastAsia="Times New Roman" w:hAnsi="Times New Roman"/>
          <w:sz w:val="18"/>
          <w:szCs w:val="18"/>
          <w:color w:val="auto"/>
        </w:rPr>
        <w:t>. The agreements do not specifically designate each party’s rights and obligations to each other under the collaborative arrangements. Except for patent defense costs, expenses incurred by one party are not required to be reimbursed by the other party. Expenses incurred under these collaborative agreements are included in research and development expenses and funding received from grants are recorded as net revenues in the condensed consolidated statements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involved in litigation arising in the normal course of business. The Company does not believe that the disposition or ultimate resolution of existing claims or lawsuits will have a material adverse effect on the business or financial condition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ind w:right="5400"/>
        <w:spacing w:after="0" w:line="409" w:lineRule="auto"/>
        <w:rPr>
          <w:sz w:val="20"/>
          <w:szCs w:val="20"/>
          <w:color w:val="auto"/>
        </w:rPr>
      </w:pPr>
      <w:r>
        <w:rPr>
          <w:rFonts w:ascii="Times New Roman" w:cs="Times New Roman" w:eastAsia="Times New Roman" w:hAnsi="Times New Roman"/>
          <w:sz w:val="18"/>
          <w:szCs w:val="18"/>
          <w:b w:val="1"/>
          <w:bCs w:val="1"/>
          <w:color w:val="auto"/>
        </w:rPr>
        <w:t xml:space="preserve">(10) PRODUCT ACQUISITIONS AND RETURN OF PRODUCT RIGHTS </w:t>
      </w:r>
      <w:r>
        <w:rPr>
          <w:rFonts w:ascii="Times New Roman" w:cs="Times New Roman" w:eastAsia="Times New Roman" w:hAnsi="Times New Roman"/>
          <w:sz w:val="18"/>
          <w:szCs w:val="18"/>
          <w:i w:val="1"/>
          <w:iCs w:val="1"/>
          <w:color w:val="auto"/>
        </w:rPr>
        <w:t>Vibativ</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November 2018, the Company executed an agreement with Theravance Biopharma ("Theravance") to acquire the assets and global rights to Vibativ including responsibility for the marketing, distribution, manufacturing and regulatory activities associated with the brand. Vibativ is a patented, FDA 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 accounted for the transaction as a business combination in accordance with ASC 805 and the product sales are included in the results of operations subsequent to the acquisition date. The Company made an upfront payment of $20 million at the closing of the transaction and a $5 million milestone payment in early April 2019. In addition, Cumberland has agreed to pay royalties of up to 20% of on-going net sales of the product in the U.S. after a $2.5 million threshold is met. The future royalty payments were recognized at their acquisition-date fair value as a contingent consideration liability, as part of the contingent consideration transferred in the business combination. Cumberland prepared the valuations of the contingent consideration liability utilizing significant unobservable inputs. As a result, the valuation is classified as Level 3 fair value measurement.</w:t>
      </w:r>
    </w:p>
    <w:p>
      <w:pPr>
        <w:spacing w:after="0" w:line="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 The contingent consideration earned and accrued in operating expenses is paid to Theravance quarterly.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4,033,373</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(394,426)</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28,072</w:t>
            </w:r>
          </w:p>
        </w:tc>
      </w:tr>
      <w:tr>
        <w:trPr>
          <w:trHeight w:val="229"/>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3,667,019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contingent consideration liability of $3.7 million was accounted for as $1.2 million of other current liabilities and $2.5 million of other long-term liabilities on the condensed consolidated balance sheet as of March 31, 2024.</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Sancuso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 2022, Cumberland acquired the U.S. rights to the FDA-approved oncology-supportive care medicine Sancuso from Kyowa Kirin,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("Kyowa Kirin"), the U.S. affiliate of Japan-based Kyowa Kirin Co., Ltd.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Sancuso is the first and only FDA-approved prescription patch for the prevention of nausea and vomiting in patients receiving certain types of chemotherapy treatment. The active drug in Sancuso, granisetron, slowly dissolves in the thin layer of adhesive that sticks to the patient’s skin and is released into their bloodstream over several days, working continuously to prevent chemotherapy-induced nausea and vomiting (“CINV”). It is applied 24 to 48 hours before receiving chemotherapy and can prevent CINV for up to five consecutive days. Alternative oral treatments must be taken several times (day and night) to deliver the same therapeutic doses.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acquired U.S. rights to Sancuso and assumed full commercial responsibility for the product in the U.S. – including its marketing, promotion, distribution, manufacturing and medical support activities. The product’s FDA registration was subsequently transferred from Kyowa Kirin to Cumberland in August 2023.</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Cumberland has also accounted for this transaction as a business combination in accordance with ASC 805 and the product sales are included in the results of operations subsequent to the acquisition date. The Company made an upfront payment of $13.5 million at the closing of the transaction. The agreement called for milestone payments of up to $3.5 million based on the attainment of various approvals and sales performance. In January 2023, Cumberland made a $1.0 million milestone payment to Kwoya Kirin based on the FDA approval of a manufacturing site for the product. In October 2023, Cumberland made a $0.5 million milestone payment based on the successful transfer of the product’s FDA registration from Kyowa Kirin to Cumberland.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remaining $2.0 million in milestones are tied to achievement of certain annual sales levels for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Cumberland has agreed to pay a royalty of up to 10% of on-going net sales of Sancuso. The future royalty payments were required to be recognized at their acquisition-date fair value as a contingent consideration liability, as part of the contingent consideration transferred in the business combination. Cumberland has prepared a valuation of the contingent consideration liability utilizing significant unobservable inputs. As a result, the valuation is classified as Level 3 fair value measurement.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was funded by cash and the Company's revolving credit facility. The fair value for the assets and liabilities assumed were as follows: prepaid expenses of $1.8 million, inventory of $2.6 million, goodwill of $0.03 million, intangible assets of $14.1 million, milestone payable of $1.7 million and contingent liability of $3.4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the contingent consideration liability that is remeasured on a recurring basis.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2,306,000</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 of milestones and royalty during the period</w:t>
            </w:r>
          </w:p>
        </w:tc>
        <w:tc>
          <w:tcPr>
            <w:tcW w:w="7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(236,275)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 included in operating expenses</w:t>
            </w: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(258,502)</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and accrued in operating expenses</w:t>
            </w:r>
          </w:p>
        </w:tc>
        <w:tc>
          <w:tcPr>
            <w:tcW w:w="7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182,777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contingent consideration liability earned and accrued in operating expenses is paid to Kyowa Kirin quarterly. The contingent consideration liability of $2.0 million was accounted for as $1.2 million of current liabilities and $0.8 million of other long-term liabilities on the condensed consolidated balance sheet as of March 31, 2024.</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RediTrex</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2022, the Cumberland entered into an amendment to the agreement with Nordic Group B.V.("Nordic") returning all the U.S. rights to RediTrex back to Nordic including the trademark and market authorization effective June 30, 2023. The companies have cooperated on the transition and Cumberland will receive a long-term royalty on any Nordic sales of the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 w:lineRule="exact"/>
        <w:rPr>
          <w:sz w:val="20"/>
          <w:szCs w:val="20"/>
          <w:color w:val="auto"/>
        </w:rPr>
      </w:pPr>
    </w:p>
    <w:p>
      <w:pPr>
        <w:ind w:right="382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Disclosure regarding forward-looking statements</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contains certain forward-looking statements which reflect management’s current views of future events and operations. These statements involve certain risks and uncertainties, and actual results may differ materially from them. Forward-looking statements are made pursuant to the safe harbor provisions of the Private Securities Litigation Reform Act of 1995. Actual results may differ significantly from the results discussed in these forward-looking statements. Some important factors which may cause results to differ from expectations include: availability of additional debt and equity capital; market conditions at the time additional capital is required; our ability to continue to acquire branded products; product sales; management of our growth and integration of our acquisitions and generally unpredictable conditions in national and international markets. While forward-looking statements reflect our beliefs and best judgment based upon current information, they are not guarantees of future performance. Other important factors that may cause actual results to differ materially from forward-looking statements are discussed in the sections entitled “Risk Factors” and “Special Note Regarding</w:t>
      </w:r>
    </w:p>
    <w:p>
      <w:pPr>
        <w:spacing w:after="0" w:line="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of our Annual Report on Form 10-K for the year ended December 31, 2023, and our other filings with the SEC. We do not undertake to publicly update or revise any of our forward-looking statements, even in the event that experience or future changes indicate that the anticipated results will not be realized. The following presentation of management’s discussion and analysis of financial condition and results of operations should be read in conjunction with our unaudited condensed consolidated financial statements and related notes included in this report on Form 10-Q.</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Pharmaceuticals Inc. (“Cumberland,” the “Company,” or as used in the context of “we,” “us,” or “our”), is a specialty pharmaceutical company focused on the acquisition, development and commercialization of branded prescription pharmaceutical products. We are dedicated to our mission of working together to provide unique products that improve the quality of patient care.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target markets are hospital acute care, gastroenterology and oncology. These medical specialties are characterized by relatively concentrated prescriber bases that we believe can be served effectively by small, targeted sales forces. We promote our approved products through our hospital, field and oncology sales divisions in the United States, while we continue to build a network of international partners to register and provide our medicines to patients in their countries.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portfolio of brands approved for marketing by the U.S. Food and Drug Administration (“FDA”) includes:</w:t>
      </w:r>
    </w:p>
    <w:p>
      <w:pPr>
        <w:spacing w:after="0" w:line="1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Acetadote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acetylcysteine</w:t>
      </w:r>
      <w:r>
        <w:rPr>
          <w:rFonts w:ascii="Times New Roman" w:cs="Times New Roman" w:eastAsia="Times New Roman" w:hAnsi="Times New Roman"/>
          <w:sz w:val="18"/>
          <w:szCs w:val="18"/>
          <w:color w:val="auto"/>
        </w:rPr>
        <w:t>) injection, for the treatment of acetaminophen poisoning;</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Caldolor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ibuprofen</w:t>
      </w:r>
      <w:r>
        <w:rPr>
          <w:rFonts w:ascii="Times New Roman" w:cs="Times New Roman" w:eastAsia="Times New Roman" w:hAnsi="Times New Roman"/>
          <w:sz w:val="18"/>
          <w:szCs w:val="18"/>
          <w:color w:val="auto"/>
        </w:rPr>
        <w:t>) injection, for the treatment of pain and fever;</w:t>
      </w:r>
    </w:p>
    <w:p>
      <w:pPr>
        <w:spacing w:after="0" w:line="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Kristalose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lactulose</w:t>
      </w:r>
      <w:r>
        <w:rPr>
          <w:rFonts w:ascii="Times New Roman" w:cs="Times New Roman" w:eastAsia="Times New Roman" w:hAnsi="Times New Roman"/>
          <w:sz w:val="18"/>
          <w:szCs w:val="18"/>
          <w:color w:val="auto"/>
        </w:rPr>
        <w:t>) for oral solution, a prescription laxative, for the treatment of constipation;</w:t>
      </w:r>
    </w:p>
    <w:p>
      <w:pPr>
        <w:spacing w:after="0" w:line="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Sancuso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granisetron</w:t>
      </w:r>
      <w:r>
        <w:rPr>
          <w:rFonts w:ascii="Times New Roman" w:cs="Times New Roman" w:eastAsia="Times New Roman" w:hAnsi="Times New Roman"/>
          <w:sz w:val="18"/>
          <w:szCs w:val="18"/>
          <w:color w:val="auto"/>
        </w:rPr>
        <w:t>) transdermal, for the prevention of nausea and vomiting in patients receiving certain types of chemotherapy treatment;</w:t>
      </w:r>
    </w:p>
    <w:p>
      <w:pPr>
        <w:spacing w:after="0" w:line="10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Vaprisol</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conivaptan</w:t>
      </w:r>
      <w:r>
        <w:rPr>
          <w:rFonts w:ascii="Times New Roman" w:cs="Times New Roman" w:eastAsia="Times New Roman" w:hAnsi="Times New Roman"/>
          <w:sz w:val="18"/>
          <w:szCs w:val="18"/>
          <w:color w:val="auto"/>
        </w:rPr>
        <w:t>) injection, to raise serum sodium levels in hospitalized patients with euvolemic and hypervolemic hyponatremia; and</w:t>
      </w:r>
    </w:p>
    <w:p>
      <w:pPr>
        <w:spacing w:after="0" w:line="87" w:lineRule="exact"/>
        <w:rPr>
          <w:rFonts w:ascii="Times New Roman" w:cs="Times New Roman" w:eastAsia="Times New Roman" w:hAnsi="Times New Roman"/>
          <w:sz w:val="18"/>
          <w:szCs w:val="18"/>
          <w:color w:val="auto"/>
        </w:rPr>
      </w:pPr>
    </w:p>
    <w:p>
      <w:pPr>
        <w:ind w:left="660" w:hanging="328"/>
        <w:spacing w:after="0" w:line="23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Vibativ</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telavancin</w:t>
      </w:r>
      <w:r>
        <w:rPr>
          <w:rFonts w:ascii="Times New Roman" w:cs="Times New Roman" w:eastAsia="Times New Roman" w:hAnsi="Times New Roman"/>
          <w:sz w:val="18"/>
          <w:szCs w:val="18"/>
          <w:color w:val="auto"/>
        </w:rPr>
        <w:t>) injection, for the treatment of certain serious bacterial infections including hospital-acquired and ventilator-associated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bacterial pneumonia, as well as complicated skin and skin structure infections.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addition to these commercial brands, we have Phase II clinical programs underway evaluating our ifetroban product candidate in 1) </w:t>
      </w:r>
      <w:r>
        <w:rPr>
          <w:rFonts w:ascii="Times New Roman" w:cs="Times New Roman" w:eastAsia="Times New Roman" w:hAnsi="Times New Roman"/>
          <w:sz w:val="18"/>
          <w:szCs w:val="18"/>
          <w:i w:val="1"/>
          <w:iCs w:val="1"/>
          <w:color w:val="auto"/>
        </w:rPr>
        <w:t>Systemic Sclerosis</w:t>
      </w:r>
      <w:r>
        <w:rPr>
          <w:rFonts w:ascii="Times New Roman" w:cs="Times New Roman" w:eastAsia="Times New Roman" w:hAnsi="Times New Roman"/>
          <w:sz w:val="18"/>
          <w:szCs w:val="18"/>
          <w:color w:val="auto"/>
        </w:rPr>
        <w:t xml:space="preserve"> (“SSc”) or scleroderma, a debilitating autoimmune disorder characterized by diffuse fibrosis of the skin and internal organs, 2) patients with cardiomyopathy associated with </w:t>
      </w:r>
      <w:r>
        <w:rPr>
          <w:rFonts w:ascii="Times New Roman" w:cs="Times New Roman" w:eastAsia="Times New Roman" w:hAnsi="Times New Roman"/>
          <w:sz w:val="18"/>
          <w:szCs w:val="18"/>
          <w:i w:val="1"/>
          <w:iCs w:val="1"/>
          <w:color w:val="auto"/>
        </w:rPr>
        <w:t>Duchenne Muscular Dystrophy</w:t>
      </w:r>
      <w:r>
        <w:rPr>
          <w:rFonts w:ascii="Times New Roman" w:cs="Times New Roman" w:eastAsia="Times New Roman" w:hAnsi="Times New Roman"/>
          <w:sz w:val="18"/>
          <w:szCs w:val="18"/>
          <w:color w:val="auto"/>
        </w:rPr>
        <w:t xml:space="preserve"> (“DMD”), a rare, fatal, genetic neuromuscular disease results in deterioration of the skeletal, heart and lung muscles and 3) patients with </w:t>
      </w:r>
      <w:r>
        <w:rPr>
          <w:rFonts w:ascii="Times New Roman" w:cs="Times New Roman" w:eastAsia="Times New Roman" w:hAnsi="Times New Roman"/>
          <w:sz w:val="18"/>
          <w:szCs w:val="18"/>
          <w:i w:val="1"/>
          <w:iCs w:val="1"/>
          <w:color w:val="auto"/>
        </w:rPr>
        <w:t>Idiopathic Pulmonary Fibrosis</w:t>
      </w:r>
      <w:r>
        <w:rPr>
          <w:rFonts w:ascii="Times New Roman" w:cs="Times New Roman" w:eastAsia="Times New Roman" w:hAnsi="Times New Roman"/>
          <w:sz w:val="18"/>
          <w:szCs w:val="18"/>
          <w:color w:val="auto"/>
        </w:rPr>
        <w:t xml:space="preserve"> (“IPF”), the most common form of progressive fibrosing interstitial lung disease. Investigational new study applications (“INDs”) have been cleared by the FDA enabling us to launch clinical studies in each of these areas.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has built core competencies for the acquisition, development and U.S. commercialization of pharmaceutical products, and we believe we can leverage this existing infrastructure to support our growth. Our management team consists of pharmaceutical industry veterans with experience in business development, product development, regulatory, manufacturing, sales, marketing and finance.</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development team identifies, evaluates, and negotiates product acquisition, licensing and co- promotion agreements. Our product development team creates proprietary formulations, manages our clinical studies, prepares our FDA submissions and staffs our medical call center. Our quality and manufacturing professionals oversee the manufacturing, release and shipment of our brands. Our marketing and sales organization is responsible for our commercial activities, and we work closely with our distribution partners to ensure the availability and delivery of our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Cumberland’s growth strategy involves maximizing the potential of our existing brands, while continuing to build a portfolio of differentiated products. We currently own six products approved by the FDA in the United States. We are also continuing to build international partnerships to bring our medicines to patients in other countries. We also look for opportunities to expand our brands into new patient populations through clinical trials, new product presentations and our support of select, investigator-initiated studies. We actively pursue opportunities to acquire additional marketed brands as well as late-stage development product candidates in our target medical specialties. Our clinical team is also developing a pipeline of new product candidates to address poorly met medical needs.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supplementing these activities with the earlier-stage drug development at Cumberland Emerging Technologies (“CET”), our majority-owned subsidiary. CET partners with academic research institutions to identify and support the progress of promising new product candidates, which Cumberland can further develop and commercialize.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we are seeking long-term, sustainable growth by:</w:t>
      </w:r>
    </w:p>
    <w:p>
      <w:pPr>
        <w:spacing w:after="0" w:line="140" w:lineRule="exact"/>
        <w:rPr>
          <w:sz w:val="20"/>
          <w:szCs w:val="20"/>
          <w:color w:val="auto"/>
        </w:rPr>
      </w:pPr>
    </w:p>
    <w:p>
      <w:pPr>
        <w:jc w:val="both"/>
        <w:ind w:left="66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Supporting and expanding the use of our marketed products. </w:t>
      </w:r>
      <w:r>
        <w:rPr>
          <w:rFonts w:ascii="Times New Roman" w:cs="Times New Roman" w:eastAsia="Times New Roman" w:hAnsi="Times New Roman"/>
          <w:sz w:val="18"/>
          <w:szCs w:val="18"/>
          <w:color w:val="auto"/>
        </w:rPr>
        <w:t>We continue to evaluate our products following their FDA approval to determine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additional clinical data could expand their market and use. For example, we have secured pediatric approval of Acetadote and Caldolor and expanded the labeling for both brands accordingly. We also added pre-surgery dosing for Caldolor, and recently included newborns to the patients who can benefit from the product.</w:t>
      </w:r>
    </w:p>
    <w:p>
      <w:pPr>
        <w:spacing w:after="0" w:line="108"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Selectively adding complementary brands. </w:t>
      </w:r>
      <w:r>
        <w:rPr>
          <w:rFonts w:ascii="Times New Roman" w:cs="Times New Roman" w:eastAsia="Times New Roman" w:hAnsi="Times New Roman"/>
          <w:sz w:val="18"/>
          <w:szCs w:val="18"/>
          <w:color w:val="auto"/>
        </w:rPr>
        <w:t>In addition to our product development activities, we are also seeking to acquire approved brands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late-stage development product candidates to continue to build our portfolio. We seek under-promoted, FDA-approved drugs as well as late-stage development products that can improve patient care. We will continue to target product acquisition candidates that are competitively differentiated and have valuable intellectual property or other protective features. Our acquisitions of Vibativ and Sancuso are examples of the implementation of this strategy.</w:t>
      </w:r>
    </w:p>
    <w:p>
      <w:pPr>
        <w:spacing w:after="0" w:line="111"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Progressing our clinical pipeline and incubating future product opportunities at CET. </w:t>
      </w:r>
      <w:r>
        <w:rPr>
          <w:rFonts w:ascii="Times New Roman" w:cs="Times New Roman" w:eastAsia="Times New Roman" w:hAnsi="Times New Roman"/>
          <w:sz w:val="18"/>
          <w:szCs w:val="18"/>
          <w:color w:val="auto"/>
        </w:rPr>
        <w:t>We believe it is important to build a pipeline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innovative new product opportunities, as we are doing through our ifetroban Phase II development programs. We are also supplementing our acquisitions and late-stage development activities with the early-stage drug development activities with CET.</w:t>
      </w:r>
    </w:p>
    <w:p>
      <w:pPr>
        <w:spacing w:after="0" w:line="8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infrastructure through co-promotion partnerships. </w:t>
      </w:r>
      <w:r>
        <w:rPr>
          <w:rFonts w:ascii="Times New Roman" w:cs="Times New Roman" w:eastAsia="Times New Roman" w:hAnsi="Times New Roman"/>
          <w:sz w:val="18"/>
          <w:szCs w:val="18"/>
          <w:color w:val="auto"/>
        </w:rPr>
        <w:t>We believe that our commercial infrastructure can help drive prescription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volume and product sales. We also look for strategic partners that can complement our capabilities and enhance opportunities for our brands. For example, our co-promotion partnerships have allowed us to expand the support for Kristalose across the U.S.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Building an international contribution to our business. </w:t>
      </w:r>
      <w:r>
        <w:rPr>
          <w:rFonts w:ascii="Times New Roman" w:cs="Times New Roman" w:eastAsia="Times New Roman" w:hAnsi="Times New Roman"/>
          <w:sz w:val="18"/>
          <w:szCs w:val="18"/>
          <w:color w:val="auto"/>
        </w:rPr>
        <w:t>We have established our own commercial capabilities, including three sales divisions,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focus on the U.S. market for our products. We are also building a network of select international partners to register our products and make them available to patients in their countries. We will continue to develop and expand our network of international partners, while supporting our existing partners’ registration and commercialization efforts in their respective territories. The acquisition of Vibativ resulted in several new international partners and market opportunities.</w:t>
      </w:r>
    </w:p>
    <w:p>
      <w:pPr>
        <w:spacing w:after="0" w:line="11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Managing our operations with financial discipline. </w:t>
      </w:r>
      <w:r>
        <w:rPr>
          <w:rFonts w:ascii="Times New Roman" w:cs="Times New Roman" w:eastAsia="Times New Roman" w:hAnsi="Times New Roman"/>
          <w:sz w:val="18"/>
          <w:szCs w:val="18"/>
          <w:color w:val="auto"/>
        </w:rPr>
        <w:t>We continually work to manage our expenses in line with our revenues, to deliver positive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from operations. We seek to maintain favorable gross margins and a strong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Caldolor Special Report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implementing a strategy to increase awareness of our products and their attributes throughout the medical community. In March, a Special Report featuring Caldolor was published in Anesthesiology News, </w:t>
      </w:r>
      <w:r>
        <w:rPr>
          <w:rFonts w:ascii="Times New Roman" w:cs="Times New Roman" w:eastAsia="Times New Roman" w:hAnsi="Times New Roman"/>
          <w:sz w:val="18"/>
          <w:szCs w:val="18"/>
          <w:i w:val="1"/>
          <w:iCs w:val="1"/>
          <w:color w:val="auto"/>
        </w:rPr>
        <w:t>General Surgery News and Pharmacy Practice News</w:t>
      </w:r>
      <w:r>
        <w:rPr>
          <w:rFonts w:ascii="Times New Roman" w:cs="Times New Roman" w:eastAsia="Times New Roman" w:hAnsi="Times New Roman"/>
          <w:sz w:val="18"/>
          <w:szCs w:val="18"/>
          <w:color w:val="auto"/>
        </w:rPr>
        <w:t>. This new publication presented the growing amount of data supporting the use of our Caldolor (ibuprofen) injection as a standard of care for the treatment of pain and fever. The reports noted that as part of a comprehensive developmental plan, our intravenous ibuprofen was studied in various treatment areas, including surgical pain, fever and nonsurgical acute pain. The results, which are highlighted in the report, demonstrate that the product is a safe and effective treatment for pain and fever in adults, children and infants as young as 3 months of age.</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Pain management has become one of the most common health care problems. As this Special Report states, comprehensive multimodal pain regimens have become key in preventing pain and optimizing pain control, while minimizing the need for opioids. A non-steroidal anti-inflammatory drug, such as Caldolor, can provide a cornerstone for many treatment paradigms, and we are encouraged by the substantial database emerging from our studies in patients of all ages.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NOPAIN Act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announced in April 2023 that we expect that Caldolor will be eligible for special Medicare reimbursement under the </w:t>
      </w:r>
      <w:r>
        <w:rPr>
          <w:rFonts w:ascii="Times New Roman" w:cs="Times New Roman" w:eastAsia="Times New Roman" w:hAnsi="Times New Roman"/>
          <w:sz w:val="18"/>
          <w:szCs w:val="18"/>
          <w:i w:val="1"/>
          <w:iCs w:val="1"/>
          <w:color w:val="auto"/>
        </w:rPr>
        <w:t>Non-Opioids Prevent Addiction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Nation Act </w:t>
      </w:r>
      <w:r>
        <w:rPr>
          <w:rFonts w:ascii="Times New Roman" w:cs="Times New Roman" w:eastAsia="Times New Roman" w:hAnsi="Times New Roman"/>
          <w:sz w:val="18"/>
          <w:szCs w:val="18"/>
          <w:color w:val="auto"/>
        </w:rPr>
        <w:t>(the “NOPAIN Act”), which was enacted as part of the Consolidated Appropriations Act of 2023.</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NOPAIN Act requires Medicare to provide separate reimbursement for non-opioid products that are used to manage pain during surgeries conducted in hospital outpatient departments or in ambulatory surgical centers. The NOPAIN Act applies, in part, to products that are indicated to provide analgesia without acting upon the body’s opioid receptors. As a result, we expect that the NOPAIN Act will affect Medicare reimbursement for Caldolor, our non-opioid analgesic injection product.</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reimbursement for non-opioid pain alternatives under the NOPAIN Act will apply to those products that are furnished between January 1, 2025 and January 1, 2028. It is anticipated that in 2024, Centers for Medicare &amp; Medicaid Services (“CMS”) will issue regulations implementing the NOPAIN Act and detailing the conditions for, and amount of, the separate reimbursement.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 the Medicare Hospital Outpatient Prospective Payment System Proposed Rule, </w:t>
      </w:r>
      <w:r>
        <w:rPr>
          <w:rFonts w:ascii="Times New Roman" w:cs="Times New Roman" w:eastAsia="Times New Roman" w:hAnsi="Times New Roman"/>
          <w:sz w:val="18"/>
          <w:szCs w:val="18"/>
          <w:color w:val="auto"/>
        </w:rPr>
        <w:t>the CMS requested that manufacturers with potentially applicable non-opioid products submit comments and supporting clinical evidence regarding products that should be eligible for separate payment. We submitted a comment letter along with the requisite clinical information to the CMS in September 2023 explaining why Caldolor should be included and separately reimbursed. We now await information from CMS regarding the reimbursement status and price for the product.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Manufacturing &amp; Supplies of Sancuso</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acquiring U.S. rights to Sancuso, we successfully completed the transition from Kyowa Kirin to Cumberland in 2023, including the NDA transfer. A new facility was approved by the FDA for Sancuso and we have completed the manufacturing of Cumberland-packaged product there. We will begin shipping these new supplies of our Cumberland-branded product this year. We are supporting the product through our expanded oncology sales division to help cancer patients by addressing certain side effects associated with their chemotherapy treatments.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Vaprisol Supply Update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Demand for our Vaprisol product increased in 2020 during the pandemic, and we worked to support the expanded use of the product in hospitals and clinics during the health care crisis. In 2021, we shipped all remaining inventory of the product and notified the FDA that supplies of the product are not currently available. We have since transferred the manufacturing of the product to a new facility. Our new manufacturing and distribution partner, Nephron Pharmaceuticals (“Nephron”), is working with the FDA to address several Form 483 and warning letter issues in a timely manner.</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await FDA approval for making the branded product there, Nephron is providing a special supply of compounded product in support of critically ill patients. The companies will share in the sales of this compounded product. Vaprisol is the first and only intravenously administered vasopressin receptor antagonist. It is used to raise serum sodium levels in hospitalized patients with hyponatremia, the most common electrolyte disorder among such patients.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Omeclamox-Pak Supply Update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packager for Omeclamox-Pak encountered financial difficulties in 2020 due to the impact of the COVID-19 pandemic, and their operations were suspended. As a result, we depleted our inventory of the product and notified the FDA that it is currently unavailable. As we have not been able to identify an alternative site to package the product, we decided to discontinue it and expense the remaining brand intangible assets in late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Agreements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support our international partners in their efforts to register Vibativ in their countries.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late 2022, we announced a new partnership with Saudi Arabia-based Tabuk Pharmaceutical to introduce Vibativ into the Middle East. The arrangement provides Tabuk exclusive rights to distribute Vibativ in Saudi Arabia and Jordan, with the option to expand into other countries in the region. Tabuk has obtained approval for Vibativ in Saudi Arabia and we are now in discussions with them regarding their plans for the product in that country.</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Also in 2022, we entered into an agreement with D.B. Pharm to register and commercialize our Vibativ product in South Korea. D.B. Pharm also distributes our Caldolor product there. They filed for the approval of Vibativ in November 2022 and we have been supporting their efforts through the review process of their application in the country. The Korean regulatory authorities did not approve the submission, and indicated that additional manufacturing information will be required, which we will work with D.B. Pharm to address.</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Meanwhile, our Vibativ partner for the Chinese market, SciClone Pharmaceuticals, had their approval application in China accepted for review in September 2021. We have since been supporting SciClone and their requests associated with the review of that submission. They are working toward the approval and believe that there is significant potential for Vibativ in their country.</w:t>
      </w:r>
    </w:p>
    <w:p>
      <w:pPr>
        <w:spacing w:after="0" w:line="95" w:lineRule="exact"/>
        <w:rPr>
          <w:sz w:val="20"/>
          <w:szCs w:val="20"/>
          <w:color w:val="auto"/>
        </w:rPr>
      </w:pPr>
    </w:p>
    <w:p>
      <w:pPr>
        <w:ind w:right="120"/>
        <w:spacing w:after="0" w:line="422" w:lineRule="auto"/>
        <w:rPr>
          <w:sz w:val="20"/>
          <w:szCs w:val="20"/>
          <w:color w:val="auto"/>
        </w:rPr>
      </w:pPr>
      <w:r>
        <w:rPr>
          <w:rFonts w:ascii="Times New Roman" w:cs="Times New Roman" w:eastAsia="Times New Roman" w:hAnsi="Times New Roman"/>
          <w:sz w:val="18"/>
          <w:szCs w:val="18"/>
          <w:color w:val="auto"/>
        </w:rPr>
        <w:t xml:space="preserve">In April 2024, we terminated our license and commercialization agreement with Verity Pharmaceuticals for Vibativ in Puerto Rico due to material default. </w:t>
      </w:r>
      <w:r>
        <w:rPr>
          <w:rFonts w:ascii="Times New Roman" w:cs="Times New Roman" w:eastAsia="Times New Roman" w:hAnsi="Times New Roman"/>
          <w:sz w:val="18"/>
          <w:szCs w:val="18"/>
          <w:b w:val="1"/>
          <w:bCs w:val="1"/>
          <w:color w:val="auto"/>
        </w:rPr>
        <w:t>Ifetroban Clinical Studies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been evaluating our ifetroban product candidate, a selective thromboxane-prostanoid receptor antagonist, in a series of clinical studies. It has now been dosed in nearly 1,400 subjects and has been found to be safe and well tolerated in healthy volunteers and various patient populations. We have three Phase II clinical programs underway evaluating our ifetroban product candidate in patients with 1) Systemic Sclerosis or scleroderma, a debilitating autoimmune disorder characterized by diffuse fibrosis of the skin and internal organs, 2) cardiomyopathy associated with Duchenne Muscular Dystrophy, a rare, fatal, genetic neuromuscular disease results in deterioration of the skeletal, heart and lung muscles and 3) Idiopathic Pulmonary Fibrosis, the most common form of progressive fibrosing interstitial lung disease. This third program is our newest, with enrollment now underway.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completed a pilot Phase II study involving 1) patients suffering from Hepatorenal Syndrome, a life-threatening condition involving liver and kidney failure 2) patients with Portal Hypertension associated with chronic liver disease and 3) patients with Aspirin-Exacerbated Respiratory Disease, a severe form of asthma. There were no significant safety issues identified with the use of ifetroban in these patients.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pilot studies of ifetroban are underway, including several investigator-initiated trials.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plan going forward is to complete each of our Company-sponsored studies, analyze their final data, announce top-line results and decide on the best development path for the registration of ifetroban, which we continue to believe has the potential to benefit many patients with orphan diseases that represent unmet medical needs.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dedicated to our mission of working together to provide unique products that improve the quality of patient care – which we have pursued by building a portfolio of FDA-approved brands with outstanding safety and efficacy profiles that can make a difference in patients’ lives.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grow our portfolio of innovative and differentiated products through a multifaceted strategy that includes the development of new candidates as well as the acquisition of established brands. Our resulting, diversified product line has enabled us to weather external challenges while our team remains responsive to the evolving market.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future opportunities to carry out our mission throughout the remainder of the year and beyond.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see a discussion of our critical accounting policies and significant judgments and estimates in Note 1 to the Company's Condensed Consolidated Financial Statements accompanying this report and the section entitled “Management’s Discussion and Analysis of Financial Condition and Results of Operations” in our 2023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 and Judgments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generally accepted accounting principles requires management to make estimates, judgments and assumptions that affect the reported amounts of assets and liabilities and disclosure of contingent liabilities at the date of the financial statements and the reported amounts of revenues and expenses during the period. We base our estimates on past experience and on other factors we deem reasonable given the circumstances. Past results help form the basis of our judgments about the carrying value of assets and liabilities that cannot be determined from other sources. Actual results could differ from these estimates. The Company's most significant estimates include: (1) its allowances for chargebacks and accruals for rebates and product returns, (2) the allowances for obsolescent or unmarketable inventory and (3) valuation of contingent consideration liabilities associated with business combinations.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 compared to the three months ended March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unaudited interim statements of operations for continuing operations for the three months ended March 31, 2024 and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9,224,638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1,250,264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325,278</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4,154,588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4,277,318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(122,730)</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1,158,253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(341,417)</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2,367,907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2,498,993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(131,086)</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1,110,661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(119,410)</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10,366,951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10,756,316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(389,365)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(1,531,678)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(337,572)</w:t>
            </w: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96,746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46,556</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4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(1,847,065)</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(118,526)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67,827</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(1,891,030)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(2,070,254)</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(2,074,758)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revenues by product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2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Kristalose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3,195,609</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4,315,128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(1,119,519)</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Sancuso</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(59,024)</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Vibativ</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1,848,187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(242,698)</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Caldolor</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1,470,699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535,656</w:t>
            </w:r>
          </w:p>
        </w:tc>
      </w:tr>
      <w:tr>
        <w:trPr>
          <w:trHeight w:val="229"/>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Acetadote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(89,653)</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Vaprisol</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w:t>
            </w:r>
          </w:p>
        </w:tc>
      </w:tr>
      <w:tr>
        <w:trPr>
          <w:trHeight w:val="230"/>
        </w:trPr>
        <w:tc>
          <w:tcPr>
            <w:tcW w:w="5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Omeclamox-Pak</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0"/>
        </w:trPr>
        <w:tc>
          <w:tcPr>
            <w:tcW w:w="5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RediTrex</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(141,045)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176,601</w:t>
            </w:r>
          </w:p>
        </w:tc>
      </w:tr>
      <w:tr>
        <w:trPr>
          <w:trHeight w:val="229"/>
        </w:trPr>
        <w:tc>
          <w:tcPr>
            <w:tcW w:w="5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revenue</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197,186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78,143</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8,497,701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9,224,638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Net revenues for the three months ended March 31, 2024, were $8.5 million compared to $9.2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w:t>
      </w:r>
    </w:p>
    <w:p>
      <w:pPr>
        <w:spacing w:after="0" w:line="1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Kristalose revenue of $3.2 million for the first quarter of 2024, compared to $4.3 million for the same period in the prior year. The decrease was primarily the result of timing of shipments to one of our co-promotion partners.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Acetadote revenue includes net sales of our Acetadote brand and our share of net sales from our Authorized Generic. During the first quarter of 2024, there was a decrease of $0.09 million in the product's revenue when compared to the prior year period due to a decrease in shipments.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Vaprisol sales for the first quarter of 2024 as Cumberland is currently out of inventory of the product as we await FDA approval on a new manufacturer. The revenue stated represents our share of sales of the compounded product.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spacing w:after="0" w:line="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Caldolor revenue was $1.5 million for the first quarter of 2024, which was $0.5 million, or 57.3%, higher than the first quarter of 2023 primarily due to increased international shipments.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Vibativ revenue was $1.6 million for the three months ended March 31, 2024, a decrease of $0.2 million from the same prior year period. The slight decrease in net revenue of the product was the result of wholesaler buying patterns.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Sancuso revenue was $1.8 million for the first quarter of 2024, compared to $1.9 million for the first quarter of 2023. The decline resulted primarily from decreased sales volume, offset by improved pricing of the product.</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Omeclamox-Pak had no sales for the first quarter of 2024, as Cumberland has discontinued the sale of the product. Net revenue for the three months ended March 31, 2024, reflects sales deduction adjustments.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RediTrex sales in the first quarter of 2024, as Cumberland concluded our distribution of the product effective June 30, 2023. Net revenue for the three months ended March 31, 2024, reflects sales deduction adjustments.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was $0.3 million for the three months ended March 31, 2024, compared to $0.2 million for the three months ended March 31, 2023.</w:t>
      </w:r>
    </w:p>
    <w:p>
      <w:pPr>
        <w:spacing w:after="0" w:line="15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Cost of products sold for the first quarter of 2024 and 2023 were $1.6 million and $1.3 million, respectively. Cost of products sold,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net revenues, were 18.5% during the three months ended March 31, 2024, compared to 13.6% during the three months ended March 31, 2023. The increase is primarily due to international sales having higher manufacturing costs as a percent of sales.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 for the first quarter of 2024 decreased $0.1 million compared to the same period last year.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is primarily attributable to accrual adjustments.</w:t>
      </w:r>
    </w:p>
    <w:p>
      <w:pPr>
        <w:spacing w:after="0" w:line="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costs for the first quarter of 2024 and 2023 were $1.2 million and $1.5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our research and development costs is variable as we continue to fund the ongoing clinical initiatives associated with our pipeline product candidates. These variable costs depend on the number of active trials, study sites and patients as well as the cost per patient in each of our clinical programs. The decrease in research and development costs for the first quarter of 2024 resulted from a decrease in study costs accruals.</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for the first quarter of 2024 remained consistent with $2.4 million compared to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Vibativ:</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Vibativ</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1,605,489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1,848,187</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277,063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246,742</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478,473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519,608</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Vibativ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849,953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1,081,837</w:t>
            </w:r>
          </w:p>
        </w:tc>
      </w:tr>
      <w:tr>
        <w:trPr>
          <w:trHeight w:val="21"/>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Vibativ inventory included in the costs of product sold during the period was acquired and paid for by Cumberland as part of the acquisition of the brand during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statements of operations discussed above reflect the following impacts from Sancuso: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Impact of Sancuso</w:t>
            </w:r>
          </w:p>
        </w:tc>
        <w:tc>
          <w:tcPr>
            <w:tcW w:w="50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7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1,827,769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1,886,793</w:t>
            </w:r>
          </w:p>
        </w:tc>
      </w:tr>
      <w:tr>
        <w:trPr>
          <w:trHeight w:val="230"/>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products sold </w:t>
            </w:r>
            <w:r>
              <w:rPr>
                <w:rFonts w:ascii="Times New Roman" w:cs="Times New Roman" w:eastAsia="Times New Roman" w:hAnsi="Times New Roman"/>
                <w:sz w:val="23"/>
                <w:szCs w:val="23"/>
                <w:color w:val="auto"/>
                <w:vertAlign w:val="superscript"/>
              </w:rPr>
              <w:t>(1)</w:t>
            </w: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256,578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289,478</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Royalty and operating expenses</w:t>
            </w: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527,697</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415,707</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Sancuso contribution</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1,043,494</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1,181,608</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Sancuso inventory included in the costs of product sold during the period was acquired and paid for by Cumberland as part of the acquisition of the brand during 2022.</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Amortization. </w:t>
      </w:r>
      <w:r>
        <w:rPr>
          <w:rFonts w:ascii="Times New Roman" w:cs="Times New Roman" w:eastAsia="Times New Roman" w:hAnsi="Times New Roman"/>
          <w:sz w:val="18"/>
          <w:szCs w:val="18"/>
          <w:color w:val="auto"/>
        </w:rPr>
        <w:t>Amortization expense is the ratable use of our capitalized intangible assets including product and license rights, patents, trademarks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patent defense costs. Amortization for the three months ended March 31, 2024 and 2023, totaled approximately $1.1 million and $1.2 million, respectively. The decline in amortization expense resulted from the write down of Omeclamox Pak intangible assets as we discontinued the sales of the product in late 2023.</w:t>
      </w:r>
    </w:p>
    <w:p>
      <w:pPr>
        <w:spacing w:after="0" w:line="1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for the three months ended March 31, 2024, was comparable to the income tax expense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we had approximately $52.1 million in federal net operating loss carryforwards including approximately $44.1 million of net operating loss carryforwards resulting from the exercise of nonqualified stock options that have historically been used to significantly offset income tax obligations. We expect to continue to pay minimal income taxes during 2024 and beyond, through the continued utilization of these net operating loss carryforwards, on any taxable income generated from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cash equivalents, cash flows from operations and the amounts borrowed under our line of credit. We believe that our internally generated cash flows, existing working capital and our line of credit will be adequate to finance internal growth, finance business development initiatives, and fund capital expenditures for the foreseeable future.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liquidity and working capital as of March 31, 2024 and December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02"/>
        </w:trPr>
        <w:tc>
          <w:tcPr>
            <w:tcW w:w="66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9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r>
      <w:tr>
        <w:trPr>
          <w:trHeight w:val="22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18,548,485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18,321,624</w:t>
            </w:r>
          </w:p>
        </w:tc>
      </w:tr>
      <w:tr>
        <w:trPr>
          <w:trHeight w:val="209"/>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 (current assets less current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9,780,571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7,732,161</w:t>
            </w: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 (multiple of current assets to current liabilities)</w:t>
            </w:r>
          </w:p>
        </w:tc>
        <w:tc>
          <w:tcPr>
            <w:tcW w:w="3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62"/>
        </w:trPr>
        <w:tc>
          <w:tcPr>
            <w:tcW w:w="6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r>
      <w:tr>
        <w:trPr>
          <w:trHeight w:val="230"/>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line of credit availability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3,915,856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7,215,856</w:t>
            </w:r>
          </w:p>
        </w:tc>
      </w:tr>
      <w:tr>
        <w:trPr>
          <w:trHeight w:val="20"/>
        </w:trPr>
        <w:tc>
          <w:tcPr>
            <w:tcW w:w="6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changes in cash and cash equivalents for the three months ended March 31, 2024 and March 31, 2023:</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60" w:type="dxa"/>
            <w:vAlign w:val="bottom"/>
          </w:tcPr>
          <w:p>
            <w:pPr>
              <w:spacing w:after="0"/>
              <w:rPr>
                <w:sz w:val="20"/>
                <w:szCs w:val="20"/>
                <w:color w:val="auto"/>
              </w:rPr>
            </w:pPr>
          </w:p>
        </w:tc>
        <w:tc>
          <w:tcPr>
            <w:tcW w:w="36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90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Pr>
          <w:p>
            <w:pPr>
              <w:spacing w:after="0"/>
              <w:rPr>
                <w:sz w:val="19"/>
                <w:szCs w:val="19"/>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(2,136,647)</w:t>
            </w:r>
          </w:p>
        </w:tc>
        <w:tc>
          <w:tcPr>
            <w:tcW w:w="120" w:type="dxa"/>
            <w:vAlign w:val="bottom"/>
          </w:tcPr>
          <w:p>
            <w:pPr>
              <w:spacing w:after="0"/>
              <w:rPr>
                <w:sz w:val="19"/>
                <w:szCs w:val="19"/>
                <w:color w:val="auto"/>
              </w:rPr>
            </w:pP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(1,418,209)</w:t>
            </w:r>
          </w:p>
        </w:tc>
      </w:tr>
      <w:tr>
        <w:trPr>
          <w:trHeight w:val="23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(174,453)</w:t>
            </w:r>
          </w:p>
        </w:tc>
      </w:tr>
      <w:tr>
        <w:trPr>
          <w:trHeight w:val="23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2,421,694</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(1,779,142)</w:t>
            </w:r>
          </w:p>
        </w:tc>
      </w:tr>
      <w:tr>
        <w:trPr>
          <w:trHeight w:val="248"/>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226,861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(3,371,804)</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$0.2 million decrease in cash and cash equivalents for the three months ended March 31, 2024, was primarily attributable to cash provided by financing activities partially offset by used in operating activities.</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used by operating activities totaled $2.1 million for the three months ended March 31, 2024, primarily is due to the result of $1.9 million net loss, a $1.1 million increase in account receivable, and a $0.6 million in accounts payable and other current liabilities, partially offset by the add back of $1.4 million depreciation and amortization expense and stock base compensation expense of $0.1 million.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totaled $2.4 million for the three months ended March 31, 2024, is primarily due to $3.3 million borrowings net on line of credit, partially offset by the $0.6 million used for the payment of a Sancuso milestone, plus royalties on sales of Vibativ and Sancuso, and the $0.2 million in cash used to repurchase shares of our common stock.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5, 2023, the Company entered into a new Revolving Credit Loan Agreement with Pinnacle Bank. This facility provides for an aggregate principal funding amount of up to $25 million. The initial revolving line of credit is up to $20 million, with the ability for Cumberland to increase the amount to $25 million, under certain conditions. It has a three year term expiring on October 1, 2026. The interest rate is based on Benchmark (Term SOFR) plus a spread of 2.75%. Cumberland is subject to one financial covenant, the maintenance of a Funded Debt Ratio, determined on a quarterly basis. Borrowings under the line of credit are collateralized by substantially all of our assets.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(a) up to $20 million or (b) the sum of the Company's cash balances and eligible accounts receivable.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and 2023, we did not engage in any off-balance sheet arrangements.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on our cash on deposit in highly-liquid money market accounts and our revolving credit facility. We do not utilize derivative financial instruments or other market risk-sensitive instruments to manage exposure to interest rate changes. The main objective of our cash investment activities is to preserve principal while maximizing interest income through low-risk investments.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interest rate risk related to our cash and cash equivalents is not material. The risk related to interest rates for these accounts would produce less income than expected if market interest rates fall. Based on current interest rates, we do not believe we are exposed to significant downside risk related to a change in interest on our money market accounts at March 31, 2024.</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 risk related to borrowings under our line of credit was based on Term SOFR plus an interest rate spread. The pricing under the Pinnacle Agreement provides for an interest rate spread of 1.75% to 2.75% above Term SOFR with a minimum Term SOFR of 0.90%. The applicable interest rate under the Pinnacle Agreement was 8.125% at March 31, 2024. As of March 31, 2024, we had $16.1 million in borrowings outstanding under our revolving credit facility.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operate primarily in the United States, we are exposed to foreign currency risk. Currently, we do not utilize financial instruments to hedge exposure to foreign currency fluctuations. We believe our exposure to foreign currency fluctuation is minimal as our purchases in foreign currency have a maximum exposure of 90 days based on invoice terms with a portion of the exposure being limited to 30 days based on the due date of the invoice. Foreign currency exchange gains and losses were immaterial for the three months ended March 31, 2024 and 2023. Neither a five percent increase nor decrease from current exchange rates would have a material effect on our operating results or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Quarterly Report on Form 10-Q. Based on such evaluation, the Company’s Chief Executive Officer and Chief Financial Officer have concluded that, as of the end of such period, the Company’s disclosure controls and procedures were effective to provide reasonable assurance that information required to be disclosed by the Company in the reports that it files or submits under the Exchange Act is recorded, processed, summarized and reported, within the time periods specified in the SEC's rules and forms and is accumulated and communicated to the Company’s management, including its Chief Executive Officer and Chief Financial Officer, as appropriate to allow timely decisions regarding required disclosure.</w:t>
      </w:r>
    </w:p>
    <w:p>
      <w:pPr>
        <w:spacing w:after="0" w:line="12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there has not been any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4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Part I, Item 1. Financial Statements, Notes to Unaudited Condensed Consolidated Financial Statements, Note 9.</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an investor should consider the risk factors included in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have a share repurchase program to purchase up to $10 million of our common stock pursuant to Rule 10b-18 of the Exchange Act. In January 2019, our Board of Directors established the current $10 million repurchase program to replace the prior authorizations for repurchases of our outstanding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by month, during the three months ended March 31, 2024:</w:t>
      </w:r>
    </w:p>
    <w:p>
      <w:pPr>
        <w:spacing w:after="0" w:line="36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4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140" w:type="dxa"/>
            <w:vAlign w:val="bottom"/>
          </w:tcPr>
          <w:p>
            <w:pPr>
              <w:spacing w:after="0"/>
              <w:rPr>
                <w:sz w:val="13"/>
                <w:szCs w:val="13"/>
                <w:color w:val="auto"/>
              </w:rPr>
            </w:pPr>
          </w:p>
        </w:tc>
        <w:tc>
          <w:tcPr>
            <w:tcW w:w="200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8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Approximate Dollar</w:t>
            </w:r>
          </w:p>
        </w:tc>
        <w:tc>
          <w:tcPr>
            <w:tcW w:w="1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4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tcPr>
          <w:p>
            <w:pPr>
              <w:jc w:val="center"/>
              <w:ind w:right="142"/>
              <w:spacing w:after="0" w:line="135" w:lineRule="exact"/>
              <w:rPr>
                <w:sz w:val="20"/>
                <w:szCs w:val="20"/>
                <w:color w:val="auto"/>
              </w:rPr>
            </w:pPr>
            <w:r>
              <w:rPr>
                <w:rFonts w:ascii="Times New Roman" w:cs="Times New Roman" w:eastAsia="Times New Roman" w:hAnsi="Times New Roman"/>
                <w:sz w:val="14"/>
                <w:szCs w:val="14"/>
                <w:b w:val="1"/>
                <w:bCs w:val="1"/>
                <w:color w:val="auto"/>
              </w:rPr>
              <w:t>Value) of Shares (or</w:t>
            </w:r>
          </w:p>
        </w:tc>
        <w:tc>
          <w:tcPr>
            <w:tcW w:w="140" w:type="dxa"/>
            <w:vAlign w:val="bottom"/>
          </w:tcPr>
          <w:p>
            <w:pPr>
              <w:spacing w:after="0"/>
              <w:rPr>
                <w:sz w:val="11"/>
                <w:szCs w:val="11"/>
                <w:color w:val="auto"/>
              </w:rPr>
            </w:pPr>
          </w:p>
        </w:tc>
        <w:tc>
          <w:tcPr>
            <w:tcW w:w="200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2"/>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Purchased, which were also Part</w:t>
            </w: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88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Units) that May Yet Be</w:t>
            </w:r>
          </w:p>
        </w:tc>
        <w:tc>
          <w:tcPr>
            <w:tcW w:w="140" w:type="dxa"/>
            <w:vAlign w:val="bottom"/>
          </w:tcPr>
          <w:p>
            <w:pPr>
              <w:spacing w:after="0"/>
              <w:rPr>
                <w:sz w:val="12"/>
                <w:szCs w:val="12"/>
                <w:color w:val="auto"/>
              </w:rPr>
            </w:pPr>
          </w:p>
        </w:tc>
        <w:tc>
          <w:tcPr>
            <w:tcW w:w="2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that May be</w:t>
            </w:r>
          </w:p>
        </w:tc>
        <w:tc>
          <w:tcPr>
            <w:tcW w:w="0" w:type="dxa"/>
            <w:vAlign w:val="bottom"/>
          </w:tcPr>
          <w:p>
            <w:pPr>
              <w:spacing w:after="0"/>
              <w:rPr>
                <w:sz w:val="1"/>
                <w:szCs w:val="1"/>
                <w:color w:val="auto"/>
              </w:rPr>
            </w:pPr>
          </w:p>
        </w:tc>
      </w:tr>
      <w:tr>
        <w:trPr>
          <w:trHeight w:val="148"/>
        </w:trPr>
        <w:tc>
          <w:tcPr>
            <w:tcW w:w="214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500" w:type="dxa"/>
            <w:vAlign w:val="bottom"/>
            <w:gridSpan w:val="2"/>
          </w:tcPr>
          <w:p>
            <w:pPr>
              <w:jc w:val="center"/>
              <w:ind w:right="357"/>
              <w:spacing w:after="0" w:line="149" w:lineRule="exact"/>
              <w:rPr>
                <w:sz w:val="20"/>
                <w:szCs w:val="20"/>
                <w:color w:val="auto"/>
              </w:rPr>
            </w:pPr>
            <w:r>
              <w:rPr>
                <w:rFonts w:ascii="Times New Roman" w:cs="Times New Roman" w:eastAsia="Times New Roman" w:hAnsi="Times New Roman"/>
                <w:sz w:val="14"/>
                <w:szCs w:val="14"/>
                <w:b w:val="1"/>
                <w:bCs w:val="1"/>
                <w:color w:val="auto"/>
              </w:rPr>
              <w:t>of the Publicly Announced Plans</w:t>
            </w: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2"/>
                <w:szCs w:val="12"/>
                <w:color w:val="auto"/>
              </w:rPr>
            </w:pPr>
          </w:p>
        </w:tc>
        <w:tc>
          <w:tcPr>
            <w:tcW w:w="1880" w:type="dxa"/>
            <w:vAlign w:val="bottom"/>
          </w:tcPr>
          <w:p>
            <w:pPr>
              <w:jc w:val="center"/>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140" w:type="dxa"/>
            <w:vAlign w:val="bottom"/>
          </w:tcPr>
          <w:p>
            <w:pPr>
              <w:spacing w:after="0"/>
              <w:rPr>
                <w:sz w:val="12"/>
                <w:szCs w:val="12"/>
                <w:color w:val="auto"/>
              </w:rPr>
            </w:pPr>
          </w:p>
        </w:tc>
        <w:tc>
          <w:tcPr>
            <w:tcW w:w="20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Publicly</w:t>
            </w:r>
          </w:p>
        </w:tc>
        <w:tc>
          <w:tcPr>
            <w:tcW w:w="0" w:type="dxa"/>
            <w:vAlign w:val="bottom"/>
          </w:tcPr>
          <w:p>
            <w:pPr>
              <w:spacing w:after="0"/>
              <w:rPr>
                <w:sz w:val="1"/>
                <w:szCs w:val="1"/>
                <w:color w:val="auto"/>
              </w:rPr>
            </w:pPr>
          </w:p>
        </w:tc>
      </w:tr>
      <w:tr>
        <w:trPr>
          <w:trHeight w:val="196"/>
        </w:trPr>
        <w:tc>
          <w:tcPr>
            <w:tcW w:w="2140" w:type="dxa"/>
            <w:vAlign w:val="bottom"/>
            <w:gridSpan w:val="2"/>
            <w:vMerge w:val="continue"/>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42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220" w:type="dxa"/>
            <w:vAlign w:val="bottom"/>
          </w:tcPr>
          <w:p>
            <w:pPr>
              <w:spacing w:after="0"/>
              <w:rPr>
                <w:sz w:val="17"/>
                <w:szCs w:val="17"/>
                <w:color w:val="auto"/>
              </w:rPr>
            </w:pPr>
          </w:p>
        </w:tc>
        <w:tc>
          <w:tcPr>
            <w:tcW w:w="188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140" w:type="dxa"/>
            <w:vAlign w:val="bottom"/>
          </w:tcPr>
          <w:p>
            <w:pPr>
              <w:spacing w:after="0"/>
              <w:rPr>
                <w:sz w:val="17"/>
                <w:szCs w:val="17"/>
                <w:color w:val="auto"/>
              </w:rPr>
            </w:pPr>
          </w:p>
        </w:tc>
        <w:tc>
          <w:tcPr>
            <w:tcW w:w="2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Announced Plan</w:t>
            </w:r>
          </w:p>
        </w:tc>
        <w:tc>
          <w:tcPr>
            <w:tcW w:w="0" w:type="dxa"/>
            <w:vAlign w:val="bottom"/>
          </w:tcPr>
          <w:p>
            <w:pPr>
              <w:spacing w:after="0"/>
              <w:rPr>
                <w:sz w:val="1"/>
                <w:szCs w:val="1"/>
                <w:color w:val="auto"/>
              </w:rPr>
            </w:pPr>
          </w:p>
        </w:tc>
      </w:tr>
      <w:tr>
        <w:trPr>
          <w:trHeight w:val="229"/>
        </w:trPr>
        <w:tc>
          <w:tcPr>
            <w:tcW w:w="2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22,874</w:t>
            </w:r>
          </w:p>
        </w:tc>
        <w:tc>
          <w:tcPr>
            <w:tcW w:w="4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47,546</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2,957,839</w:t>
            </w:r>
          </w:p>
        </w:tc>
        <w:tc>
          <w:tcPr>
            <w:tcW w:w="0" w:type="dxa"/>
            <w:vAlign w:val="bottom"/>
          </w:tcPr>
          <w:p>
            <w:pPr>
              <w:spacing w:after="0"/>
              <w:rPr>
                <w:sz w:val="1"/>
                <w:szCs w:val="1"/>
                <w:color w:val="auto"/>
              </w:rPr>
            </w:pPr>
          </w:p>
        </w:tc>
      </w:tr>
      <w:tr>
        <w:trPr>
          <w:trHeight w:val="230"/>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22,630</w:t>
            </w:r>
          </w:p>
        </w:tc>
        <w:tc>
          <w:tcPr>
            <w:tcW w:w="4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48,775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2,909,064</w:t>
            </w:r>
          </w:p>
        </w:tc>
        <w:tc>
          <w:tcPr>
            <w:tcW w:w="0" w:type="dxa"/>
            <w:vAlign w:val="bottom"/>
          </w:tcPr>
          <w:p>
            <w:pPr>
              <w:spacing w:after="0"/>
              <w:rPr>
                <w:sz w:val="1"/>
                <w:szCs w:val="1"/>
                <w:color w:val="auto"/>
              </w:rPr>
            </w:pPr>
          </w:p>
        </w:tc>
      </w:tr>
      <w:tr>
        <w:trPr>
          <w:trHeight w:val="230"/>
        </w:trPr>
        <w:tc>
          <w:tcPr>
            <w:tcW w:w="2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80,366</w:t>
            </w:r>
          </w:p>
        </w:tc>
        <w:tc>
          <w:tcPr>
            <w:tcW w:w="42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2"/>
              </w:rPr>
              <w:t>(1)</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2,758,786</w:t>
            </w:r>
          </w:p>
        </w:tc>
        <w:tc>
          <w:tcPr>
            <w:tcW w:w="0" w:type="dxa"/>
            <w:vAlign w:val="bottom"/>
          </w:tcPr>
          <w:p>
            <w:pPr>
              <w:spacing w:after="0"/>
              <w:rPr>
                <w:sz w:val="1"/>
                <w:szCs w:val="1"/>
                <w:color w:val="auto"/>
              </w:rPr>
            </w:pPr>
          </w:p>
        </w:tc>
      </w:tr>
      <w:tr>
        <w:trPr>
          <w:trHeight w:val="223"/>
        </w:trPr>
        <w:tc>
          <w:tcPr>
            <w:tcW w:w="21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125,870</w:t>
            </w: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Of this amount,</w:t>
      </w:r>
      <w:r>
        <w:rPr>
          <w:sz w:val="1"/>
          <w:szCs w:val="1"/>
          <w:color w:val="auto"/>
        </w:rPr>
        <w:drawing>
          <wp:inline distT="0" distB="0" distL="0" distR="0">
            <wp:extent cx="26035" cy="9461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94615"/>
                    </a:xfrm>
                    <a:prstGeom prst="rect">
                      <a:avLst/>
                    </a:prstGeom>
                    <a:noFill/>
                    <a:ln>
                      <a:noFill/>
                    </a:ln>
                  </pic:spPr>
                </pic:pic>
              </a:graphicData>
            </a:graphic>
          </wp:inline>
        </w:drawing>
      </w:r>
      <w:r>
        <w:rPr>
          <w:rFonts w:ascii="Times New Roman" w:cs="Times New Roman" w:eastAsia="Times New Roman" w:hAnsi="Times New Roman"/>
          <w:sz w:val="14"/>
          <w:szCs w:val="14"/>
          <w:color w:val="auto"/>
        </w:rPr>
        <w:t>51,607 shares were repurchased directly in private purchases at the then-current fair market value of common stock.</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2024, the following officers and directors of the Company adopted trading plans intended to satisfy the affirmative defense conditions of Rule 10b5-1(c) under the Securities Exchange Act of 1934, as amended. The material items of the trading plan are set forth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Name of the Director or</w:t>
            </w:r>
          </w:p>
        </w:tc>
        <w:tc>
          <w:tcPr>
            <w:tcW w:w="2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 the Director or</w:t>
            </w: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Duration of the Trading</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Dollar Amount to</w:t>
            </w:r>
          </w:p>
        </w:tc>
        <w:tc>
          <w:tcPr>
            <w:tcW w:w="0" w:type="dxa"/>
            <w:vAlign w:val="bottom"/>
          </w:tcPr>
          <w:p>
            <w:pPr>
              <w:spacing w:after="0"/>
              <w:rPr>
                <w:sz w:val="1"/>
                <w:szCs w:val="1"/>
                <w:color w:val="auto"/>
              </w:rPr>
            </w:pPr>
          </w:p>
        </w:tc>
      </w:tr>
      <w:tr>
        <w:trPr>
          <w:trHeight w:val="175"/>
        </w:trPr>
        <w:tc>
          <w:tcPr>
            <w:tcW w:w="2340" w:type="dxa"/>
            <w:vAlign w:val="bottom"/>
            <w:gridSpan w:val="2"/>
            <w:vMerge w:val="continue"/>
          </w:tcPr>
          <w:p>
            <w:pPr>
              <w:spacing w:after="0"/>
              <w:rPr>
                <w:sz w:val="15"/>
                <w:szCs w:val="15"/>
                <w:color w:val="auto"/>
              </w:rPr>
            </w:pPr>
          </w:p>
        </w:tc>
        <w:tc>
          <w:tcPr>
            <w:tcW w:w="2360" w:type="dxa"/>
            <w:vAlign w:val="bottom"/>
            <w:gridSpan w:val="2"/>
            <w:vMerge w:val="continue"/>
          </w:tcPr>
          <w:p>
            <w:pPr>
              <w:spacing w:after="0"/>
              <w:rPr>
                <w:sz w:val="15"/>
                <w:szCs w:val="15"/>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Adoption</w:t>
            </w:r>
          </w:p>
        </w:tc>
        <w:tc>
          <w:tcPr>
            <w:tcW w:w="140" w:type="dxa"/>
            <w:vAlign w:val="bottom"/>
            <w:vMerge w:val="restart"/>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Used in the Purchase of</w:t>
            </w:r>
          </w:p>
        </w:tc>
        <w:tc>
          <w:tcPr>
            <w:tcW w:w="0" w:type="dxa"/>
            <w:vAlign w:val="bottom"/>
          </w:tcPr>
          <w:p>
            <w:pPr>
              <w:spacing w:after="0"/>
              <w:rPr>
                <w:sz w:val="1"/>
                <w:szCs w:val="1"/>
                <w:color w:val="auto"/>
              </w:rPr>
            </w:pPr>
          </w:p>
        </w:tc>
      </w:tr>
      <w:tr>
        <w:trPr>
          <w:trHeight w:val="243"/>
        </w:trPr>
        <w:tc>
          <w:tcPr>
            <w:tcW w:w="22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40" w:type="dxa"/>
            <w:vAlign w:val="bottom"/>
            <w:tcBorders>
              <w:bottom w:val="single" w:sz="8" w:color="CCEEFF"/>
            </w:tcBorders>
          </w:tcPr>
          <w:p>
            <w:pPr>
              <w:spacing w:after="0"/>
              <w:rPr>
                <w:sz w:val="21"/>
                <w:szCs w:val="21"/>
                <w:color w:val="auto"/>
              </w:rPr>
            </w:pPr>
          </w:p>
        </w:tc>
        <w:tc>
          <w:tcPr>
            <w:tcW w:w="2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4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vMerge w:val="continue"/>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20" w:type="dxa"/>
            <w:vAlign w:val="bottom"/>
            <w:tcBorders>
              <w:bottom w:val="single" w:sz="8" w:color="CCEEFF"/>
            </w:tcBorders>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Securities</w:t>
            </w:r>
          </w:p>
        </w:tc>
        <w:tc>
          <w:tcPr>
            <w:tcW w:w="0" w:type="dxa"/>
            <w:vAlign w:val="bottom"/>
          </w:tcPr>
          <w:p>
            <w:pPr>
              <w:spacing w:after="0"/>
              <w:rPr>
                <w:sz w:val="1"/>
                <w:szCs w:val="1"/>
                <w:color w:val="auto"/>
              </w:rPr>
            </w:pPr>
          </w:p>
        </w:tc>
      </w:tr>
      <w:tr>
        <w:trPr>
          <w:trHeight w:val="169"/>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 Kazimi</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20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13, 2024</w:t>
            </w:r>
          </w:p>
        </w:tc>
        <w:tc>
          <w:tcPr>
            <w:tcW w:w="20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June 13, 2024 - December</w:t>
            </w:r>
          </w:p>
        </w:tc>
        <w:tc>
          <w:tcPr>
            <w:tcW w:w="120" w:type="dxa"/>
            <w:vAlign w:val="bottom"/>
            <w:shd w:val="clear" w:color="auto" w:fill="CCEEFF"/>
          </w:tcPr>
          <w:p>
            <w:pPr>
              <w:spacing w:after="0"/>
              <w:rPr>
                <w:sz w:val="14"/>
                <w:szCs w:val="14"/>
                <w:color w:val="auto"/>
              </w:rPr>
            </w:pP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0" w:type="dxa"/>
            <w:vAlign w:val="bottom"/>
          </w:tcPr>
          <w:p>
            <w:pPr>
              <w:spacing w:after="0"/>
              <w:rPr>
                <w:sz w:val="1"/>
                <w:szCs w:val="1"/>
                <w:color w:val="auto"/>
              </w:rPr>
            </w:pPr>
          </w:p>
        </w:tc>
      </w:tr>
      <w:tr>
        <w:trPr>
          <w:trHeight w:val="149"/>
        </w:trPr>
        <w:tc>
          <w:tcPr>
            <w:tcW w:w="2340" w:type="dxa"/>
            <w:vAlign w:val="bottom"/>
            <w:gridSpan w:val="2"/>
            <w:vMerge w:val="continue"/>
            <w:shd w:val="clear" w:color="auto" w:fill="CCEEFF"/>
          </w:tcPr>
          <w:p>
            <w:pPr>
              <w:spacing w:after="0"/>
              <w:rPr>
                <w:sz w:val="12"/>
                <w:szCs w:val="12"/>
                <w:color w:val="auto"/>
              </w:rPr>
            </w:pPr>
          </w:p>
        </w:tc>
        <w:tc>
          <w:tcPr>
            <w:tcW w:w="2360" w:type="dxa"/>
            <w:vAlign w:val="bottom"/>
            <w:gridSpan w:val="2"/>
            <w:vMerge w:val="continue"/>
            <w:shd w:val="clear" w:color="auto" w:fill="CCEEFF"/>
          </w:tcPr>
          <w:p>
            <w:pPr>
              <w:spacing w:after="0"/>
              <w:rPr>
                <w:sz w:val="12"/>
                <w:szCs w:val="12"/>
                <w:color w:val="auto"/>
              </w:rPr>
            </w:pPr>
          </w:p>
        </w:tc>
        <w:tc>
          <w:tcPr>
            <w:tcW w:w="2080" w:type="dxa"/>
            <w:vAlign w:val="bottom"/>
            <w:gridSpan w:val="2"/>
            <w:vMerge w:val="continue"/>
            <w:shd w:val="clear" w:color="auto" w:fill="CCEEFF"/>
          </w:tcPr>
          <w:p>
            <w:pPr>
              <w:spacing w:after="0"/>
              <w:rPr>
                <w:sz w:val="12"/>
                <w:szCs w:val="12"/>
                <w:color w:val="auto"/>
              </w:rPr>
            </w:pP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20, 2024</w:t>
            </w:r>
          </w:p>
        </w:tc>
        <w:tc>
          <w:tcPr>
            <w:tcW w:w="120" w:type="dxa"/>
            <w:vAlign w:val="bottom"/>
            <w:shd w:val="clear" w:color="auto" w:fill="CCEEFF"/>
          </w:tcPr>
          <w:p>
            <w:pPr>
              <w:spacing w:after="0"/>
              <w:rPr>
                <w:sz w:val="12"/>
                <w:szCs w:val="12"/>
                <w:color w:val="auto"/>
              </w:rPr>
            </w:pPr>
          </w:p>
        </w:tc>
        <w:tc>
          <w:tcPr>
            <w:tcW w:w="2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Kenneth J. Krogulski</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13, 2024</w:t>
            </w:r>
          </w:p>
        </w:tc>
        <w:tc>
          <w:tcPr>
            <w:tcW w:w="22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rPr>
              <w:t>June 13, 2024 - December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$50,000</w:t>
            </w:r>
          </w:p>
        </w:tc>
        <w:tc>
          <w:tcPr>
            <w:tcW w:w="0" w:type="dxa"/>
            <w:vAlign w:val="bottom"/>
          </w:tcPr>
          <w:p>
            <w:pPr>
              <w:spacing w:after="0"/>
              <w:rPr>
                <w:sz w:val="1"/>
                <w:szCs w:val="1"/>
                <w:color w:val="auto"/>
              </w:rPr>
            </w:pPr>
          </w:p>
        </w:tc>
      </w:tr>
      <w:tr>
        <w:trPr>
          <w:trHeight w:val="149"/>
        </w:trPr>
        <w:tc>
          <w:tcPr>
            <w:tcW w:w="2340" w:type="dxa"/>
            <w:vAlign w:val="bottom"/>
            <w:gridSpan w:val="2"/>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20, 2024</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Jamie R. Jones</w:t>
            </w:r>
          </w:p>
        </w:tc>
        <w:tc>
          <w:tcPr>
            <w:tcW w:w="2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13, 2024</w:t>
            </w:r>
          </w:p>
        </w:tc>
        <w:tc>
          <w:tcPr>
            <w:tcW w:w="2200" w:type="dxa"/>
            <w:vAlign w:val="bottom"/>
            <w:gridSpan w:val="2"/>
            <w:shd w:val="clear" w:color="auto" w:fill="CCEEFF"/>
          </w:tcPr>
          <w:p>
            <w:pPr>
              <w:jc w:val="center"/>
              <w:ind w:right="140"/>
              <w:spacing w:after="0" w:line="180" w:lineRule="exact"/>
              <w:rPr>
                <w:sz w:val="20"/>
                <w:szCs w:val="20"/>
                <w:color w:val="auto"/>
              </w:rPr>
            </w:pPr>
            <w:r>
              <w:rPr>
                <w:rFonts w:ascii="Times New Roman" w:cs="Times New Roman" w:eastAsia="Times New Roman" w:hAnsi="Times New Roman"/>
                <w:sz w:val="18"/>
                <w:szCs w:val="18"/>
                <w:color w:val="auto"/>
              </w:rPr>
              <w:t>June 13, 2024 - December</w:t>
            </w:r>
          </w:p>
        </w:tc>
        <w:tc>
          <w:tcPr>
            <w:tcW w:w="2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0" w:type="dxa"/>
            <w:vAlign w:val="bottom"/>
          </w:tcPr>
          <w:p>
            <w:pPr>
              <w:spacing w:after="0"/>
              <w:rPr>
                <w:sz w:val="1"/>
                <w:szCs w:val="1"/>
                <w:color w:val="auto"/>
              </w:rPr>
            </w:pPr>
          </w:p>
        </w:tc>
      </w:tr>
      <w:tr>
        <w:trPr>
          <w:trHeight w:val="148"/>
        </w:trPr>
        <w:tc>
          <w:tcPr>
            <w:tcW w:w="2340" w:type="dxa"/>
            <w:vAlign w:val="bottom"/>
            <w:gridSpan w:val="2"/>
            <w:vMerge w:val="continue"/>
            <w:shd w:val="clear" w:color="auto" w:fill="CCEEFF"/>
          </w:tcPr>
          <w:p>
            <w:pPr>
              <w:spacing w:after="0"/>
              <w:rPr>
                <w:sz w:val="12"/>
                <w:szCs w:val="12"/>
                <w:color w:val="auto"/>
              </w:rPr>
            </w:pPr>
          </w:p>
        </w:tc>
        <w:tc>
          <w:tcPr>
            <w:tcW w:w="2360" w:type="dxa"/>
            <w:vAlign w:val="bottom"/>
            <w:gridSpan w:val="2"/>
            <w:vMerge w:val="continue"/>
            <w:shd w:val="clear" w:color="auto" w:fill="CCEEFF"/>
          </w:tcPr>
          <w:p>
            <w:pPr>
              <w:spacing w:after="0"/>
              <w:rPr>
                <w:sz w:val="12"/>
                <w:szCs w:val="12"/>
                <w:color w:val="auto"/>
              </w:rPr>
            </w:pPr>
          </w:p>
        </w:tc>
        <w:tc>
          <w:tcPr>
            <w:tcW w:w="2080" w:type="dxa"/>
            <w:vAlign w:val="bottom"/>
            <w:gridSpan w:val="2"/>
            <w:vMerge w:val="continue"/>
            <w:shd w:val="clear" w:color="auto" w:fill="CCEEFF"/>
          </w:tcPr>
          <w:p>
            <w:pPr>
              <w:spacing w:after="0"/>
              <w:rPr>
                <w:sz w:val="12"/>
                <w:szCs w:val="12"/>
                <w:color w:val="auto"/>
              </w:rPr>
            </w:pP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20, 2024</w:t>
            </w:r>
          </w:p>
        </w:tc>
        <w:tc>
          <w:tcPr>
            <w:tcW w:w="120" w:type="dxa"/>
            <w:vAlign w:val="bottom"/>
            <w:shd w:val="clear" w:color="auto" w:fill="CCEEFF"/>
          </w:tcPr>
          <w:p>
            <w:pPr>
              <w:spacing w:after="0"/>
              <w:rPr>
                <w:sz w:val="12"/>
                <w:szCs w:val="12"/>
                <w:color w:val="auto"/>
              </w:rPr>
            </w:pPr>
          </w:p>
        </w:tc>
        <w:tc>
          <w:tcPr>
            <w:tcW w:w="2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Caroline R. Young</w:t>
            </w:r>
          </w:p>
        </w:tc>
        <w:tc>
          <w:tcPr>
            <w:tcW w:w="2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0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March 13, 2024</w:t>
            </w:r>
          </w:p>
        </w:tc>
        <w:tc>
          <w:tcPr>
            <w:tcW w:w="220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rPr>
              <w:t>June 13, 2024 - December</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49"/>
        </w:trPr>
        <w:tc>
          <w:tcPr>
            <w:tcW w:w="2340" w:type="dxa"/>
            <w:vAlign w:val="bottom"/>
            <w:gridSpan w:val="2"/>
            <w:vMerge w:val="continue"/>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20, 2024</w:t>
            </w:r>
          </w:p>
        </w:tc>
        <w:tc>
          <w:tcPr>
            <w:tcW w:w="12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Amendment to Revolving Credit Loan Agreement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6, 2024, the Company entered into a First Amendment to the Loan Agreement which provides an alternative to the financial covenant by delivering to the lender a borrowing base certificate and complying with certain borrowing base requirements which set forth a maximum revolver amount equal to (a) up to $20 million or (b) the sum of the Company's cash balances and eligible accounts receivable.</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3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Sales Agreement, dated March 20, 2024, by and between Cumberland Pharmaceuticals Inc. and H.C. Wainwright &amp; Co., LLC,</w:t>
              </w:r>
            </w:hyperlink>
          </w:p>
        </w:tc>
      </w:tr>
      <w:tr>
        <w:trPr>
          <w:trHeight w:val="156"/>
        </w:trPr>
        <w:tc>
          <w:tcPr>
            <w:tcW w:w="1580" w:type="dxa"/>
            <w:vAlign w:val="bottom"/>
          </w:tcPr>
          <w:p>
            <w:pPr>
              <w:spacing w:after="0"/>
              <w:rPr>
                <w:sz w:val="13"/>
                <w:szCs w:val="13"/>
                <w:color w:val="auto"/>
              </w:rPr>
            </w:pPr>
          </w:p>
        </w:tc>
        <w:tc>
          <w:tcPr>
            <w:tcW w:w="98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39">
              <w:r>
                <w:rPr>
                  <w:rFonts w:ascii="Times New Roman" w:cs="Times New Roman" w:eastAsia="Times New Roman" w:hAnsi="Times New Roman"/>
                  <w:sz w:val="18"/>
                  <w:szCs w:val="18"/>
                  <w:color w:val="0000FF"/>
                </w:rPr>
                <w:t>incorporated herein by reference to Exhibit 1.1 of the Company’s Form 8-K (File No:001-33637) as filed with the SEC on March</w:t>
              </w:r>
            </w:hyperlink>
          </w:p>
        </w:tc>
        <w:tc>
          <w:tcPr>
            <w:tcW w:w="20" w:type="dxa"/>
            <w:vAlign w:val="bottom"/>
          </w:tcPr>
          <w:p>
            <w:pPr>
              <w:spacing w:after="0"/>
              <w:rPr>
                <w:sz w:val="13"/>
                <w:szCs w:val="13"/>
                <w:color w:val="auto"/>
              </w:rPr>
            </w:pPr>
          </w:p>
        </w:tc>
      </w:tr>
      <w:tr>
        <w:trPr>
          <w:trHeight w:val="169"/>
        </w:trPr>
        <w:tc>
          <w:tcPr>
            <w:tcW w:w="1580" w:type="dxa"/>
            <w:vAlign w:val="bottom"/>
          </w:tcPr>
          <w:p>
            <w:pPr>
              <w:spacing w:after="0"/>
              <w:rPr>
                <w:sz w:val="14"/>
                <w:szCs w:val="14"/>
                <w:color w:val="auto"/>
              </w:rPr>
            </w:pPr>
          </w:p>
        </w:tc>
        <w:tc>
          <w:tcPr>
            <w:tcW w:w="68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7"/>
              </w:rPr>
            </w:pPr>
            <w:hyperlink r:id="rId39">
              <w:r>
                <w:rPr>
                  <w:rFonts w:ascii="Times New Roman" w:cs="Times New Roman" w:eastAsia="Times New Roman" w:hAnsi="Times New Roman"/>
                  <w:sz w:val="18"/>
                  <w:szCs w:val="18"/>
                  <w:color w:val="0000FF"/>
                  <w:w w:val="97"/>
                </w:rPr>
                <w:t>20, 2024.</w:t>
              </w:r>
            </w:hyperlink>
          </w:p>
        </w:tc>
        <w:tc>
          <w:tcPr>
            <w:tcW w:w="22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56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Employment Agreement dated March 8, 2024, effective as of January 1, 2024, by and between A.J. Kazimi and Cumberland</w:t>
              </w:r>
            </w:hyperlink>
          </w:p>
        </w:tc>
      </w:tr>
      <w:tr>
        <w:trPr>
          <w:trHeight w:val="156"/>
        </w:trPr>
        <w:tc>
          <w:tcPr>
            <w:tcW w:w="1580" w:type="dxa"/>
            <w:vAlign w:val="bottom"/>
          </w:tcPr>
          <w:p>
            <w:pPr>
              <w:spacing w:after="0"/>
              <w:rPr>
                <w:sz w:val="13"/>
                <w:szCs w:val="13"/>
                <w:color w:val="auto"/>
              </w:rPr>
            </w:pPr>
          </w:p>
        </w:tc>
        <w:tc>
          <w:tcPr>
            <w:tcW w:w="95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40">
              <w:r>
                <w:rPr>
                  <w:rFonts w:ascii="Times New Roman" w:cs="Times New Roman" w:eastAsia="Times New Roman" w:hAnsi="Times New Roman"/>
                  <w:sz w:val="18"/>
                  <w:szCs w:val="18"/>
                  <w:color w:val="0000FF"/>
                </w:rPr>
                <w:t>Pharmaceuticals Inc., incorporated herein by reference to Exhibit 10.11 of the Company’s Annual Report on Form 10-K (File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80" w:type="dxa"/>
            <w:vAlign w:val="bottom"/>
          </w:tcPr>
          <w:p>
            <w:pPr>
              <w:spacing w:after="0"/>
              <w:rPr>
                <w:sz w:val="14"/>
                <w:szCs w:val="14"/>
                <w:color w:val="auto"/>
              </w:rPr>
            </w:pPr>
          </w:p>
        </w:tc>
        <w:tc>
          <w:tcPr>
            <w:tcW w:w="388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001-33637) as filed with the SEC on March 13, 2024.</w:t>
              </w:r>
            </w:hyperlink>
          </w:p>
        </w:tc>
        <w:tc>
          <w:tcPr>
            <w:tcW w:w="57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Employment Agreement dated March 8, 2024, effective as of January 1, 2024, by and between Jim Herman and Cumberland</w:t>
              </w:r>
            </w:hyperlink>
          </w:p>
        </w:tc>
      </w:tr>
      <w:tr>
        <w:trPr>
          <w:trHeight w:val="156"/>
        </w:trPr>
        <w:tc>
          <w:tcPr>
            <w:tcW w:w="1580" w:type="dxa"/>
            <w:vAlign w:val="bottom"/>
          </w:tcPr>
          <w:p>
            <w:pPr>
              <w:spacing w:after="0"/>
              <w:rPr>
                <w:sz w:val="13"/>
                <w:szCs w:val="13"/>
                <w:color w:val="auto"/>
              </w:rPr>
            </w:pPr>
          </w:p>
        </w:tc>
        <w:tc>
          <w:tcPr>
            <w:tcW w:w="97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Pharmaceuticals Inc. incorporated herein by reference to Exhibit 10.12 of the Company’s Annual Report on Form 10-K (File No.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8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41">
              <w:r>
                <w:rPr>
                  <w:rFonts w:ascii="Times New Roman" w:cs="Times New Roman" w:eastAsia="Times New Roman" w:hAnsi="Times New Roman"/>
                  <w:sz w:val="18"/>
                  <w:szCs w:val="18"/>
                  <w:color w:val="0000FF"/>
                  <w:w w:val="99"/>
                </w:rPr>
                <w:t>001-33637) as filed with the SEC on March 13, 2024.</w:t>
              </w:r>
            </w:hyperlink>
          </w:p>
        </w:tc>
        <w:tc>
          <w:tcPr>
            <w:tcW w:w="582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Employment Agreement dated March 8, 2024, effective as of January 1, 2024, by and between Todd Anthony and Cumberland</w:t>
              </w:r>
            </w:hyperlink>
          </w:p>
        </w:tc>
      </w:tr>
      <w:tr>
        <w:trPr>
          <w:trHeight w:val="156"/>
        </w:trPr>
        <w:tc>
          <w:tcPr>
            <w:tcW w:w="158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Pharmaceuticals Inc., incorporated herein by reference to Exhibit 10.13 of the Company’s Annual Report on Form 10-K (File No.</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80" w:type="dxa"/>
            <w:vAlign w:val="bottom"/>
          </w:tcPr>
          <w:p>
            <w:pPr>
              <w:spacing w:after="0"/>
              <w:rPr>
                <w:sz w:val="14"/>
                <w:szCs w:val="14"/>
                <w:color w:val="auto"/>
              </w:rPr>
            </w:pPr>
          </w:p>
        </w:tc>
        <w:tc>
          <w:tcPr>
            <w:tcW w:w="388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42">
              <w:r>
                <w:rPr>
                  <w:rFonts w:ascii="Times New Roman" w:cs="Times New Roman" w:eastAsia="Times New Roman" w:hAnsi="Times New Roman"/>
                  <w:sz w:val="18"/>
                  <w:szCs w:val="18"/>
                  <w:color w:val="0000FF"/>
                  <w:w w:val="99"/>
                </w:rPr>
                <w:t>001-33637) as filed with the SEC on March 13, 2024.</w:t>
              </w:r>
            </w:hyperlink>
          </w:p>
        </w:tc>
        <w:tc>
          <w:tcPr>
            <w:tcW w:w="5880" w:type="dxa"/>
            <w:vAlign w:val="bottom"/>
            <w:gridSpan w:val="1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Employment Agreement dated March 7, 2024, effective as of January 1, 2024, by and between Chris Bitterman and Cumberland</w:t>
              </w:r>
            </w:hyperlink>
          </w:p>
        </w:tc>
      </w:tr>
      <w:tr>
        <w:trPr>
          <w:trHeight w:val="156"/>
        </w:trPr>
        <w:tc>
          <w:tcPr>
            <w:tcW w:w="1580" w:type="dxa"/>
            <w:vAlign w:val="bottom"/>
          </w:tcPr>
          <w:p>
            <w:pPr>
              <w:spacing w:after="0"/>
              <w:rPr>
                <w:sz w:val="13"/>
                <w:szCs w:val="13"/>
                <w:color w:val="auto"/>
              </w:rPr>
            </w:pPr>
          </w:p>
        </w:tc>
        <w:tc>
          <w:tcPr>
            <w:tcW w:w="97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Pharmaceuticals Inc., incorporated herein by reference to Exhibit 10.14 of the Company’s Annual Report on Form 10-K (File No.</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8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001-33637) as filed with the SEC on March 13, 2024.</w:t>
              </w:r>
            </w:hyperlink>
          </w:p>
        </w:tc>
        <w:tc>
          <w:tcPr>
            <w:tcW w:w="58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820" w:type="dxa"/>
            <w:vAlign w:val="bottom"/>
            <w:gridSpan w:val="19"/>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Employment Agreement dated March 7, 2024, effective as of January 1, 2024, by and between John M. Hamm and Cumberland</w:t>
              </w:r>
            </w:hyperlink>
          </w:p>
        </w:tc>
      </w:tr>
      <w:tr>
        <w:trPr>
          <w:trHeight w:val="156"/>
        </w:trPr>
        <w:tc>
          <w:tcPr>
            <w:tcW w:w="1580" w:type="dxa"/>
            <w:vAlign w:val="bottom"/>
          </w:tcPr>
          <w:p>
            <w:pPr>
              <w:spacing w:after="0"/>
              <w:rPr>
                <w:sz w:val="13"/>
                <w:szCs w:val="13"/>
                <w:color w:val="auto"/>
              </w:rPr>
            </w:pPr>
          </w:p>
        </w:tc>
        <w:tc>
          <w:tcPr>
            <w:tcW w:w="96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Pharmaceuticals Inc., incorporated herein by reference to Exhibit 10.15 of the Company’s Annual Report on Form 10-K (File No.</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9"/>
        </w:trPr>
        <w:tc>
          <w:tcPr>
            <w:tcW w:w="1580" w:type="dxa"/>
            <w:vAlign w:val="bottom"/>
          </w:tcPr>
          <w:p>
            <w:pPr>
              <w:spacing w:after="0"/>
              <w:rPr>
                <w:sz w:val="14"/>
                <w:szCs w:val="14"/>
                <w:color w:val="auto"/>
              </w:rPr>
            </w:pPr>
          </w:p>
        </w:tc>
        <w:tc>
          <w:tcPr>
            <w:tcW w:w="38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001-33637) as filed with the SEC on March 13, 2024.</w:t>
              </w:r>
            </w:hyperlink>
          </w:p>
        </w:tc>
        <w:tc>
          <w:tcPr>
            <w:tcW w:w="588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First Amendment to Amended and Restated Revolving Credit Loan Agreement, dated March 31, 2024, by and between Cumberland</w:t>
            </w:r>
          </w:p>
        </w:tc>
      </w:tr>
      <w:tr>
        <w:trPr>
          <w:trHeight w:val="156"/>
        </w:trPr>
        <w:tc>
          <w:tcPr>
            <w:tcW w:w="158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Pharmaceuticals Inc. and Pinnacle Bank</w:t>
            </w:r>
          </w:p>
        </w:tc>
        <w:tc>
          <w:tcPr>
            <w:tcW w:w="688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72"/>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13-14(a) of the Securities Exchange Act of 1934 as Adopted Pursuant to</w:t>
            </w:r>
          </w:p>
        </w:tc>
      </w:tr>
      <w:tr>
        <w:trPr>
          <w:trHeight w:val="155"/>
        </w:trPr>
        <w:tc>
          <w:tcPr>
            <w:tcW w:w="158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6100" w:type="dxa"/>
            <w:vAlign w:val="bottom"/>
            <w:tcBorders>
              <w:top w:val="single" w:sz="8" w:color="0000FF"/>
            </w:tcBorders>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72"/>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13-14(a) of the Securities Exchange Act of 1934 as Adopted Pursuant to</w:t>
            </w:r>
          </w:p>
        </w:tc>
      </w:tr>
      <w:tr>
        <w:trPr>
          <w:trHeight w:val="155"/>
        </w:trPr>
        <w:tc>
          <w:tcPr>
            <w:tcW w:w="158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6220" w:type="dxa"/>
            <w:vAlign w:val="bottom"/>
            <w:tcBorders>
              <w:top w:val="single" w:sz="8" w:color="0000FF"/>
            </w:tcBorders>
            <w:gridSpan w:val="8"/>
          </w:tcPr>
          <w:p>
            <w:pPr>
              <w:spacing w:after="0"/>
              <w:rPr>
                <w:sz w:val="13"/>
                <w:szCs w:val="13"/>
                <w:color w:val="auto"/>
              </w:rPr>
            </w:pPr>
          </w:p>
        </w:tc>
        <w:tc>
          <w:tcPr>
            <w:tcW w:w="140" w:type="dxa"/>
            <w:vAlign w:val="bottom"/>
            <w:gridSpan w:val="7"/>
          </w:tcPr>
          <w:p>
            <w:pPr>
              <w:spacing w:after="0"/>
              <w:rPr>
                <w:sz w:val="13"/>
                <w:szCs w:val="13"/>
                <w:color w:val="auto"/>
              </w:rPr>
            </w:pPr>
          </w:p>
        </w:tc>
      </w:tr>
      <w:tr>
        <w:trPr>
          <w:trHeight w:val="37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Executive and Principal Financial Officer Pursuant to 18 U.S.C. Section 1350, as Adopted Pursuant to Section</w:t>
            </w:r>
          </w:p>
        </w:tc>
      </w:tr>
      <w:tr>
        <w:trPr>
          <w:trHeight w:val="156"/>
        </w:trPr>
        <w:tc>
          <w:tcPr>
            <w:tcW w:w="158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6760" w:type="dxa"/>
            <w:vAlign w:val="bottom"/>
            <w:tcBorders>
              <w:top w:val="single" w:sz="8" w:color="0000FF"/>
            </w:tcBorders>
            <w:gridSpan w:val="8"/>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35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r>
      <w:tr>
        <w:trPr>
          <w:trHeight w:val="234"/>
        </w:trPr>
        <w:tc>
          <w:tcPr>
            <w:tcW w:w="1580" w:type="dxa"/>
            <w:vAlign w:val="bottom"/>
          </w:tcPr>
          <w:p>
            <w:pPr>
              <w:spacing w:after="0"/>
              <w:rPr>
                <w:sz w:val="20"/>
                <w:szCs w:val="20"/>
                <w:color w:val="auto"/>
              </w:rPr>
            </w:pP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 WITHIN THE INLINE XBRL DOCUMENT.</w:t>
            </w:r>
          </w:p>
        </w:tc>
      </w:tr>
      <w:tr>
        <w:trPr>
          <w:trHeight w:val="387"/>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78"/>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44" w:lineRule="exact"/>
        <w:rPr>
          <w:sz w:val="20"/>
          <w:szCs w:val="20"/>
          <w:color w:val="auto"/>
        </w:rPr>
      </w:pPr>
    </w:p>
    <w:p>
      <w:pPr>
        <w:ind w:left="1140" w:right="780" w:hanging="1114"/>
        <w:spacing w:after="0" w:line="355" w:lineRule="auto"/>
        <w:tabs>
          <w:tab w:leader="none" w:pos="15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ind w:left="1580" w:hanging="447"/>
        <w:spacing w:after="0"/>
        <w:tabs>
          <w:tab w:leader="none" w:pos="15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59" w:right="41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686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50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2024</w:t>
            </w:r>
          </w:p>
        </w:tc>
        <w:tc>
          <w:tcPr>
            <w:tcW w:w="25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 John Hamm</w:t>
            </w:r>
          </w:p>
        </w:tc>
      </w:tr>
      <w:tr>
        <w:trPr>
          <w:trHeight w:val="218"/>
        </w:trPr>
        <w:tc>
          <w:tcPr>
            <w:tcW w:w="35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35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Chief Financial Officer and Duly 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1251" w:right="379" w:bottom="1440" w:gutter="0" w:footer="0" w:header="0"/>
        </w:sectPr>
      </w:pPr>
    </w:p>
    <w:bookmarkStart w:id="31" w:name="page32"/>
    <w:bookmarkEnd w:id="31"/>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REVOLVING CREDIT LOAN AGREEMENT</w:t>
      </w:r>
    </w:p>
    <w:p>
      <w:pPr>
        <w:spacing w:after="0" w:line="3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FIRST AMENDMENT TO AMENDED AND RESTATED REVOLVING CREDIT LOAN AGREEMENT (this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is entered into as of March 31, 2024, by and between CUMBERLAND PHARMACEUTICALS INC., a Tennessee corporation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PINNACLE BANK, a Tennessee banking corporation (the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33" w:lineRule="exact"/>
        <w:rPr>
          <w:sz w:val="20"/>
          <w:szCs w:val="20"/>
          <w:color w:val="auto"/>
        </w:rPr>
      </w:pPr>
    </w:p>
    <w:p>
      <w:pPr>
        <w:ind w:firstLine="463"/>
        <w:spacing w:after="0" w:line="295" w:lineRule="auto"/>
        <w:tabs>
          <w:tab w:leader="none" w:pos="85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Borrower and Lender entered into that certain Amended and Restated Revolving Credit Loan Agreement dated as of September 5, 2023 (the “</w:t>
      </w:r>
      <w:r>
        <w:rPr>
          <w:rFonts w:ascii="Times New Roman" w:cs="Times New Roman" w:eastAsia="Times New Roman" w:hAnsi="Times New Roman"/>
          <w:sz w:val="19"/>
          <w:szCs w:val="19"/>
          <w:b w:val="1"/>
          <w:bCs w:val="1"/>
          <w:color w:val="auto"/>
        </w:rPr>
        <w:t>Loan Agreement</w:t>
      </w:r>
      <w:r>
        <w:rPr>
          <w:rFonts w:ascii="Times New Roman" w:cs="Times New Roman" w:eastAsia="Times New Roman" w:hAnsi="Times New Roman"/>
          <w:sz w:val="19"/>
          <w:szCs w:val="19"/>
          <w:color w:val="auto"/>
        </w:rPr>
        <w:t>”). Capitalized terms not otherwise defined herein shall have such meaning as set forth in the Loan Agreement.</w:t>
      </w:r>
    </w:p>
    <w:p>
      <w:pPr>
        <w:spacing w:after="0" w:line="151" w:lineRule="exact"/>
        <w:rPr>
          <w:rFonts w:ascii="Times New Roman" w:cs="Times New Roman" w:eastAsia="Times New Roman" w:hAnsi="Times New Roman"/>
          <w:sz w:val="19"/>
          <w:szCs w:val="19"/>
          <w:color w:val="auto"/>
        </w:rPr>
      </w:pPr>
    </w:p>
    <w:p>
      <w:pPr>
        <w:ind w:left="860" w:hanging="386"/>
        <w:spacing w:after="0"/>
        <w:tabs>
          <w:tab w:leader="none" w:pos="8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and Lender desire to amend the Loan Agreement as provided herein.</w:t>
      </w:r>
    </w:p>
    <w:p>
      <w:pPr>
        <w:spacing w:after="0" w:line="216" w:lineRule="exact"/>
        <w:rPr>
          <w:sz w:val="20"/>
          <w:szCs w:val="20"/>
          <w:color w:val="auto"/>
        </w:rPr>
      </w:pPr>
    </w:p>
    <w:p>
      <w:pPr>
        <w:ind w:firstLine="202"/>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premises and for other good and valuable consideration, the receipt and adequacy of which is hereby acknowledged, the parties hereto agree as follows:</w:t>
      </w:r>
    </w:p>
    <w:p>
      <w:pPr>
        <w:spacing w:after="0" w:line="160" w:lineRule="exact"/>
        <w:rPr>
          <w:sz w:val="20"/>
          <w:szCs w:val="20"/>
          <w:color w:val="auto"/>
        </w:rPr>
      </w:pPr>
    </w:p>
    <w:p>
      <w:pPr>
        <w:jc w:val="both"/>
        <w:ind w:firstLine="656"/>
        <w:spacing w:after="0" w:line="253" w:lineRule="auto"/>
        <w:tabs>
          <w:tab w:leader="none" w:pos="106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Borrower breaches the requirements of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(Maximum Funded Debt Ratio) of the Loan Agreement, resulting in an Event of Default under </w:t>
      </w:r>
      <w:r>
        <w:rPr>
          <w:rFonts w:ascii="Times New Roman" w:cs="Times New Roman" w:eastAsia="Times New Roman" w:hAnsi="Times New Roman"/>
          <w:sz w:val="20"/>
          <w:szCs w:val="20"/>
          <w:u w:val="single" w:color="auto"/>
          <w:color w:val="auto"/>
        </w:rPr>
        <w:t>Section 7.1(c)</w:t>
      </w:r>
      <w:r>
        <w:rPr>
          <w:rFonts w:ascii="Times New Roman" w:cs="Times New Roman" w:eastAsia="Times New Roman" w:hAnsi="Times New Roman"/>
          <w:sz w:val="20"/>
          <w:szCs w:val="20"/>
          <w:color w:val="auto"/>
        </w:rPr>
        <w:t xml:space="preserve"> of the Loan Agreement (a “</w:t>
      </w:r>
      <w:r>
        <w:rPr>
          <w:rFonts w:ascii="Times New Roman" w:cs="Times New Roman" w:eastAsia="Times New Roman" w:hAnsi="Times New Roman"/>
          <w:sz w:val="20"/>
          <w:szCs w:val="20"/>
          <w:b w:val="1"/>
          <w:bCs w:val="1"/>
          <w:color w:val="auto"/>
        </w:rPr>
        <w:t>Leverage Default</w:t>
      </w:r>
      <w:r>
        <w:rPr>
          <w:rFonts w:ascii="Times New Roman" w:cs="Times New Roman" w:eastAsia="Times New Roman" w:hAnsi="Times New Roman"/>
          <w:sz w:val="20"/>
          <w:szCs w:val="20"/>
          <w:color w:val="auto"/>
        </w:rPr>
        <w:t xml:space="preserve">”), Borrower may cure such Leverage Default by (i) simultaneously providing to Lender, along with the Compliance Certificate reflecting a Leverage Default, a Borrowing Base Certificate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(a “</w:t>
      </w:r>
      <w:r>
        <w:rPr>
          <w:rFonts w:ascii="Times New Roman" w:cs="Times New Roman" w:eastAsia="Times New Roman" w:hAnsi="Times New Roman"/>
          <w:sz w:val="20"/>
          <w:szCs w:val="20"/>
          <w:b w:val="1"/>
          <w:bCs w:val="1"/>
          <w:color w:val="auto"/>
        </w:rPr>
        <w:t>Borrowing Base Certificate</w:t>
      </w:r>
      <w:r>
        <w:rPr>
          <w:rFonts w:ascii="Times New Roman" w:cs="Times New Roman" w:eastAsia="Times New Roman" w:hAnsi="Times New Roman"/>
          <w:sz w:val="20"/>
          <w:szCs w:val="20"/>
          <w:color w:val="auto"/>
        </w:rPr>
        <w:t>”) and (ii) agreeing to comply with the Borrowing Base requirements set forth below (the “</w:t>
      </w:r>
      <w:r>
        <w:rPr>
          <w:rFonts w:ascii="Times New Roman" w:cs="Times New Roman" w:eastAsia="Times New Roman" w:hAnsi="Times New Roman"/>
          <w:sz w:val="20"/>
          <w:szCs w:val="20"/>
          <w:b w:val="1"/>
          <w:bCs w:val="1"/>
          <w:color w:val="auto"/>
        </w:rPr>
        <w:t>Borrowing Base Requirements</w:t>
      </w:r>
      <w:r>
        <w:rPr>
          <w:rFonts w:ascii="Times New Roman" w:cs="Times New Roman" w:eastAsia="Times New Roman" w:hAnsi="Times New Roman"/>
          <w:sz w:val="20"/>
          <w:szCs w:val="20"/>
          <w:color w:val="auto"/>
        </w:rPr>
        <w:t>”). Borrower’s cure right set forth herein is specific to a Leverage Default and shall not be applicable to any other Event of Default under the Loan Agreement.</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u w:val="single" w:color="auto"/>
          <w:color w:val="auto"/>
        </w:rPr>
        <w:t>Borrowing Base Requirements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right="20" w:firstLine="644"/>
        <w:spacing w:after="0" w:line="269" w:lineRule="auto"/>
        <w:tabs>
          <w:tab w:leader="none" w:pos="1754"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Subsequent to the initial Borrowing Base Certificate provided in accordance with the paragraph above, Borrower shall commence providing monthly Borrowing Base Certificates to Lender within twenty (20) days of each calendar month end.</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such Borrowing Base Certificate (including the initial Borrowing Base Certificate) reflects an outstanding principal balance under the Note greater than the Maximum Revolver Amount, within one (1) Business Day, Borrower shall make such principal reduction payments on the Note as necessary to be in compliance with the Maximum Revolver Amount.</w:t>
      </w:r>
    </w:p>
    <w:p>
      <w:pPr>
        <w:spacing w:after="0" w:line="181" w:lineRule="exact"/>
        <w:rPr>
          <w:rFonts w:ascii="Times New Roman" w:cs="Times New Roman" w:eastAsia="Times New Roman" w:hAnsi="Times New Roman"/>
          <w:sz w:val="20"/>
          <w:szCs w:val="20"/>
          <w:color w:val="auto"/>
        </w:rPr>
      </w:pPr>
    </w:p>
    <w:p>
      <w:pPr>
        <w:jc w:val="both"/>
        <w:ind w:left="660" w:firstLine="644"/>
        <w:spacing w:after="0" w:line="261" w:lineRule="auto"/>
        <w:tabs>
          <w:tab w:leader="none" w:pos="186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failure by Borrower to comply with the Borrowing Base Requirements prior to Borrower providing proof of compliance with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of the Loan Agreement via a Compliance Certificate shall immediately result in an Event of Default under the Loan Agreement.</w:t>
      </w:r>
    </w:p>
    <w:p>
      <w:pPr>
        <w:sectPr>
          <w:pgSz w:w="11900" w:h="16838" w:orient="portrait"/>
          <w:cols w:equalWidth="0" w:num="1">
            <w:col w:w="11240"/>
          </w:cols>
          <w:pgMar w:left="320" w:top="1440" w:right="339" w:bottom="1440" w:gutter="0" w:footer="0" w:header="0"/>
        </w:sectPr>
      </w:pPr>
    </w:p>
    <w:bookmarkStart w:id="32" w:name="page33"/>
    <w:bookmarkEnd w:id="32"/>
    <w:p>
      <w:pPr>
        <w:ind w:left="660" w:firstLine="644"/>
        <w:spacing w:after="0" w:line="283" w:lineRule="auto"/>
        <w:tabs>
          <w:tab w:leader="none" w:pos="191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Once Borrower has provided proof of compliance with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of the Loan Agreement via a Compliance Certificate, the Borrowing Base Requirements shall no longer be applicable.</w:t>
      </w:r>
    </w:p>
    <w:p>
      <w:pPr>
        <w:spacing w:after="0" w:line="146"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shall apply to the Borrowing Base Requirements: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Accounts</w:t>
      </w:r>
      <w:r>
        <w:rPr>
          <w:rFonts w:ascii="Times New Roman" w:cs="Times New Roman" w:eastAsia="Times New Roman" w:hAnsi="Times New Roman"/>
          <w:sz w:val="20"/>
          <w:szCs w:val="20"/>
          <w:color w:val="auto"/>
        </w:rPr>
        <w:t>” means all of Borrower’s accounts, as that term is defined in the UCC.</w:t>
      </w:r>
    </w:p>
    <w:p>
      <w:pPr>
        <w:spacing w:after="0" w:line="216" w:lineRule="exact"/>
        <w:rPr>
          <w:sz w:val="20"/>
          <w:szCs w:val="20"/>
          <w:color w:val="auto"/>
        </w:rPr>
      </w:pPr>
    </w:p>
    <w:p>
      <w:pPr>
        <w:jc w:val="both"/>
        <w:ind w:left="1300"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Base</w:t>
      </w:r>
      <w:r>
        <w:rPr>
          <w:rFonts w:ascii="Times New Roman" w:cs="Times New Roman" w:eastAsia="Times New Roman" w:hAnsi="Times New Roman"/>
          <w:sz w:val="20"/>
          <w:szCs w:val="20"/>
          <w:color w:val="auto"/>
        </w:rPr>
        <w:t xml:space="preserve">” means the sum of (a) 67.0% of Eligible Accounts Receivable </w:t>
      </w:r>
      <w:r>
        <w:rPr>
          <w:rFonts w:ascii="Times New Roman" w:cs="Times New Roman" w:eastAsia="Times New Roman" w:hAnsi="Times New Roman"/>
          <w:sz w:val="20"/>
          <w:szCs w:val="20"/>
          <w:i w:val="1"/>
          <w:iCs w:val="1"/>
          <w:color w:val="auto"/>
        </w:rPr>
        <w:t>less</w:t>
      </w:r>
      <w:r>
        <w:rPr>
          <w:rFonts w:ascii="Times New Roman" w:cs="Times New Roman" w:eastAsia="Times New Roman" w:hAnsi="Times New Roman"/>
          <w:sz w:val="20"/>
          <w:szCs w:val="20"/>
          <w:color w:val="auto"/>
        </w:rPr>
        <w:t xml:space="preserve"> any discounts or rebates deducted from such Eligible Accounts Receivable,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(b) cash on deposit with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item (b) shall at all times equal at least 50.0% of the outstanding principal balance of the Note.</w:t>
      </w:r>
    </w:p>
    <w:p>
      <w:pPr>
        <w:spacing w:after="0" w:line="169" w:lineRule="exact"/>
        <w:rPr>
          <w:sz w:val="20"/>
          <w:szCs w:val="20"/>
          <w:color w:val="auto"/>
        </w:rPr>
      </w:pPr>
    </w:p>
    <w:p>
      <w:pPr>
        <w:jc w:val="both"/>
        <w:ind w:left="1300" w:firstLine="648"/>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Customer</w:t>
      </w:r>
      <w:r>
        <w:rPr>
          <w:rFonts w:ascii="Times New Roman" w:cs="Times New Roman" w:eastAsia="Times New Roman" w:hAnsi="Times New Roman"/>
          <w:sz w:val="20"/>
          <w:szCs w:val="20"/>
          <w:color w:val="auto"/>
        </w:rPr>
        <w:t>” means any purchaser or lessee of goods, or recipient of services, from a Borrower Party, including without limitation account debtors liable on any Accounts.</w:t>
      </w:r>
    </w:p>
    <w:p>
      <w:pPr>
        <w:spacing w:after="0" w:line="139" w:lineRule="exact"/>
        <w:rPr>
          <w:sz w:val="20"/>
          <w:szCs w:val="20"/>
          <w:color w:val="auto"/>
        </w:rPr>
      </w:pPr>
    </w:p>
    <w:p>
      <w:pPr>
        <w:jc w:val="both"/>
        <w:ind w:left="1300" w:firstLine="648"/>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Dated Account</w:t>
      </w:r>
      <w:r>
        <w:rPr>
          <w:rFonts w:ascii="Times New Roman" w:cs="Times New Roman" w:eastAsia="Times New Roman" w:hAnsi="Times New Roman"/>
          <w:sz w:val="20"/>
          <w:szCs w:val="20"/>
          <w:color w:val="auto"/>
        </w:rPr>
        <w:t>” means any Account for which the applicable Borrower Party has not been paid in full before ninety (90) days after the date of the original invoice.</w:t>
      </w:r>
    </w:p>
    <w:p>
      <w:pPr>
        <w:spacing w:after="0" w:line="139" w:lineRule="exact"/>
        <w:rPr>
          <w:sz w:val="20"/>
          <w:szCs w:val="20"/>
          <w:color w:val="auto"/>
        </w:rPr>
      </w:pPr>
    </w:p>
    <w:p>
      <w:pPr>
        <w:jc w:val="both"/>
        <w:ind w:left="1300" w:firstLine="648"/>
        <w:spacing w:after="0" w:line="3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Accounts Receivable</w:t>
      </w:r>
      <w:r>
        <w:rPr>
          <w:rFonts w:ascii="Times New Roman" w:cs="Times New Roman" w:eastAsia="Times New Roman" w:hAnsi="Times New Roman"/>
          <w:sz w:val="20"/>
          <w:szCs w:val="20"/>
          <w:color w:val="auto"/>
        </w:rPr>
        <w:t>” means Accounts of the Borrower Parties that meet each of the following conditions at the time each Account comes (or came) into existence and continue to meet the same until collected in full:</w:t>
      </w:r>
    </w:p>
    <w:p>
      <w:pPr>
        <w:spacing w:after="0" w:line="143" w:lineRule="exact"/>
        <w:rPr>
          <w:sz w:val="20"/>
          <w:szCs w:val="20"/>
          <w:color w:val="auto"/>
        </w:rPr>
      </w:pPr>
    </w:p>
    <w:p>
      <w:pPr>
        <w:jc w:val="both"/>
        <w:ind w:left="1960" w:firstLine="640"/>
        <w:spacing w:after="0" w:line="289" w:lineRule="auto"/>
        <w:tabs>
          <w:tab w:leader="none" w:pos="305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arose from either (i) the bona fide outright sale by a Borrower Party of goods that have been shipped to a Customer, or (ii) a Borrower Party’s performance of services that have been fully performed for the respective Customer;</w:t>
      </w:r>
    </w:p>
    <w:p>
      <w:pPr>
        <w:spacing w:after="0" w:line="181" w:lineRule="exact"/>
        <w:rPr>
          <w:rFonts w:ascii="Times New Roman" w:cs="Times New Roman" w:eastAsia="Times New Roman" w:hAnsi="Times New Roman"/>
          <w:sz w:val="20"/>
          <w:szCs w:val="20"/>
          <w:color w:val="auto"/>
        </w:rPr>
      </w:pPr>
    </w:p>
    <w:p>
      <w:pPr>
        <w:jc w:val="both"/>
        <w:ind w:left="1960" w:firstLine="640"/>
        <w:spacing w:after="0" w:line="289" w:lineRule="auto"/>
        <w:tabs>
          <w:tab w:leader="none" w:pos="319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invoice relating to the Account was prepared, dated and billed (i) in the ordinary course of business, and (ii) within a reasonable time from the date the goods or services relating to such invoice were sold or performed;</w:t>
      </w:r>
    </w:p>
    <w:p>
      <w:pPr>
        <w:spacing w:after="0" w:line="168" w:lineRule="exact"/>
        <w:rPr>
          <w:rFonts w:ascii="Times New Roman" w:cs="Times New Roman" w:eastAsia="Times New Roman" w:hAnsi="Times New Roman"/>
          <w:sz w:val="20"/>
          <w:szCs w:val="20"/>
          <w:color w:val="auto"/>
        </w:rPr>
      </w:pPr>
    </w:p>
    <w:p>
      <w:pPr>
        <w:ind w:left="1960" w:firstLine="640"/>
        <w:spacing w:after="0" w:line="311" w:lineRule="auto"/>
        <w:tabs>
          <w:tab w:leader="none" w:pos="313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not subject to any assignment, claim, lien, or security interest of any character, except the security interest of Lender;</w:t>
      </w:r>
    </w:p>
    <w:p>
      <w:pPr>
        <w:spacing w:after="0" w:line="146" w:lineRule="exact"/>
        <w:rPr>
          <w:rFonts w:ascii="Times New Roman" w:cs="Times New Roman" w:eastAsia="Times New Roman" w:hAnsi="Times New Roman"/>
          <w:sz w:val="20"/>
          <w:szCs w:val="20"/>
          <w:color w:val="auto"/>
        </w:rPr>
      </w:pPr>
    </w:p>
    <w:p>
      <w:pPr>
        <w:jc w:val="both"/>
        <w:ind w:left="1960" w:firstLine="640"/>
        <w:spacing w:after="0" w:line="289" w:lineRule="auto"/>
        <w:tabs>
          <w:tab w:leader="none" w:pos="311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not subject to any counterclaim or any claim for credit, set off, recoupment, allowance or adjustment by the Customer, and the Customer has not returned any of the goods from the sale of which the Account arose;</w:t>
      </w:r>
    </w:p>
    <w:p>
      <w:pPr>
        <w:spacing w:after="0" w:line="181" w:lineRule="exact"/>
        <w:rPr>
          <w:rFonts w:ascii="Times New Roman" w:cs="Times New Roman" w:eastAsia="Times New Roman" w:hAnsi="Times New Roman"/>
          <w:sz w:val="20"/>
          <w:szCs w:val="20"/>
          <w:color w:val="auto"/>
        </w:rPr>
      </w:pPr>
    </w:p>
    <w:p>
      <w:pPr>
        <w:ind w:left="3020" w:hanging="420"/>
        <w:spacing w:after="0"/>
        <w:tabs>
          <w:tab w:leader="none" w:pos="30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arose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94820176.5</w:t>
      </w:r>
    </w:p>
    <w:p>
      <w:pPr>
        <w:sectPr>
          <w:pgSz w:w="11900" w:h="16838" w:orient="portrait"/>
          <w:cols w:equalWidth="0" w:num="1">
            <w:col w:w="11240"/>
          </w:cols>
          <w:pgMar w:left="320" w:top="1413" w:right="339" w:bottom="1440" w:gutter="0" w:footer="0" w:header="0"/>
        </w:sectPr>
      </w:pPr>
    </w:p>
    <w:bookmarkStart w:id="33" w:name="page34"/>
    <w:bookmarkEnd w:id="33"/>
    <w:p>
      <w:pPr>
        <w:spacing w:after="0" w:line="203" w:lineRule="exact"/>
        <w:rPr>
          <w:sz w:val="20"/>
          <w:szCs w:val="20"/>
          <w:color w:val="auto"/>
        </w:rPr>
      </w:pPr>
    </w:p>
    <w:p>
      <w:pPr>
        <w:ind w:left="1960" w:firstLine="640"/>
        <w:spacing w:after="0" w:line="311" w:lineRule="auto"/>
        <w:tabs>
          <w:tab w:leader="none" w:pos="3126"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notice of the bankruptcy, insolvency, or adverse change in the financial condition of the Customer has been received by any Borrower Party or Lender;</w:t>
      </w:r>
    </w:p>
    <w:p>
      <w:pPr>
        <w:spacing w:after="0" w:line="146" w:lineRule="exact"/>
        <w:rPr>
          <w:rFonts w:ascii="Times New Roman" w:cs="Times New Roman" w:eastAsia="Times New Roman" w:hAnsi="Times New Roman"/>
          <w:sz w:val="20"/>
          <w:szCs w:val="20"/>
          <w:color w:val="auto"/>
        </w:rPr>
      </w:pPr>
    </w:p>
    <w:p>
      <w:pPr>
        <w:ind w:left="3140" w:hanging="540"/>
        <w:spacing w:after="0"/>
        <w:tabs>
          <w:tab w:leader="none" w:pos="314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not evidenced by a judgment, an instrument or chattel paper;</w:t>
      </w:r>
    </w:p>
    <w:p>
      <w:pPr>
        <w:spacing w:after="0" w:line="256" w:lineRule="exact"/>
        <w:rPr>
          <w:rFonts w:ascii="Times New Roman" w:cs="Times New Roman" w:eastAsia="Times New Roman" w:hAnsi="Times New Roman"/>
          <w:sz w:val="20"/>
          <w:szCs w:val="20"/>
          <w:color w:val="auto"/>
        </w:rPr>
      </w:pPr>
    </w:p>
    <w:p>
      <w:pPr>
        <w:ind w:left="3200" w:hanging="600"/>
        <w:spacing w:after="0"/>
        <w:tabs>
          <w:tab w:leader="none" w:pos="320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 is not a Dated Account; and</w:t>
      </w:r>
    </w:p>
    <w:p>
      <w:pPr>
        <w:spacing w:after="0" w:line="229" w:lineRule="exact"/>
        <w:rPr>
          <w:sz w:val="20"/>
          <w:szCs w:val="20"/>
          <w:color w:val="auto"/>
        </w:rPr>
      </w:pPr>
    </w:p>
    <w:p>
      <w:pPr>
        <w:ind w:left="2600"/>
        <w:spacing w:after="0"/>
        <w:tabs>
          <w:tab w:leader="none" w:pos="3000" w:val="left"/>
        </w:tabs>
        <w:rPr>
          <w:sz w:val="20"/>
          <w:szCs w:val="20"/>
          <w:color w:val="auto"/>
        </w:rPr>
      </w:pPr>
      <w:r>
        <w:rPr>
          <w:rFonts w:ascii="Times New Roman" w:cs="Times New Roman" w:eastAsia="Times New Roman" w:hAnsi="Times New Roman"/>
          <w:sz w:val="20"/>
          <w:szCs w:val="20"/>
          <w:color w:val="auto"/>
        </w:rPr>
        <w:t>(x)</w:t>
      </w:r>
      <w:r>
        <w:rPr>
          <w:sz w:val="20"/>
          <w:szCs w:val="20"/>
          <w:color w:val="auto"/>
        </w:rPr>
        <w:tab/>
      </w:r>
      <w:r>
        <w:rPr>
          <w:rFonts w:ascii="Times New Roman" w:cs="Times New Roman" w:eastAsia="Times New Roman" w:hAnsi="Times New Roman"/>
          <w:sz w:val="19"/>
          <w:szCs w:val="19"/>
          <w:color w:val="auto"/>
        </w:rPr>
        <w:t>the Customer obligated on the Account is not an Affiliate of any Borrower Party.</w:t>
      </w:r>
    </w:p>
    <w:p>
      <w:pPr>
        <w:spacing w:after="0" w:line="23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Maximum Revolver Amount</w:t>
      </w:r>
      <w:r>
        <w:rPr>
          <w:rFonts w:ascii="Times New Roman" w:cs="Times New Roman" w:eastAsia="Times New Roman" w:hAnsi="Times New Roman"/>
          <w:sz w:val="19"/>
          <w:szCs w:val="19"/>
          <w:color w:val="auto"/>
        </w:rPr>
        <w:t>” means the lesser of (a) $20,000,000 or (b) an amount equal to the Borrowing Base.</w:t>
      </w:r>
    </w:p>
    <w:p>
      <w:pPr>
        <w:spacing w:after="0" w:line="245"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 xml:space="preserve">The following definitions set forth within </w:t>
      </w:r>
      <w:r>
        <w:rPr>
          <w:rFonts w:ascii="Times New Roman" w:cs="Times New Roman" w:eastAsia="Times New Roman" w:hAnsi="Times New Roman"/>
          <w:sz w:val="19"/>
          <w:szCs w:val="19"/>
          <w:u w:val="single" w:color="auto"/>
          <w:color w:val="auto"/>
        </w:rPr>
        <w:t>Section 9.1</w:t>
      </w:r>
      <w:r>
        <w:rPr>
          <w:rFonts w:ascii="Times New Roman" w:cs="Times New Roman" w:eastAsia="Times New Roman" w:hAnsi="Times New Roman"/>
          <w:sz w:val="19"/>
          <w:szCs w:val="19"/>
          <w:color w:val="auto"/>
        </w:rPr>
        <w:t xml:space="preserve"> of the Loan Agreement are hereby amended and restated as follows:</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means collectively (a) that certain Guaranty dated as of July 31, 2017, executed by Cumberland Pharma Sales Corp. in favor of Lender, as such may be amended and/or restated from time to time, and (b) any other guaranty executed by a Guarantor in favor of Lender.</w:t>
      </w:r>
    </w:p>
    <w:p>
      <w:pPr>
        <w:spacing w:after="0" w:line="162" w:lineRule="exact"/>
        <w:rPr>
          <w:sz w:val="20"/>
          <w:szCs w:val="20"/>
          <w:color w:val="auto"/>
        </w:rPr>
      </w:pPr>
    </w:p>
    <w:p>
      <w:pPr>
        <w:jc w:val="both"/>
        <w:ind w:left="660"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Agreements</w:t>
      </w:r>
      <w:r>
        <w:rPr>
          <w:rFonts w:ascii="Times New Roman" w:cs="Times New Roman" w:eastAsia="Times New Roman" w:hAnsi="Times New Roman"/>
          <w:sz w:val="20"/>
          <w:szCs w:val="20"/>
          <w:color w:val="auto"/>
        </w:rPr>
        <w:t>” means collectively (a) that certain Borrower Security Agreement dated as of July 31, 2017 executed by Borrower in favor of Lender, as such may be amended and/or restated from time to time, and (b) that certain Guarantor Security Agreement dated as of July 31, 2017 executed by Cumberland Pharma Sales Corp. in favor of Lender, as such may be amended and/or restated from time to time.</w:t>
      </w:r>
    </w:p>
    <w:p>
      <w:pPr>
        <w:spacing w:after="0" w:line="178"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Pledge Agreement</w:t>
      </w:r>
      <w:r>
        <w:rPr>
          <w:rFonts w:ascii="Times New Roman" w:cs="Times New Roman" w:eastAsia="Times New Roman" w:hAnsi="Times New Roman"/>
          <w:sz w:val="20"/>
          <w:szCs w:val="20"/>
          <w:color w:val="auto"/>
        </w:rPr>
        <w:t>” means that certain Stock Pledge Agreement dated as of July 31, 2017 executed by Borrower in favor of Lender, as such may be amended and/or restated from time to time, together with all stock powers and Regulation U forms, as may be applicable.</w:t>
      </w:r>
    </w:p>
    <w:p>
      <w:pPr>
        <w:spacing w:after="0" w:line="179" w:lineRule="exact"/>
        <w:rPr>
          <w:sz w:val="20"/>
          <w:szCs w:val="20"/>
          <w:color w:val="auto"/>
        </w:rPr>
      </w:pPr>
    </w:p>
    <w:p>
      <w:pPr>
        <w:jc w:val="both"/>
        <w:ind w:firstLine="656"/>
        <w:spacing w:after="0" w:line="261" w:lineRule="auto"/>
        <w:tabs>
          <w:tab w:leader="none" w:pos="9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precedent to the effectiveness to this Amendment, Borrower shall pay to Lender all fees and expenses set forth on the Closing Statement executed in connection herewith, including without limitation a $10,000 amendment fee and reasonable attorneys’ fees.</w:t>
      </w:r>
    </w:p>
    <w:p>
      <w:pPr>
        <w:spacing w:after="0" w:line="167"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Agreement is not amended in any other respect.</w:t>
      </w:r>
    </w:p>
    <w:p>
      <w:pPr>
        <w:spacing w:after="0" w:line="229" w:lineRule="exact"/>
        <w:rPr>
          <w:rFonts w:ascii="Times New Roman" w:cs="Times New Roman" w:eastAsia="Times New Roman" w:hAnsi="Times New Roman"/>
          <w:sz w:val="20"/>
          <w:szCs w:val="20"/>
          <w:color w:val="auto"/>
        </w:rPr>
      </w:pPr>
    </w:p>
    <w:p>
      <w:pPr>
        <w:ind w:firstLine="656"/>
        <w:spacing w:after="0" w:line="283" w:lineRule="auto"/>
        <w:tabs>
          <w:tab w:leader="none" w:pos="102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reaffirms the terms and provisions of the Loan Documents and agrees that such are valid and binding, enforceable in accordance with their terms and provisions, and subject to no defense, counterclaim, or objection.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commence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94820176.5</w:t>
      </w:r>
    </w:p>
    <w:p>
      <w:pPr>
        <w:sectPr>
          <w:pgSz w:w="11900" w:h="16838" w:orient="portrait"/>
          <w:cols w:equalWidth="0" w:num="1">
            <w:col w:w="11240"/>
          </w:cols>
          <w:pgMar w:left="320" w:top="1440" w:right="339" w:bottom="1440" w:gutter="0" w:footer="0" w:header="0"/>
        </w:sectPr>
      </w:pPr>
    </w:p>
    <w:bookmarkStart w:id="34" w:name="page35"/>
    <w:bookmarkEnd w:id="34"/>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ENTERED INTO as of the date first written above.</w:t>
      </w:r>
    </w:p>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CUMBERLAND PHARMACEUTICALS INC.</w:t>
      </w:r>
    </w:p>
    <w:p>
      <w:pPr>
        <w:spacing w:after="0" w:line="200" w:lineRule="exact"/>
        <w:rPr>
          <w:sz w:val="20"/>
          <w:szCs w:val="20"/>
          <w:color w:val="auto"/>
        </w:rPr>
      </w:pPr>
    </w:p>
    <w:p>
      <w:pPr>
        <w:spacing w:after="0" w:line="255"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A.J. Kazimi_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wp:posOffset>
            </wp:positionV>
            <wp:extent cx="14236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1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0"/>
          <w:szCs w:val="20"/>
          <w:color w:val="auto"/>
        </w:rPr>
        <w:t>A.J. Kazimi,</w:t>
      </w:r>
    </w:p>
    <w:p>
      <w:pPr>
        <w:spacing w:after="0" w:line="1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Chief Executive Officer</w:t>
      </w:r>
    </w:p>
    <w:p>
      <w:pPr>
        <w:spacing w:after="0" w:line="2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PINNACLE BANK</w:t>
      </w:r>
    </w:p>
    <w:p>
      <w:pPr>
        <w:spacing w:after="0" w:line="200" w:lineRule="exact"/>
        <w:rPr>
          <w:sz w:val="20"/>
          <w:szCs w:val="20"/>
          <w:color w:val="auto"/>
        </w:rPr>
      </w:pPr>
    </w:p>
    <w:p>
      <w:pPr>
        <w:spacing w:after="0" w:line="282" w:lineRule="exact"/>
        <w:rPr>
          <w:sz w:val="20"/>
          <w:szCs w:val="20"/>
          <w:color w:val="auto"/>
        </w:rPr>
      </w:pPr>
    </w:p>
    <w:p>
      <w:pPr>
        <w:jc w:val="center"/>
        <w:ind w:left="2200"/>
        <w:spacing w:after="0"/>
        <w:tabs>
          <w:tab w:leader="none" w:pos="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Mark D. Mattson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-8255</wp:posOffset>
            </wp:positionV>
            <wp:extent cx="18669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866900" cy="8890"/>
                    </a:xfrm>
                    <a:prstGeom prst="rect">
                      <a:avLst/>
                    </a:prstGeom>
                    <a:noFill/>
                  </pic:spPr>
                </pic:pic>
              </a:graphicData>
            </a:graphic>
          </wp:anchor>
        </w:drawing>
      </w:r>
    </w:p>
    <w:p>
      <w:pPr>
        <w:spacing w:after="0" w:line="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0"/>
          <w:szCs w:val="20"/>
          <w:color w:val="auto"/>
        </w:rPr>
        <w:t>Mark D. Mattson,</w:t>
      </w:r>
    </w:p>
    <w:p>
      <w:pPr>
        <w:spacing w:after="0" w:line="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579"/>
        <w:spacing w:after="0"/>
        <w:rPr>
          <w:sz w:val="20"/>
          <w:szCs w:val="20"/>
          <w:color w:val="auto"/>
        </w:rPr>
      </w:pPr>
      <w:r>
        <w:rPr>
          <w:rFonts w:ascii="Times New Roman" w:cs="Times New Roman" w:eastAsia="Times New Roman" w:hAnsi="Times New Roman"/>
          <w:sz w:val="20"/>
          <w:szCs w:val="20"/>
          <w:color w:val="auto"/>
        </w:rPr>
        <w:t>[Signature Page to First Amendment to Amended and Restated Revolving Credit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94820176.5</w:t>
      </w:r>
    </w:p>
    <w:p>
      <w:pPr>
        <w:sectPr>
          <w:pgSz w:w="11900" w:h="16838" w:orient="portrait"/>
          <w:cols w:equalWidth="0" w:num="1">
            <w:col w:w="10139"/>
          </w:cols>
          <w:pgMar w:left="320" w:top="1440" w:right="1440"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BORROWING BASE CERTIFICATE</w:t>
      </w:r>
    </w:p>
    <w:p>
      <w:pPr>
        <w:spacing w:after="0" w:line="33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This Borrowing Base Certificate is submitted pursuant to that certain Amended and Restated Loan Agreement dated as of September 5, 2023, by and between Cumberland Pharmaceuticals Inc.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Pinnacle Bank (the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(as such may be amended and/or restated from time to time, the “</w:t>
      </w:r>
      <w:r>
        <w:rPr>
          <w:rFonts w:ascii="Times New Roman" w:cs="Times New Roman" w:eastAsia="Times New Roman" w:hAnsi="Times New Roman"/>
          <w:sz w:val="20"/>
          <w:szCs w:val="20"/>
          <w:b w:val="1"/>
          <w:bCs w:val="1"/>
          <w:color w:val="auto"/>
        </w:rPr>
        <w:t>Loan Agreement</w:t>
      </w:r>
      <w:r>
        <w:rPr>
          <w:rFonts w:ascii="Times New Roman" w:cs="Times New Roman" w:eastAsia="Times New Roman" w:hAnsi="Times New Roman"/>
          <w:sz w:val="20"/>
          <w:szCs w:val="20"/>
          <w:color w:val="auto"/>
        </w:rPr>
        <w:t>”). Capitalized terms not otherwise defined herein shall have such meaning as set forth in the Loan Agreement:</w:t>
      </w:r>
    </w:p>
    <w:p>
      <w:pPr>
        <w:sectPr>
          <w:pgSz w:w="11900" w:h="16838" w:orient="portrait"/>
          <w:cols w:equalWidth="0" w:num="1">
            <w:col w:w="11240"/>
          </w:cols>
          <w:pgMar w:left="320" w:top="1409" w:right="339" w:bottom="1440" w:gutter="0" w:footer="0" w:header="0"/>
        </w:sectPr>
      </w:pPr>
    </w:p>
    <w:p>
      <w:pPr>
        <w:spacing w:after="0" w:line="1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Borrower certifies that as of _____________________:</w:t>
      </w:r>
    </w:p>
    <w:p>
      <w:pPr>
        <w:spacing w:after="0" w:line="119"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principal balance under the Note is:</w:t>
      </w:r>
    </w:p>
    <w:p>
      <w:pPr>
        <w:spacing w:after="0" w:line="121"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Eligible Accounts Receivable are:</w:t>
      </w:r>
    </w:p>
    <w:p>
      <w:pPr>
        <w:spacing w:after="0" w:line="200" w:lineRule="exact"/>
        <w:rPr>
          <w:sz w:val="20"/>
          <w:szCs w:val="20"/>
          <w:color w:val="auto"/>
        </w:rPr>
      </w:pPr>
    </w:p>
    <w:p>
      <w:pPr>
        <w:spacing w:after="0" w:line="259" w:lineRule="exact"/>
        <w:rPr>
          <w:sz w:val="20"/>
          <w:szCs w:val="20"/>
          <w:color w:val="auto"/>
        </w:rPr>
      </w:pPr>
    </w:p>
    <w:p>
      <w:pPr>
        <w:ind w:left="1780"/>
        <w:spacing w:after="0"/>
        <w:tabs>
          <w:tab w:leader="none" w:pos="2620" w:val="left"/>
        </w:tabs>
        <w:rPr>
          <w:sz w:val="20"/>
          <w:szCs w:val="20"/>
          <w:color w:val="auto"/>
        </w:rPr>
      </w:pPr>
      <w:r>
        <w:rPr>
          <w:rFonts w:ascii="Times New Roman" w:cs="Times New Roman" w:eastAsia="Times New Roman" w:hAnsi="Times New Roman"/>
          <w:sz w:val="20"/>
          <w:szCs w:val="20"/>
          <w:color w:val="auto"/>
        </w:rPr>
        <w:t>Total:</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1738630</wp:posOffset>
            </wp:positionH>
            <wp:positionV relativeFrom="paragraph">
              <wp:posOffset>-10795</wp:posOffset>
            </wp:positionV>
            <wp:extent cx="251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9" w:lineRule="exact"/>
        <w:rPr>
          <w:sz w:val="20"/>
          <w:szCs w:val="20"/>
          <w:color w:val="auto"/>
        </w:rPr>
      </w:pPr>
    </w:p>
    <w:p>
      <w:pPr>
        <w:spacing w:after="0"/>
        <w:tabs>
          <w:tab w:leader="none" w:pos="400" w:val="left"/>
          <w:tab w:leader="none" w:pos="4180" w:val="left"/>
        </w:tabs>
        <w:rPr>
          <w:sz w:val="20"/>
          <w:szCs w:val="20"/>
          <w:color w:val="auto"/>
        </w:rPr>
      </w:pPr>
      <w:r>
        <w:rPr>
          <w:rFonts w:ascii="Times New Roman" w:cs="Times New Roman" w:eastAsia="Times New Roman" w:hAnsi="Times New Roman"/>
          <w:sz w:val="20"/>
          <w:szCs w:val="20"/>
          <w:color w:val="auto"/>
        </w:rPr>
        <w:t>(c)</w:t>
        <w:tab/>
        <w:t>cash on deposit with Lender*:</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2726690</wp:posOffset>
            </wp:positionH>
            <wp:positionV relativeFrom="paragraph">
              <wp:posOffset>-10795</wp:posOffset>
            </wp:positionV>
            <wp:extent cx="251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-10795</wp:posOffset>
            </wp:positionV>
            <wp:extent cx="25146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251460" cy="88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-10795</wp:posOffset>
            </wp:positionV>
            <wp:extent cx="2514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x.67.0%</w:t>
      </w:r>
    </w:p>
    <w:p>
      <w:pPr>
        <w:spacing w:after="0" w:line="1095" w:lineRule="exact"/>
        <w:rPr>
          <w:sz w:val="20"/>
          <w:szCs w:val="20"/>
          <w:color w:val="auto"/>
        </w:rPr>
      </w:pPr>
    </w:p>
    <w:p>
      <w:pPr>
        <w:sectPr>
          <w:pgSz w:w="11900" w:h="16838" w:orient="portrait"/>
          <w:cols w:equalWidth="0" w:num="2">
            <w:col w:w="4600" w:space="680"/>
            <w:col w:w="5960"/>
          </w:cols>
          <w:pgMar w:left="320" w:top="1409" w:right="339" w:bottom="1440" w:gutter="0" w:footer="0" w:header="0"/>
          <w:type w:val="continuous"/>
        </w:sect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2100" w:type="dxa"/>
            <w:vAlign w:val="bottom"/>
          </w:tcPr>
          <w:p>
            <w:pPr>
              <w:ind w:left="14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425"/>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(d)</w:t>
            </w:r>
          </w:p>
        </w:tc>
        <w:tc>
          <w:tcPr>
            <w:tcW w:w="498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rPr>
              <w:t xml:space="preserve">the Borrowing Base is (the total set forth in (b)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(c)):</w:t>
            </w: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9"/>
        </w:trPr>
        <w:tc>
          <w:tcPr>
            <w:tcW w:w="340" w:type="dxa"/>
            <w:vAlign w:val="bottom"/>
          </w:tcPr>
          <w:p>
            <w:pPr>
              <w:spacing w:after="0"/>
              <w:rPr>
                <w:sz w:val="20"/>
                <w:szCs w:val="20"/>
                <w:color w:val="auto"/>
              </w:rPr>
            </w:pPr>
            <w:r>
              <w:rPr>
                <w:rFonts w:ascii="Times New Roman" w:cs="Times New Roman" w:eastAsia="Times New Roman" w:hAnsi="Times New Roman"/>
                <w:sz w:val="20"/>
                <w:szCs w:val="20"/>
                <w:color w:val="auto"/>
              </w:rPr>
              <w:t>(e)</w:t>
            </w:r>
          </w:p>
        </w:tc>
        <w:tc>
          <w:tcPr>
            <w:tcW w:w="5860" w:type="dxa"/>
            <w:vAlign w:val="bottom"/>
            <w:gridSpan w:val="6"/>
          </w:tcPr>
          <w:p>
            <w:pPr>
              <w:ind w:left="80"/>
              <w:spacing w:after="0"/>
              <w:rPr>
                <w:sz w:val="20"/>
                <w:szCs w:val="20"/>
                <w:color w:val="auto"/>
              </w:rPr>
            </w:pPr>
            <w:r>
              <w:rPr>
                <w:rFonts w:ascii="Times New Roman" w:cs="Times New Roman" w:eastAsia="Times New Roman" w:hAnsi="Times New Roman"/>
                <w:sz w:val="20"/>
                <w:szCs w:val="20"/>
                <w:color w:val="auto"/>
              </w:rPr>
              <w:t>the Maximum Revolver Amount is (the lesser of $20,000,000 and (d))</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00" w:type="dxa"/>
            <w:vAlign w:val="bottom"/>
            <w:tcBorders>
              <w:bottom w:val="single" w:sz="8" w:color="auto"/>
            </w:tcBorders>
          </w:tcPr>
          <w:p>
            <w:pPr>
              <w:spacing w:after="0"/>
              <w:rPr>
                <w:sz w:val="24"/>
                <w:szCs w:val="24"/>
                <w:color w:val="auto"/>
              </w:rPr>
            </w:pPr>
          </w:p>
        </w:tc>
      </w:tr>
    </w:tbl>
    <w:p>
      <w:pPr>
        <w:spacing w:after="0" w:line="234"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outstanding principal balance under the Note does not exceed the Maximum Revolver Amount;</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representations and warranties made by the Borrower in the Loan Agreement are true and accurate; and</w:t>
      </w:r>
    </w:p>
    <w:p>
      <w:pPr>
        <w:spacing w:after="0" w:line="240" w:lineRule="exact"/>
        <w:rPr>
          <w:rFonts w:ascii="Times New Roman" w:cs="Times New Roman" w:eastAsia="Times New Roman" w:hAnsi="Times New Roman"/>
          <w:sz w:val="19"/>
          <w:szCs w:val="19"/>
          <w:color w:val="auto"/>
        </w:rPr>
      </w:pPr>
    </w:p>
    <w:p>
      <w:pPr>
        <w:ind w:left="440" w:hanging="432"/>
        <w:spacing w:after="0"/>
        <w:tabs>
          <w:tab w:leader="none" w:pos="4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has occurred and is continuing under the Loan Agreement.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*Provided that such must equal at least 50.0% of the </w:t>
      </w:r>
      <w:r>
        <w:rPr>
          <w:rFonts w:ascii="Times New Roman" w:cs="Times New Roman" w:eastAsia="Times New Roman" w:hAnsi="Times New Roman"/>
          <w:sz w:val="21"/>
          <w:szCs w:val="21"/>
          <w:color w:val="auto"/>
        </w:rPr>
        <w:t>outstanding principal balance of the Note</w:t>
      </w:r>
      <w:r>
        <w:rPr>
          <w:rFonts w:ascii="Times New Roman" w:cs="Times New Roman" w:eastAsia="Times New Roman" w:hAnsi="Times New Roman"/>
          <w:sz w:val="20"/>
          <w:szCs w:val="20"/>
          <w:color w:val="auto"/>
        </w:rPr>
        <w:t>.</w:t>
      </w:r>
    </w:p>
    <w:p>
      <w:pPr>
        <w:spacing w:after="0" w:line="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b w:val="1"/>
          <w:bCs w:val="1"/>
          <w:u w:val="single" w:color="auto"/>
          <w:color w:val="auto"/>
        </w:rPr>
        <w:t>BORROWER:</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CUMBERLAND PHARMACEUTICALS INC.</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-10795</wp:posOffset>
            </wp:positionV>
            <wp:extent cx="8794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spacing w:after="0" w:line="2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-10795</wp:posOffset>
            </wp:positionV>
            <wp:extent cx="9105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910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94820176.5</w:t>
      </w:r>
    </w:p>
    <w:p>
      <w:pPr>
        <w:sectPr>
          <w:pgSz w:w="11900" w:h="16838" w:orient="portrait"/>
          <w:cols w:equalWidth="0" w:num="1">
            <w:col w:w="11240"/>
          </w:cols>
          <w:pgMar w:left="320" w:top="1409" w:right="339" w:bottom="1440" w:gutter="0" w:footer="0" w:header="0"/>
          <w:type w:val="continuous"/>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A.J. Kazimi, certify that:</w:t>
      </w:r>
    </w:p>
    <w:p>
      <w:pPr>
        <w:spacing w:after="0" w:line="50" w:lineRule="exact"/>
        <w:rPr>
          <w:sz w:val="20"/>
          <w:szCs w:val="20"/>
          <w:color w:val="auto"/>
        </w:rPr>
      </w:pPr>
    </w:p>
    <w:p>
      <w:pPr>
        <w:ind w:left="680" w:hanging="654"/>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00" w:right="340" w:hanging="574"/>
        <w:spacing w:after="0" w:line="237" w:lineRule="auto"/>
        <w:tabs>
          <w:tab w:leader="none" w:pos="6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4960"/>
        <w:spacing w:after="0"/>
        <w:tabs>
          <w:tab w:leader="none" w:pos="6800" w:val="left"/>
        </w:tabs>
        <w:rPr>
          <w:sz w:val="20"/>
          <w:szCs w:val="20"/>
          <w:color w:val="auto"/>
        </w:rPr>
      </w:pPr>
      <w:r>
        <w:rPr>
          <w:rFonts w:ascii="Times New Roman" w:cs="Times New Roman" w:eastAsia="Times New Roman" w:hAnsi="Times New Roman"/>
          <w:sz w:val="18"/>
          <w:szCs w:val="18"/>
          <w:color w:val="auto"/>
        </w:rPr>
        <w:t>May 10, 2024 By:</w:t>
      </w:r>
      <w:r>
        <w:rPr>
          <w:sz w:val="20"/>
          <w:szCs w:val="20"/>
          <w:color w:val="auto"/>
        </w:rPr>
        <w:tab/>
      </w:r>
      <w:r>
        <w:rPr>
          <w:rFonts w:ascii="Times New Roman" w:cs="Times New Roman" w:eastAsia="Times New Roman" w:hAnsi="Times New Roman"/>
          <w:sz w:val="17"/>
          <w:szCs w:val="17"/>
          <w:color w:val="auto"/>
        </w:rPr>
        <w:t>/s/ A.J.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Hamm, certify that:</w:t>
      </w:r>
    </w:p>
    <w:p>
      <w:pPr>
        <w:spacing w:after="0" w:line="50" w:lineRule="exact"/>
        <w:rPr>
          <w:sz w:val="20"/>
          <w:szCs w:val="20"/>
          <w:color w:val="auto"/>
        </w:rPr>
      </w:pPr>
    </w:p>
    <w:p>
      <w:pPr>
        <w:ind w:left="680" w:hanging="65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Cumberland Pharmaceuticals Inc.;</w:t>
      </w:r>
    </w:p>
    <w:p>
      <w:pPr>
        <w:spacing w:after="0" w:line="144" w:lineRule="exact"/>
        <w:rPr>
          <w:rFonts w:ascii="Times New Roman" w:cs="Times New Roman" w:eastAsia="Times New Roman" w:hAnsi="Times New Roman"/>
          <w:sz w:val="18"/>
          <w:szCs w:val="18"/>
          <w:color w:val="auto"/>
        </w:rPr>
      </w:pPr>
    </w:p>
    <w:p>
      <w:pPr>
        <w:jc w:val="both"/>
        <w:ind w:left="680" w:right="100" w:hanging="654"/>
        <w:spacing w:after="0" w:line="226"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Times New Roman" w:cs="Times New Roman" w:eastAsia="Times New Roman" w:hAnsi="Times New Roman"/>
          <w:sz w:val="18"/>
          <w:szCs w:val="18"/>
          <w:color w:val="auto"/>
        </w:rPr>
      </w:pPr>
    </w:p>
    <w:p>
      <w:pPr>
        <w:ind w:left="680" w:right="60" w:hanging="654"/>
        <w:spacing w:after="0" w:line="250"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Times New Roman" w:cs="Times New Roman" w:eastAsia="Times New Roman" w:hAnsi="Times New Roman"/>
          <w:sz w:val="18"/>
          <w:szCs w:val="18"/>
          <w:color w:val="auto"/>
        </w:rPr>
      </w:pPr>
    </w:p>
    <w:p>
      <w:pPr>
        <w:ind w:left="540" w:right="500" w:hanging="316"/>
        <w:spacing w:after="0" w:line="257" w:lineRule="auto"/>
        <w:tabs>
          <w:tab w:leader="none" w:pos="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540" w:right="180" w:hanging="316"/>
        <w:spacing w:after="0" w:line="250" w:lineRule="auto"/>
        <w:tabs>
          <w:tab w:leader="none" w:pos="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540" w:right="20" w:hanging="316"/>
        <w:spacing w:after="0" w:line="250" w:lineRule="auto"/>
        <w:tabs>
          <w:tab w:leader="none" w:pos="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40" w:right="40" w:hanging="316"/>
        <w:spacing w:after="0" w:line="255" w:lineRule="auto"/>
        <w:tabs>
          <w:tab w:leader="none" w:pos="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7" w:lineRule="exact"/>
        <w:rPr>
          <w:rFonts w:ascii="Times New Roman" w:cs="Times New Roman" w:eastAsia="Times New Roman" w:hAnsi="Times New Roman"/>
          <w:sz w:val="18"/>
          <w:szCs w:val="18"/>
          <w:color w:val="auto"/>
        </w:rPr>
      </w:pPr>
    </w:p>
    <w:p>
      <w:pPr>
        <w:ind w:left="540" w:right="400" w:hanging="316"/>
        <w:spacing w:after="0" w:line="261" w:lineRule="auto"/>
        <w:tabs>
          <w:tab w:leader="none" w:pos="53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40" w:right="340" w:hanging="316"/>
        <w:spacing w:after="0" w:line="260" w:lineRule="auto"/>
        <w:tabs>
          <w:tab w:leader="none" w:pos="5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5020"/>
        <w:spacing w:after="0"/>
        <w:tabs>
          <w:tab w:leader="none" w:pos="6800" w:val="left"/>
        </w:tabs>
        <w:rPr>
          <w:sz w:val="20"/>
          <w:szCs w:val="20"/>
          <w:color w:val="auto"/>
        </w:rPr>
      </w:pPr>
      <w:r>
        <w:rPr>
          <w:rFonts w:ascii="Times New Roman" w:cs="Times New Roman" w:eastAsia="Times New Roman" w:hAnsi="Times New Roman"/>
          <w:sz w:val="18"/>
          <w:szCs w:val="18"/>
          <w:color w:val="auto"/>
        </w:rPr>
        <w:t>May 10, 2024 By:</w:t>
      </w:r>
      <w:r>
        <w:rPr>
          <w:sz w:val="20"/>
          <w:szCs w:val="20"/>
          <w:color w:val="auto"/>
        </w:rPr>
        <w:tab/>
      </w:r>
      <w:r>
        <w:rPr>
          <w:rFonts w:ascii="Times New Roman" w:cs="Times New Roman" w:eastAsia="Times New Roman" w:hAnsi="Times New Roman"/>
          <w:sz w:val="17"/>
          <w:szCs w:val="17"/>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2785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March 31, 2024 of Cumberland Pharmaceuticals Inc. (the “Company”), as filed with the Securities and Exchange Commission on the date hereof (the “Report”), I, A.J. Kazimi, Chief Executive Officer and John Hamm, Chief Financial Officer of the Company, certify, pursuant to Section 906 of the Sarbanes-Oxley Act of 2002 (18 U.S.C. section 1350), that:</w:t>
      </w:r>
    </w:p>
    <w:p>
      <w:pPr>
        <w:ind w:left="680" w:hanging="65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44" w:lineRule="exact"/>
        <w:rPr>
          <w:rFonts w:ascii="Times New Roman" w:cs="Times New Roman" w:eastAsia="Times New Roman" w:hAnsi="Times New Roman"/>
          <w:sz w:val="18"/>
          <w:szCs w:val="18"/>
          <w:color w:val="auto"/>
        </w:rPr>
      </w:pPr>
    </w:p>
    <w:p>
      <w:pPr>
        <w:ind w:left="680" w:hanging="654"/>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A. J. Kazimi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A.J. Kazimi</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May 10, 2024</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Hamm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27686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Hamm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May 10, 2024</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04"/>
    </w:lvl>
    <w:lvl w:ilvl="1">
      <w:lvlJc w:val="left"/>
      <w:lvlText w:val="*"/>
      <w:numFmt w:val="bullet"/>
      <w:start w:val="1"/>
    </w:lvl>
  </w:abstractNum>
  <w:abstractNum w:abstractNumId="9">
    <w:nsid w:val="6B68079A"/>
    <w:multiLevelType w:val="hybridMultilevel"/>
    <w:lvl w:ilvl="0">
      <w:lvlJc w:val="left"/>
      <w:lvlText w:val="%1"/>
      <w:numFmt w:val="decimal"/>
      <w:start w:val="1"/>
    </w:lvl>
    <w:lvl w:ilvl="1">
      <w:lvlJc w:val="left"/>
      <w:lvlText w:val="**"/>
      <w:numFmt w:val="bullet"/>
      <w:start w:val="1"/>
    </w:lvl>
  </w:abstractNum>
  <w:abstractNum w:abstractNumId="10">
    <w:nsid w:val="4E6AFB66"/>
    <w:multiLevelType w:val="hybridMultilevel"/>
    <w:lvl w:ilvl="0">
      <w:lvlJc w:val="left"/>
      <w:lvlText w:val="%1."/>
      <w:numFmt w:val="upperLetter"/>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4"/>
    </w:lvl>
  </w:abstractNum>
  <w:abstractNum w:abstractNumId="14">
    <w:nsid w:val="3F2DBA31"/>
    <w:multiLevelType w:val="hybridMultilevel"/>
    <w:lvl w:ilvl="0">
      <w:lvlJc w:val="left"/>
      <w:lvlText w:val="(%1)"/>
      <w:numFmt w:val="lowerRoman"/>
      <w:start w:val="1"/>
    </w:lvl>
  </w:abstractNum>
  <w:abstractNum w:abstractNumId="15">
    <w:nsid w:val="7C83E458"/>
    <w:multiLevelType w:val="hybridMultilevel"/>
    <w:lvl w:ilvl="0">
      <w:lvlJc w:val="left"/>
      <w:lvlText w:val="(%1)"/>
      <w:numFmt w:val="lowerRoman"/>
      <w:start w:val="6"/>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lowerLetter"/>
      <w:start w:val="6"/>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39" Type="http://schemas.openxmlformats.org/officeDocument/2006/relationships/hyperlink" Target="https://www.sec.gov/Archives/edgar/data/1087294/000162828024012261/exhibit11salesagreement.htm" TargetMode="External"/><Relationship Id="rId40" Type="http://schemas.openxmlformats.org/officeDocument/2006/relationships/hyperlink" Target="https://www.sec.gov/Archives/edgar/data/1087294/000162828024010725/ex-1011ajkazimix202310k.htm" TargetMode="External"/><Relationship Id="rId41" Type="http://schemas.openxmlformats.org/officeDocument/2006/relationships/hyperlink" Target="https://www.sec.gov/Archives/edgar/data/1087294/000162828024010725/ex-1012jimhermanx202310k.htm" TargetMode="External"/><Relationship Id="rId42" Type="http://schemas.openxmlformats.org/officeDocument/2006/relationships/hyperlink" Target="https://www.sec.gov/Archives/edgar/data/1087294/000162828024010725/ex-1013toddanthonyx202310k.htm" TargetMode="External"/><Relationship Id="rId43" Type="http://schemas.openxmlformats.org/officeDocument/2006/relationships/hyperlink" Target="https://www.sec.gov/Archives/edgar/data/1087294/000162828024010725/ex-1014chrisbittermanx2023.htm" TargetMode="External"/><Relationship Id="rId44" Type="http://schemas.openxmlformats.org/officeDocument/2006/relationships/hyperlink" Target="https://www.sec.gov/Archives/edgar/data/1087294/000162828024010725/ex-1015johnhammx2023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2024-05-10T16:23:10Z</dcterms:created>
  <dcterms:modified xsi:type="dcterms:W3CDTF">2024-05-10T16:23:10Z</dcterms:modified>
</cp:coreProperties>
</file>