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png" ContentType="image/png"/>
  <Override PartName="/word/media/image6.png" ContentType="image/png"/>
  <Override PartName="/word/media/image5.jpeg" ContentType="image/jpeg"/>
  <Override PartName="/word/media/image1.png" ContentType="image/png"/>
  <Override PartName="/word/media/image2.png" ContentType="image/png"/>
  <Override PartName="/word/media/image3.png" ContentType="image/png"/>
  <Override PartName="/word/media/image7.png" ContentType="image/pn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120"/>
        <w:rPr/>
      </w:pPr>
      <w:r>
        <w:rPr/>
      </w:r>
    </w:p>
    <w:p>
      <w:pPr>
        <w:pStyle w:val="TextBody"/>
        <w:spacing w:lineRule="auto" w:line="288" w:before="0" w:after="0"/>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pPr>
      <w:r>
        <w:rPr>
          <w:rFonts w:ascii="Times New Roman;sans-serif" w:hAnsi="Times New Roman;sans-serif"/>
          <w:b/>
          <w:color w:val="000000"/>
          <w:sz w:val="24"/>
        </w:rPr>
        <w:t>WASHINGTON, DC 20549</w:t>
      </w:r>
      <w:r>
        <w:rPr>
          <w:color w:val="000000"/>
        </w:rPr>
        <w:t> </w:t>
      </w:r>
    </w:p>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spacing w:lineRule="auto" w:line="288" w:before="100" w:after="283"/>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2022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spacing w:lineRule="auto" w:line="288" w:before="180" w:after="283"/>
        <w:jc w:val="center"/>
        <w:rPr/>
      </w:pPr>
      <w:r>
        <w:rPr>
          <w:rFonts w:ascii="Times New Roman;sans-serif" w:hAnsi="Times New Roman;sans-serif"/>
          <w:b/>
          <w:color w:val="000000"/>
          <w:sz w:val="20"/>
        </w:rPr>
        <w:t>Commission file number: 001-33637</w:t>
      </w:r>
      <w:r>
        <w:rPr>
          <w:color w:val="000000"/>
        </w:rPr>
        <w:t> </w:t>
      </w:r>
    </w:p>
    <w:p>
      <w:pPr>
        <w:pStyle w:val="TextBody"/>
        <w:spacing w:lineRule="auto" w:line="288" w:before="100" w:after="283"/>
        <w:jc w:val="center"/>
        <w:rPr>
          <w:rFonts w:ascii="Times New Roman;sans-serif" w:hAnsi="Times New Roman;sans-serif"/>
          <w:b/>
          <w:color w:val="000000"/>
          <w:sz w:val="40"/>
        </w:rPr>
      </w:pPr>
      <w:r>
        <w:rPr>
          <w:rFonts w:ascii="Times New Roman;sans-serif" w:hAnsi="Times New Roman;sans-serif"/>
          <w:b/>
          <w:color w:val="000000"/>
          <w:sz w:val="40"/>
        </w:rPr>
        <w:t xml:space="preserve">Cumberland Pharmaceuticals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825" w:type="dxa"/>
        <w:jc w:val="center"/>
        <w:tblInd w:w="0" w:type="dxa"/>
        <w:tblCellMar>
          <w:top w:w="28" w:type="dxa"/>
          <w:left w:w="28" w:type="dxa"/>
          <w:bottom w:w="28" w:type="dxa"/>
          <w:right w:w="28" w:type="dxa"/>
        </w:tblCellMar>
      </w:tblPr>
      <w:tblGrid>
        <w:gridCol w:w="1089"/>
        <w:gridCol w:w="959"/>
        <w:gridCol w:w="966"/>
        <w:gridCol w:w="109"/>
        <w:gridCol w:w="109"/>
        <w:gridCol w:w="109"/>
        <w:gridCol w:w="433"/>
        <w:gridCol w:w="433"/>
        <w:gridCol w:w="618"/>
      </w:tblGrid>
      <w:tr>
        <w:trPr/>
        <w:tc>
          <w:tcPr>
            <w:tcW w:w="108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Tennessee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62-1765329</w:t>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2525 West End Avenue, Suite 950,</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Nashville, Tennessee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37203</w:t>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(615) 255-0068</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9003" w:type="dxa"/>
        <w:jc w:val="center"/>
        <w:tblInd w:w="0" w:type="dxa"/>
        <w:tblCellMar>
          <w:top w:w="28" w:type="dxa"/>
          <w:left w:w="28" w:type="dxa"/>
          <w:bottom w:w="28" w:type="dxa"/>
          <w:right w:w="28" w:type="dxa"/>
        </w:tblCellMar>
      </w:tblPr>
      <w:tblGrid>
        <w:gridCol w:w="887"/>
        <w:gridCol w:w="779"/>
        <w:gridCol w:w="779"/>
        <w:gridCol w:w="308"/>
        <w:gridCol w:w="308"/>
        <w:gridCol w:w="308"/>
        <w:gridCol w:w="475"/>
        <w:gridCol w:w="475"/>
        <w:gridCol w:w="475"/>
        <w:gridCol w:w="308"/>
        <w:gridCol w:w="308"/>
        <w:gridCol w:w="308"/>
        <w:gridCol w:w="962"/>
        <w:gridCol w:w="962"/>
        <w:gridCol w:w="1361"/>
      </w:tblGrid>
      <w:tr>
        <w:trPr/>
        <w:tc>
          <w:tcPr>
            <w:tcW w:w="887"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r>
      <w:tr>
        <w:trPr/>
        <w:tc>
          <w:tcPr>
            <w:tcW w:w="9003" w:type="dxa"/>
            <w:gridSpan w:val="15"/>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2445"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w:t>
            </w:r>
          </w:p>
        </w:tc>
        <w:tc>
          <w:tcPr>
            <w:tcW w:w="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right w:val="single" w:sz="8" w:space="0" w:color="000000"/>
            </w:tcBorders>
            <w:shd w:fill="auto" w:val="clear"/>
            <w:tcMar>
              <w:top w:w="0" w:type="dxa"/>
              <w:left w:w="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exchange on which registered</w:t>
            </w:r>
          </w:p>
        </w:tc>
      </w:tr>
      <w:tr>
        <w:trPr/>
        <w:tc>
          <w:tcPr>
            <w:tcW w:w="244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92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CPIX</w:t>
            </w:r>
          </w:p>
        </w:tc>
        <w:tc>
          <w:tcPr>
            <w:tcW w:w="92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85" w:type="dxa"/>
            <w:gridSpan w:val="3"/>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spacing w:before="0" w:after="0"/>
        <w:jc w:val="center"/>
        <w:rPr/>
      </w:pPr>
      <w:r>
        <w:rPr/>
      </w:r>
    </w:p>
    <w:p>
      <w:pPr>
        <w:pStyle w:val="TextBody"/>
        <w:spacing w:lineRule="auto" w:line="288" w:before="100" w:after="283"/>
        <w:jc w:val="both"/>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9"/>
        </w:rPr>
        <w:t>No  </w:t>
      </w:r>
      <w:r>
        <w:rPr>
          <w:color w:val="000000"/>
        </w:rPr>
        <w:t>☐</w:t>
      </w:r>
    </w:p>
    <w:p>
      <w:pPr>
        <w:pStyle w:val="TextBody"/>
        <w:spacing w:lineRule="auto" w:line="288" w:before="12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xml:space="preserve"> </w:t>
      </w:r>
      <w:r>
        <w:rPr>
          <w:rFonts w:ascii="Times New Roman;sans-serif" w:hAnsi="Times New Roman;sans-serif"/>
          <w:b w:val="false"/>
          <w:color w:val="000000"/>
          <w:sz w:val="19"/>
        </w:rPr>
        <w:t>Yes  </w:t>
      </w:r>
      <w:r>
        <w:rPr>
          <w:color w:val="000000"/>
        </w:rPr>
        <w:t>☒    </w:t>
      </w:r>
      <w:r>
        <w:rPr>
          <w:rFonts w:ascii="Times New Roman;sans-serif" w:hAnsi="Times New Roman;sans-serif"/>
          <w:b w:val="false"/>
          <w:color w:val="000000"/>
          <w:sz w:val="19"/>
        </w:rPr>
        <w:t>No  </w:t>
      </w:r>
      <w:r>
        <w:rPr>
          <w:color w:val="000000"/>
        </w:rPr>
        <w:t>☐</w:t>
      </w:r>
    </w:p>
    <w:p>
      <w:pPr>
        <w:pStyle w:val="TextBody"/>
        <w:spacing w:lineRule="auto" w:line="288" w:before="120" w:after="283"/>
        <w:jc w:val="both"/>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89" w:type="dxa"/>
        <w:jc w:val="left"/>
        <w:tblInd w:w="0" w:type="dxa"/>
        <w:tblCellMar>
          <w:top w:w="28" w:type="dxa"/>
          <w:left w:w="28" w:type="dxa"/>
          <w:bottom w:w="28" w:type="dxa"/>
          <w:right w:w="28" w:type="dxa"/>
        </w:tblCellMar>
      </w:tblPr>
      <w:tblGrid>
        <w:gridCol w:w="842"/>
        <w:gridCol w:w="741"/>
        <w:gridCol w:w="742"/>
        <w:gridCol w:w="109"/>
        <w:gridCol w:w="109"/>
        <w:gridCol w:w="109"/>
        <w:gridCol w:w="109"/>
        <w:gridCol w:w="109"/>
        <w:gridCol w:w="109"/>
        <w:gridCol w:w="109"/>
        <w:gridCol w:w="109"/>
        <w:gridCol w:w="109"/>
        <w:gridCol w:w="769"/>
        <w:gridCol w:w="769"/>
        <w:gridCol w:w="773"/>
        <w:gridCol w:w="109"/>
        <w:gridCol w:w="109"/>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80" w:after="283"/>
        <w:jc w:val="both"/>
        <w:rPr/>
      </w:pPr>
      <w:r>
        <w:rPr>
          <w:rFonts w:ascii="Times New Roman;sans-serif" w:hAnsi="Times New Roman;sans-serif"/>
          <w:b w:val="false"/>
          <w:color w:val="000000"/>
          <w:sz w:val="19"/>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9"/>
        </w:rPr>
        <w:t>No  </w:t>
      </w:r>
      <w:r>
        <w:rPr>
          <w:color w:val="000000"/>
        </w:rPr>
        <w:t>☒</w:t>
      </w:r>
    </w:p>
    <w:p>
      <w:pPr>
        <w:pStyle w:val="TextBody"/>
        <w:spacing w:lineRule="auto" w:line="288" w:before="180" w:after="283"/>
        <w:rPr>
          <w:rFonts w:ascii="Times New Roman;sans-serif" w:hAnsi="Times New Roman;sans-serif"/>
          <w:b w:val="false"/>
          <w:color w:val="000000"/>
          <w:sz w:val="19"/>
        </w:rPr>
      </w:pPr>
      <w:r>
        <w:rPr>
          <w:rFonts w:ascii="Times New Roman;sans-serif" w:hAnsi="Times New Roman;sans-serif"/>
          <w:b w:val="false"/>
          <w:color w:val="000000"/>
          <w:sz w:val="19"/>
        </w:rPr>
        <w:t>Indicate the number of shares outstanding of each of the issuer’s classes of common stock, as of the latest practicable date: 14,766,492 shares of common stock as of May 9, 2022.</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240" w:after="120"/>
        <w:rPr/>
      </w:pPr>
      <w:r>
        <w:rPr/>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CUMBERLAND PHARMACEUTICALS INC.</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INDEX</w:t>
      </w:r>
    </w:p>
    <w:tbl>
      <w:tblPr>
        <w:tblW w:w="8352" w:type="dxa"/>
        <w:jc w:val="left"/>
        <w:tblInd w:w="0" w:type="dxa"/>
        <w:tblCellMar>
          <w:top w:w="28" w:type="dxa"/>
          <w:left w:w="28" w:type="dxa"/>
          <w:bottom w:w="28" w:type="dxa"/>
          <w:right w:w="28" w:type="dxa"/>
        </w:tblCellMar>
      </w:tblPr>
      <w:tblGrid>
        <w:gridCol w:w="2890"/>
        <w:gridCol w:w="2541"/>
        <w:gridCol w:w="2549"/>
        <w:gridCol w:w="109"/>
        <w:gridCol w:w="109"/>
        <w:gridCol w:w="154"/>
      </w:tblGrid>
      <w:tr>
        <w:trPr/>
        <w:tc>
          <w:tcPr>
            <w:tcW w:w="2890" w:type="dxa"/>
            <w:tcBorders/>
            <w:shd w:fill="auto" w:val="clear"/>
            <w:vAlign w:val="center"/>
          </w:tcPr>
          <w:p>
            <w:pPr>
              <w:pStyle w:val="TableContents"/>
              <w:spacing w:before="0" w:after="283"/>
              <w:rPr>
                <w:sz w:val="4"/>
                <w:szCs w:val="4"/>
              </w:rPr>
            </w:pPr>
            <w:r>
              <w:rPr>
                <w:sz w:val="4"/>
                <w:szCs w:val="4"/>
              </w:rPr>
            </w:r>
          </w:p>
        </w:tc>
        <w:tc>
          <w:tcPr>
            <w:tcW w:w="2541" w:type="dxa"/>
            <w:tcBorders/>
            <w:shd w:fill="auto" w:val="clear"/>
            <w:vAlign w:val="center"/>
          </w:tcPr>
          <w:p>
            <w:pPr>
              <w:pStyle w:val="TableContents"/>
              <w:spacing w:before="0" w:after="283"/>
              <w:rPr>
                <w:sz w:val="4"/>
                <w:szCs w:val="4"/>
              </w:rPr>
            </w:pPr>
            <w:r>
              <w:rPr>
                <w:sz w:val="4"/>
                <w:szCs w:val="4"/>
              </w:rPr>
            </w:r>
          </w:p>
        </w:tc>
        <w:tc>
          <w:tcPr>
            <w:tcW w:w="25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d36fc2a31344efa67485eba5f161bf_10">
              <w:r>
                <w:rPr>
                  <w:rStyle w:val="InternetLink"/>
                  <w:rFonts w:ascii="Times New Roman;sans-serif" w:hAnsi="Times New Roman;sans-serif"/>
                  <w:b w:val="false"/>
                  <w:color w:val="0000FF"/>
                  <w:sz w:val="20"/>
                  <w:u w:val="single"/>
                </w:rPr>
                <w:t>PART I – FINANCIAL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1d36fc2a31344efa67485eba5f161bf_10">
              <w:r>
                <w:rPr>
                  <w:rStyle w:val="InternetLink"/>
                  <w:rFonts w:ascii="Times New Roman;sans-serif" w:hAnsi="Times New Roman;sans-serif"/>
                  <w:b w:val="false"/>
                  <w:color w:val="0000FF"/>
                  <w:sz w:val="20"/>
                  <w:u w:val="single"/>
                </w:rPr>
                <w:t>1</w:t>
              </w:r>
            </w:hyperlink>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d36fc2a31344efa67485eba5f161bf_13">
              <w:r>
                <w:rPr>
                  <w:rStyle w:val="InternetLink"/>
                  <w:rFonts w:ascii="Times New Roman;sans-serif" w:hAnsi="Times New Roman;sans-serif"/>
                  <w:b w:val="false"/>
                  <w:color w:val="0000FF"/>
                  <w:sz w:val="20"/>
                  <w:u w:val="single"/>
                </w:rPr>
                <w:t>Item 1. Financial Statements (Unaudited)</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1d36fc2a31344efa67485eba5f161bf_13">
              <w:r>
                <w:rPr>
                  <w:rStyle w:val="InternetLink"/>
                  <w:rFonts w:ascii="Times New Roman;sans-serif" w:hAnsi="Times New Roman;sans-serif"/>
                  <w:b w:val="false"/>
                  <w:color w:val="0000FF"/>
                  <w:sz w:val="20"/>
                  <w:u w:val="single"/>
                </w:rPr>
                <w:t>1</w:t>
              </w:r>
            </w:hyperlink>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d36fc2a31344efa67485eba5f161bf_16">
              <w:r>
                <w:rPr>
                  <w:rStyle w:val="InternetLink"/>
                  <w:rFonts w:ascii="Times New Roman;sans-serif" w:hAnsi="Times New Roman;sans-serif"/>
                  <w:b w:val="false"/>
                  <w:color w:val="0000FF"/>
                  <w:sz w:val="20"/>
                  <w:u w:val="single"/>
                </w:rPr>
                <w:t>Condensed Consolidated Balance Sheets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1d36fc2a31344efa67485eba5f161bf_16">
              <w:r>
                <w:rPr>
                  <w:rStyle w:val="InternetLink"/>
                  <w:rFonts w:ascii="Times New Roman;sans-serif" w:hAnsi="Times New Roman;sans-serif"/>
                  <w:b w:val="false"/>
                  <w:color w:val="0000FF"/>
                  <w:sz w:val="20"/>
                  <w:u w:val="single"/>
                </w:rPr>
                <w:t>1</w:t>
              </w:r>
            </w:hyperlink>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d36fc2a31344efa67485eba5f161bf_19">
              <w:r>
                <w:rPr>
                  <w:rStyle w:val="InternetLink"/>
                  <w:rFonts w:ascii="Times New Roman;sans-serif" w:hAnsi="Times New Roman;sans-serif"/>
                  <w:b w:val="false"/>
                  <w:color w:val="0000FF"/>
                  <w:sz w:val="20"/>
                  <w:u w:val="single"/>
                </w:rPr>
                <w:t>Condensed Consolidated Statements of Operations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1d36fc2a31344efa67485eba5f161bf_19">
              <w:r>
                <w:rPr>
                  <w:rStyle w:val="InternetLink"/>
                  <w:rFonts w:ascii="Times New Roman;sans-serif" w:hAnsi="Times New Roman;sans-serif"/>
                  <w:b w:val="false"/>
                  <w:color w:val="0000FF"/>
                  <w:sz w:val="20"/>
                  <w:u w:val="single"/>
                </w:rPr>
                <w:t>2</w:t>
              </w:r>
            </w:hyperlink>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d36fc2a31344efa67485eba5f161bf_22">
              <w:r>
                <w:rPr>
                  <w:rStyle w:val="InternetLink"/>
                  <w:rFonts w:ascii="Times New Roman;sans-serif" w:hAnsi="Times New Roman;sans-serif"/>
                  <w:b w:val="false"/>
                  <w:color w:val="0000FF"/>
                  <w:sz w:val="20"/>
                  <w:u w:val="single"/>
                </w:rPr>
                <w:t>Condensed Consolidated Statements of Cash Flows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1d36fc2a31344efa67485eba5f161bf_22">
              <w:r>
                <w:rPr>
                  <w:rStyle w:val="InternetLink"/>
                  <w:rFonts w:ascii="Times New Roman;sans-serif" w:hAnsi="Times New Roman;sans-serif"/>
                  <w:b w:val="false"/>
                  <w:color w:val="0000FF"/>
                  <w:sz w:val="20"/>
                  <w:u w:val="single"/>
                </w:rPr>
                <w:t>3</w:t>
              </w:r>
            </w:hyperlink>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d36fc2a31344efa67485eba5f161bf_25">
              <w:r>
                <w:rPr>
                  <w:rStyle w:val="InternetLink"/>
                  <w:rFonts w:ascii="Times New Roman;sans-serif" w:hAnsi="Times New Roman;sans-serif"/>
                  <w:b w:val="false"/>
                  <w:color w:val="0000FF"/>
                  <w:sz w:val="20"/>
                  <w:u w:val="single"/>
                </w:rPr>
                <w:t>Condensed Consolidated Statements of Equity</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1d36fc2a31344efa67485eba5f161bf_25">
              <w:r>
                <w:rPr>
                  <w:rStyle w:val="InternetLink"/>
                  <w:rFonts w:ascii="Times New Roman;sans-serif" w:hAnsi="Times New Roman;sans-serif"/>
                  <w:b w:val="false"/>
                  <w:color w:val="0000FF"/>
                  <w:sz w:val="20"/>
                  <w:u w:val="single"/>
                </w:rPr>
                <w:t>4</w:t>
              </w:r>
            </w:hyperlink>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d36fc2a31344efa67485eba5f161bf_28">
              <w:r>
                <w:rPr>
                  <w:rStyle w:val="InternetLink"/>
                  <w:rFonts w:ascii="Times New Roman;sans-serif" w:hAnsi="Times New Roman;sans-serif"/>
                  <w:b w:val="false"/>
                  <w:color w:val="0000FF"/>
                  <w:sz w:val="20"/>
                  <w:u w:val="single"/>
                </w:rPr>
                <w:t>Notes to the Unaudited Condensed Consolidated Financial Statements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1d36fc2a31344efa67485eba5f161bf_28">
              <w:r>
                <w:rPr>
                  <w:rStyle w:val="InternetLink"/>
                  <w:rFonts w:ascii="Times New Roman;sans-serif" w:hAnsi="Times New Roman;sans-serif"/>
                  <w:b w:val="false"/>
                  <w:color w:val="0000FF"/>
                  <w:sz w:val="20"/>
                  <w:u w:val="single"/>
                </w:rPr>
                <w:t>5</w:t>
              </w:r>
            </w:hyperlink>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d36fc2a31344efa67485eba5f161bf_58">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1d36fc2a31344efa67485eba5f161bf_58">
              <w:r>
                <w:rPr>
                  <w:rStyle w:val="InternetLink"/>
                  <w:rFonts w:ascii="Times New Roman;sans-serif" w:hAnsi="Times New Roman;sans-serif"/>
                  <w:b w:val="false"/>
                  <w:color w:val="0000FF"/>
                  <w:sz w:val="20"/>
                  <w:u w:val="single"/>
                </w:rPr>
                <w:t>16</w:t>
              </w:r>
            </w:hyperlink>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d36fc2a31344efa67485eba5f161bf_79">
              <w:r>
                <w:rPr>
                  <w:rStyle w:val="InternetLink"/>
                  <w:rFonts w:ascii="Times New Roman;sans-serif" w:hAnsi="Times New Roman;sans-serif"/>
                  <w:b w:val="false"/>
                  <w:color w:val="0000FF"/>
                  <w:sz w:val="20"/>
                  <w:u w:val="single"/>
                </w:rPr>
                <w:t>Item 3. Quantitative and Qualitative Disclosures About Market Risk</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1d36fc2a31344efa67485eba5f161bf_79">
              <w:r>
                <w:rPr>
                  <w:rStyle w:val="InternetLink"/>
                  <w:rFonts w:ascii="Times New Roman;sans-serif" w:hAnsi="Times New Roman;sans-serif"/>
                  <w:b w:val="false"/>
                  <w:color w:val="0000FF"/>
                  <w:sz w:val="20"/>
                  <w:u w:val="single"/>
                </w:rPr>
                <w:t>27</w:t>
              </w:r>
            </w:hyperlink>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d36fc2a31344efa67485eba5f161bf_82">
              <w:r>
                <w:rPr>
                  <w:rStyle w:val="InternetLink"/>
                  <w:rFonts w:ascii="Times New Roman;sans-serif" w:hAnsi="Times New Roman;sans-serif"/>
                  <w:b w:val="false"/>
                  <w:color w:val="0000FF"/>
                  <w:sz w:val="20"/>
                  <w:u w:val="single"/>
                </w:rPr>
                <w:t>Item 4. Controls and Procedures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1d36fc2a31344efa67485eba5f161bf_82">
              <w:r>
                <w:rPr>
                  <w:rStyle w:val="InternetLink"/>
                  <w:rFonts w:ascii="Times New Roman;sans-serif" w:hAnsi="Times New Roman;sans-serif"/>
                  <w:b w:val="false"/>
                  <w:color w:val="0000FF"/>
                  <w:sz w:val="20"/>
                  <w:u w:val="single"/>
                </w:rPr>
                <w:t>27</w:t>
              </w:r>
            </w:hyperlink>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d36fc2a31344efa67485eba5f161bf_85">
              <w:r>
                <w:rPr>
                  <w:rStyle w:val="InternetLink"/>
                  <w:rFonts w:ascii="Times New Roman;sans-serif" w:hAnsi="Times New Roman;sans-serif"/>
                  <w:b w:val="false"/>
                  <w:color w:val="0000FF"/>
                  <w:sz w:val="20"/>
                  <w:u w:val="single"/>
                </w:rPr>
                <w:t>PART II – OTHER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1d36fc2a31344efa67485eba5f161bf_85">
              <w:r>
                <w:rPr>
                  <w:rStyle w:val="InternetLink"/>
                  <w:rFonts w:ascii="Times New Roman;sans-serif" w:hAnsi="Times New Roman;sans-serif"/>
                  <w:b w:val="false"/>
                  <w:color w:val="0000FF"/>
                  <w:sz w:val="20"/>
                  <w:u w:val="single"/>
                </w:rPr>
                <w:t>28</w:t>
              </w:r>
            </w:hyperlink>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d36fc2a31344efa67485eba5f161bf_88">
              <w:r>
                <w:rPr>
                  <w:rStyle w:val="InternetLink"/>
                  <w:rFonts w:ascii="Times New Roman;sans-serif" w:hAnsi="Times New Roman;sans-serif"/>
                  <w:b w:val="false"/>
                  <w:color w:val="0000FF"/>
                  <w:sz w:val="20"/>
                  <w:u w:val="single"/>
                </w:rPr>
                <w:t>Item 1. Legal Proceedings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1d36fc2a31344efa67485eba5f161bf_88">
              <w:r>
                <w:rPr>
                  <w:rStyle w:val="InternetLink"/>
                  <w:rFonts w:ascii="Times New Roman;sans-serif" w:hAnsi="Times New Roman;sans-serif"/>
                  <w:b w:val="false"/>
                  <w:color w:val="0000FF"/>
                  <w:sz w:val="20"/>
                  <w:u w:val="single"/>
                </w:rPr>
                <w:t>28</w:t>
              </w:r>
            </w:hyperlink>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d36fc2a31344efa67485eba5f161bf_91">
              <w:r>
                <w:rPr>
                  <w:rStyle w:val="InternetLink"/>
                  <w:rFonts w:ascii="Times New Roman;sans-serif" w:hAnsi="Times New Roman;sans-serif"/>
                  <w:b w:val="false"/>
                  <w:color w:val="0000FF"/>
                  <w:sz w:val="20"/>
                  <w:u w:val="single"/>
                </w:rPr>
                <w:t>Item 1A. Risk Factors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1d36fc2a31344efa67485eba5f161bf_91">
              <w:r>
                <w:rPr>
                  <w:rStyle w:val="InternetLink"/>
                  <w:rFonts w:ascii="Times New Roman;sans-serif" w:hAnsi="Times New Roman;sans-serif"/>
                  <w:b w:val="false"/>
                  <w:color w:val="0000FF"/>
                  <w:sz w:val="20"/>
                  <w:u w:val="single"/>
                </w:rPr>
                <w:t>28</w:t>
              </w:r>
            </w:hyperlink>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d36fc2a31344efa67485eba5f161bf_94">
              <w:r>
                <w:rPr>
                  <w:rStyle w:val="InternetLink"/>
                  <w:rFonts w:ascii="Times New Roman;sans-serif" w:hAnsi="Times New Roman;sans-serif"/>
                  <w:b w:val="false"/>
                  <w:color w:val="0000FF"/>
                  <w:sz w:val="20"/>
                  <w:u w:val="single"/>
                </w:rPr>
                <w:t>Item 2. Unregistered Sales of Equity Securities and Use of Proceeds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1d36fc2a31344efa67485eba5f161bf_94">
              <w:r>
                <w:rPr>
                  <w:rStyle w:val="InternetLink"/>
                  <w:rFonts w:ascii="Times New Roman;sans-serif" w:hAnsi="Times New Roman;sans-serif"/>
                  <w:b w:val="false"/>
                  <w:color w:val="0000FF"/>
                  <w:sz w:val="20"/>
                  <w:u w:val="single"/>
                </w:rPr>
                <w:t>28</w:t>
              </w:r>
            </w:hyperlink>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d36fc2a31344efa67485eba5f161bf_97">
              <w:r>
                <w:rPr>
                  <w:rStyle w:val="InternetLink"/>
                  <w:rFonts w:ascii="Times New Roman;sans-serif" w:hAnsi="Times New Roman;sans-serif"/>
                  <w:b w:val="false"/>
                  <w:color w:val="0000FF"/>
                  <w:sz w:val="20"/>
                  <w:u w:val="single"/>
                </w:rPr>
                <w:t>Item 6. Exhibits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1d36fc2a31344efa67485eba5f161bf_97">
              <w:r>
                <w:rPr>
                  <w:rStyle w:val="InternetLink"/>
                  <w:rFonts w:ascii="Times New Roman;sans-serif" w:hAnsi="Times New Roman;sans-serif"/>
                  <w:b w:val="false"/>
                  <w:color w:val="0000FF"/>
                  <w:sz w:val="20"/>
                  <w:u w:val="single"/>
                </w:rPr>
                <w:t>29</w:t>
              </w:r>
            </w:hyperlink>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d36fc2a31344efa67485eba5f161bf_100">
              <w:r>
                <w:rPr>
                  <w:rStyle w:val="InternetLink"/>
                  <w:rFonts w:ascii="Times New Roman;sans-serif" w:hAnsi="Times New Roman;sans-serif"/>
                  <w:b w:val="false"/>
                  <w:color w:val="0000FF"/>
                  <w:sz w:val="20"/>
                  <w:u w:val="single"/>
                </w:rPr>
                <w:t>SIGNATURES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1d36fc2a31344efa67485eba5f161bf_100">
              <w:r>
                <w:rPr>
                  <w:rStyle w:val="InternetLink"/>
                  <w:rFonts w:ascii="Times New Roman;sans-serif" w:hAnsi="Times New Roman;sans-serif"/>
                  <w:b w:val="false"/>
                  <w:color w:val="0000FF"/>
                  <w:sz w:val="20"/>
                  <w:u w:val="single"/>
                </w:rPr>
                <w:t>30</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658"/>
        <w:gridCol w:w="2125"/>
        <w:gridCol w:w="2098"/>
        <w:gridCol w:w="213"/>
        <w:gridCol w:w="1093"/>
        <w:gridCol w:w="110"/>
        <w:gridCol w:w="109"/>
        <w:gridCol w:w="109"/>
        <w:gridCol w:w="109"/>
        <w:gridCol w:w="230"/>
        <w:gridCol w:w="1180"/>
        <w:gridCol w:w="171"/>
      </w:tblGrid>
      <w:tr>
        <w:trPr/>
        <w:tc>
          <w:tcPr>
            <w:tcW w:w="2658" w:type="dxa"/>
            <w:tcBorders/>
            <w:shd w:fill="auto" w:val="clear"/>
            <w:vAlign w:val="center"/>
          </w:tcPr>
          <w:p>
            <w:pPr>
              <w:pStyle w:val="TableContents"/>
              <w:spacing w:before="0" w:after="283"/>
              <w:rPr>
                <w:sz w:val="4"/>
                <w:szCs w:val="4"/>
              </w:rPr>
            </w:pPr>
            <w:r>
              <w:rPr>
                <w:sz w:val="4"/>
                <w:szCs w:val="4"/>
              </w:rPr>
            </w:r>
          </w:p>
        </w:tc>
        <w:tc>
          <w:tcPr>
            <w:tcW w:w="2125"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6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17,266,785 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27,040,816 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1" w:type="dxa"/>
            <w:gridSpan w:val="3"/>
            <w:tcBorders/>
            <w:shd w:fill="auto" w:val="clear"/>
            <w:vAlign w:val="center"/>
          </w:tcPr>
          <w:p>
            <w:pPr>
              <w:pStyle w:val="TableContents"/>
              <w:spacing w:before="0" w:after="283"/>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14,635,435 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6,877,346 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9,878,680 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8,429,882 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3,561,027 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3,339,969 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45,341,927 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45,688,013 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inventories</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10,593,792 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9,048,567 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409,121 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442,635 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34,479,356 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23,954,475 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1,932,876 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882,000 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761,177 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1,024,200 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3,178,857 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3,419,908 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96,697,106 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84,459,798 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11,447,505 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9,640,980 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766,488 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969,677 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12,343,405 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8,668,303 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24,557,398 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19,278,960 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w:t>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90,016 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11,323,593 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7,488,844 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55,903,703 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41,857,820 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stock—no par value; 100,000,000 shares authorized; 14,730,760 and 14,742,754 shares issued and outstanding as of March 31, 2022 and December 31, 2021 , respectively</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48,046,764 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48,452,906 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 (deficit)</w:t>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(7,023,853)</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(5,638,600)</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41,022,911 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42,814,306 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(229,508)</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(212,328)</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40,793,403 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42,601,978 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96,697,106 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84,459,798 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Unaudited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036"/>
        <w:gridCol w:w="1754"/>
        <w:gridCol w:w="1762"/>
        <w:gridCol w:w="109"/>
        <w:gridCol w:w="109"/>
        <w:gridCol w:w="178"/>
        <w:gridCol w:w="178"/>
        <w:gridCol w:w="346"/>
        <w:gridCol w:w="1778"/>
        <w:gridCol w:w="178"/>
        <w:gridCol w:w="109"/>
        <w:gridCol w:w="109"/>
        <w:gridCol w:w="109"/>
        <w:gridCol w:w="211"/>
        <w:gridCol w:w="1081"/>
        <w:gridCol w:w="158"/>
      </w:tblGrid>
      <w:tr>
        <w:trPr/>
        <w:tc>
          <w:tcPr>
            <w:tcW w:w="2036" w:type="dxa"/>
            <w:tcBorders/>
            <w:shd w:fill="auto" w:val="clear"/>
            <w:vAlign w:val="center"/>
          </w:tcPr>
          <w:p>
            <w:pPr>
              <w:pStyle w:val="TableContents"/>
              <w:spacing w:before="0" w:after="283"/>
              <w:rPr>
                <w:sz w:val="4"/>
                <w:szCs w:val="4"/>
              </w:rPr>
            </w:pPr>
            <w:r>
              <w:rPr>
                <w:sz w:val="4"/>
                <w:szCs w:val="4"/>
              </w:rPr>
            </w:r>
          </w:p>
        </w:tc>
        <w:tc>
          <w:tcPr>
            <w:tcW w:w="1754" w:type="dxa"/>
            <w:tcBorders/>
            <w:shd w:fill="auto" w:val="clear"/>
            <w:vAlign w:val="center"/>
          </w:tcPr>
          <w:p>
            <w:pPr>
              <w:pStyle w:val="TableContents"/>
              <w:spacing w:before="0" w:after="283"/>
              <w:rPr>
                <w:sz w:val="4"/>
                <w:szCs w:val="4"/>
              </w:rPr>
            </w:pPr>
            <w:r>
              <w:rPr>
                <w:sz w:val="4"/>
                <w:szCs w:val="4"/>
              </w:rPr>
            </w:r>
          </w:p>
        </w:tc>
        <w:tc>
          <w:tcPr>
            <w:tcW w:w="17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7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777" w:type="dxa"/>
            <w:gridSpan w:val="6"/>
            <w:tcBorders/>
            <w:shd w:fill="auto" w:val="clear"/>
          </w:tcPr>
          <w:p>
            <w:pPr>
              <w:pStyle w:val="TableContents"/>
              <w:spacing w:before="0" w:after="283"/>
              <w:rPr>
                <w:sz w:val="4"/>
                <w:szCs w:val="4"/>
              </w:rPr>
            </w:pPr>
            <w:r>
              <w:rPr>
                <w:sz w:val="4"/>
                <w:szCs w:val="4"/>
              </w:rPr>
            </w:r>
          </w:p>
        </w:tc>
      </w:tr>
      <w:tr>
        <w:trPr/>
        <w:tc>
          <w:tcPr>
            <w:tcW w:w="5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5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11,175,045 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10,537,159 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3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2,211,885 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2,417,329 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4,614,429 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3,787,340 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1,745,136 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1,257,367 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2,302,349 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2,230,509 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1,593,245 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1,168,914 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12,467,044 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10,861,459 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(1,291,999)</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(324,300)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16,041 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(119,575)</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(24,417)</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(1,395,533)</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(343,291)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(7,458)</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(1,402,433)</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(350,749)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495,410 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(1,402,433)</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144,661 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 subsidiary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17,180 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(1,385,253)</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166,828 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attributable to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3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Continuing operations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Discontinued operations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Continuing operations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Discontinued operations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14,691,623 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14,974,663 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14,691,623 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15,244,146 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TextBody"/>
        <w:spacing w:before="34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611"/>
        <w:gridCol w:w="2205"/>
        <w:gridCol w:w="2213"/>
        <w:gridCol w:w="211"/>
        <w:gridCol w:w="1081"/>
        <w:gridCol w:w="109"/>
        <w:gridCol w:w="109"/>
        <w:gridCol w:w="109"/>
        <w:gridCol w:w="109"/>
        <w:gridCol w:w="211"/>
        <w:gridCol w:w="1081"/>
        <w:gridCol w:w="156"/>
      </w:tblGrid>
      <w:tr>
        <w:trPr/>
        <w:tc>
          <w:tcPr>
            <w:tcW w:w="2611"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22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144,661 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(350,749)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from continuing operations to net cash provided by operating activities:</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1,653,746 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1,227,607 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non-cash contingent consideration</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(280,020)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surrender value of life insurance policies over premiums paid</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(76,300)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noncash interest expense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assets and liabilities affecting operating activities:</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(7,758,089)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(171,584)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2,271,484 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1,868,350 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and other assets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current liabilities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4,461,389 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(1,311,123)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(299,937)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 from continuing operations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1,290,139 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1,785,549 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and equipment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8" w:type="dxa"/>
            <w:gridSpan w:val="3"/>
            <w:tcBorders/>
            <w:shd w:fill="auto" w:val="clear"/>
            <w:vAlign w:val="center"/>
          </w:tcPr>
          <w:p>
            <w:pPr>
              <w:pStyle w:val="TableContents"/>
              <w:spacing w:before="0" w:after="283"/>
              <w:rPr>
                <w:sz w:val="4"/>
                <w:szCs w:val="4"/>
              </w:rPr>
            </w:pPr>
            <w:r>
              <w:rPr>
                <w:sz w:val="4"/>
                <w:szCs w:val="4"/>
              </w:rPr>
            </w:r>
          </w:p>
        </w:tc>
      </w:tr>
      <w:tr>
        <w:trPr/>
        <w:tc>
          <w:tcPr>
            <w:tcW w:w="7029"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8" w:type="dxa"/>
            <w:gridSpan w:val="3"/>
            <w:tcBorders/>
            <w:shd w:fill="auto" w:val="cle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 investment funding</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intangible assets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(98,883)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(13,541,898)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(318,341)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8" w:type="dxa"/>
            <w:gridSpan w:val="3"/>
            <w:tcBorders/>
            <w:shd w:fill="auto" w:val="clear"/>
            <w:vAlign w:val="center"/>
          </w:tcPr>
          <w:p>
            <w:pPr>
              <w:pStyle w:val="TableContents"/>
              <w:spacing w:before="0" w:after="283"/>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line of credit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line of credit</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of contingent consideration</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(995,277)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shares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(302,802)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(1,298,079)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(9,774,031)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27,040,816 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24,753,796 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17,266,785 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24,922,925 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7029"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8" w:type="dxa"/>
            <w:gridSpan w:val="3"/>
            <w:tcBorders/>
            <w:shd w:fill="auto" w:val="clear"/>
            <w:vAlign w:val="center"/>
          </w:tcPr>
          <w:p>
            <w:pPr>
              <w:pStyle w:val="TableContents"/>
              <w:spacing w:before="0" w:after="283"/>
              <w:rPr>
                <w:sz w:val="4"/>
                <w:szCs w:val="4"/>
              </w:rPr>
            </w:pPr>
            <w:r>
              <w:rPr>
                <w:sz w:val="4"/>
                <w:szCs w:val="4"/>
              </w:rPr>
            </w:r>
          </w:p>
        </w:tc>
      </w:tr>
      <w:tr>
        <w:trPr/>
        <w:tc>
          <w:tcPr>
            <w:tcW w:w="7029"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8" w:type="dxa"/>
            <w:gridSpan w:val="3"/>
            <w:tcBorders/>
            <w:shd w:fill="auto" w:val="clear"/>
            <w:vAlign w:val="center"/>
          </w:tcPr>
          <w:p>
            <w:pPr>
              <w:pStyle w:val="TableContents"/>
              <w:spacing w:before="0" w:after="283"/>
              <w:rPr>
                <w:sz w:val="4"/>
                <w:szCs w:val="4"/>
              </w:rPr>
            </w:pPr>
            <w:r>
              <w:rPr>
                <w:sz w:val="4"/>
                <w:szCs w:val="4"/>
              </w:rPr>
            </w:r>
          </w:p>
        </w:tc>
      </w:tr>
      <w:tr>
        <w:trPr/>
        <w:tc>
          <w:tcPr>
            <w:tcW w:w="7029"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8" w:type="dxa"/>
            <w:gridSpan w:val="3"/>
            <w:tcBorders/>
            <w:shd w:fill="auto" w:val="clear"/>
            <w:vAlign w:val="center"/>
          </w:tcPr>
          <w:p>
            <w:pPr>
              <w:pStyle w:val="TableContents"/>
              <w:spacing w:before="0" w:after="283"/>
              <w:rPr>
                <w:sz w:val="4"/>
                <w:szCs w:val="4"/>
              </w:rPr>
            </w:pPr>
            <w:r>
              <w:rPr>
                <w:sz w:val="4"/>
                <w:szCs w:val="4"/>
              </w:rPr>
            </w:r>
          </w:p>
        </w:tc>
      </w:tr>
      <w:tr>
        <w:trPr/>
        <w:tc>
          <w:tcPr>
            <w:tcW w:w="7029"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8" w:type="dxa"/>
            <w:gridSpan w:val="3"/>
            <w:tcBorders/>
            <w:shd w:fill="auto" w:val="clear"/>
            <w:vAlign w:val="center"/>
          </w:tcPr>
          <w:p>
            <w:pPr>
              <w:pStyle w:val="TableContents"/>
              <w:spacing w:before="0" w:after="283"/>
              <w:rPr>
                <w:sz w:val="4"/>
                <w:szCs w:val="4"/>
              </w:rPr>
            </w:pPr>
            <w:r>
              <w:rPr>
                <w:sz w:val="4"/>
                <w:szCs w:val="4"/>
              </w:rPr>
            </w:r>
          </w:p>
        </w:tc>
      </w:tr>
      <w:tr>
        <w:trPr/>
        <w:tc>
          <w:tcPr>
            <w:tcW w:w="7029"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8" w:type="dxa"/>
            <w:gridSpan w:val="3"/>
            <w:tcBorders/>
            <w:shd w:fill="auto" w:val="clear"/>
            <w:vAlign w:val="center"/>
          </w:tcPr>
          <w:p>
            <w:pPr>
              <w:pStyle w:val="TableContents"/>
              <w:spacing w:before="0" w:after="283"/>
              <w:rPr>
                <w:sz w:val="4"/>
                <w:szCs w:val="4"/>
              </w:rPr>
            </w:pPr>
            <w:r>
              <w:rPr>
                <w:sz w:val="4"/>
                <w:szCs w:val="4"/>
              </w:rPr>
            </w:r>
          </w:p>
        </w:tc>
      </w:tr>
      <w:tr>
        <w:trPr/>
        <w:tc>
          <w:tcPr>
            <w:tcW w:w="7029"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8" w:type="dxa"/>
            <w:gridSpan w:val="3"/>
            <w:tcBorders/>
            <w:shd w:fill="auto" w:val="clear"/>
            <w:vAlign w:val="center"/>
          </w:tcPr>
          <w:p>
            <w:pPr>
              <w:pStyle w:val="TableContents"/>
              <w:spacing w:before="0" w:after="283"/>
              <w:rPr>
                <w:sz w:val="4"/>
                <w:szCs w:val="4"/>
              </w:rPr>
            </w:pPr>
            <w:r>
              <w:rPr>
                <w:sz w:val="4"/>
                <w:szCs w:val="4"/>
              </w:rPr>
            </w:r>
          </w:p>
        </w:tc>
      </w:tr>
      <w:tr>
        <w:trPr/>
        <w:tc>
          <w:tcPr>
            <w:tcW w:w="7029"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8" w:type="dxa"/>
            <w:gridSpan w:val="3"/>
            <w:tcBorders/>
            <w:shd w:fill="auto" w:val="clear"/>
            <w:vAlign w:val="center"/>
          </w:tcPr>
          <w:p>
            <w:pPr>
              <w:pStyle w:val="TableContents"/>
              <w:spacing w:before="0" w:after="283"/>
              <w:rPr>
                <w:sz w:val="4"/>
                <w:szCs w:val="4"/>
              </w:rPr>
            </w:pPr>
            <w:r>
              <w:rPr>
                <w:sz w:val="4"/>
                <w:szCs w:val="4"/>
              </w:rPr>
            </w:r>
          </w:p>
        </w:tc>
      </w:tr>
      <w:tr>
        <w:trPr/>
        <w:tc>
          <w:tcPr>
            <w:tcW w:w="7029"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783"/>
        <w:gridCol w:w="402"/>
        <w:gridCol w:w="404"/>
        <w:gridCol w:w="540"/>
        <w:gridCol w:w="541"/>
        <w:gridCol w:w="226"/>
        <w:gridCol w:w="109"/>
        <w:gridCol w:w="109"/>
        <w:gridCol w:w="109"/>
        <w:gridCol w:w="211"/>
        <w:gridCol w:w="1081"/>
        <w:gridCol w:w="109"/>
        <w:gridCol w:w="109"/>
        <w:gridCol w:w="109"/>
        <w:gridCol w:w="109"/>
        <w:gridCol w:w="247"/>
        <w:gridCol w:w="1191"/>
        <w:gridCol w:w="127"/>
        <w:gridCol w:w="109"/>
        <w:gridCol w:w="109"/>
        <w:gridCol w:w="109"/>
        <w:gridCol w:w="287"/>
        <w:gridCol w:w="1148"/>
        <w:gridCol w:w="149"/>
        <w:gridCol w:w="109"/>
        <w:gridCol w:w="109"/>
        <w:gridCol w:w="109"/>
        <w:gridCol w:w="211"/>
        <w:gridCol w:w="1081"/>
        <w:gridCol w:w="159"/>
      </w:tblGrid>
      <w:tr>
        <w:trPr/>
        <w:tc>
          <w:tcPr>
            <w:tcW w:w="783"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equity</w:t>
            </w:r>
          </w:p>
        </w:tc>
      </w:tr>
      <w:tr>
        <w:trPr/>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2020</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14,988,429 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49,121,523 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(2,131,013)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(117,116)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46,873,394 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187,759 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162,960 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shares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(91,724)</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(303,088)</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166,828 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(22,167)</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144,661 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2021</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15,084,464 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48,981,395 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(1,964,185)</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(139,283)</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46,877,927 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330"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3330"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3330"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783"/>
        <w:gridCol w:w="402"/>
        <w:gridCol w:w="404"/>
        <w:gridCol w:w="540"/>
        <w:gridCol w:w="541"/>
        <w:gridCol w:w="226"/>
        <w:gridCol w:w="109"/>
        <w:gridCol w:w="109"/>
        <w:gridCol w:w="109"/>
        <w:gridCol w:w="211"/>
        <w:gridCol w:w="1081"/>
        <w:gridCol w:w="109"/>
        <w:gridCol w:w="109"/>
        <w:gridCol w:w="109"/>
        <w:gridCol w:w="109"/>
        <w:gridCol w:w="247"/>
        <w:gridCol w:w="1191"/>
        <w:gridCol w:w="127"/>
        <w:gridCol w:w="109"/>
        <w:gridCol w:w="109"/>
        <w:gridCol w:w="109"/>
        <w:gridCol w:w="287"/>
        <w:gridCol w:w="1148"/>
        <w:gridCol w:w="149"/>
        <w:gridCol w:w="109"/>
        <w:gridCol w:w="109"/>
        <w:gridCol w:w="109"/>
        <w:gridCol w:w="211"/>
        <w:gridCol w:w="1081"/>
        <w:gridCol w:w="159"/>
      </w:tblGrid>
      <w:tr>
        <w:trPr/>
        <w:tc>
          <w:tcPr>
            <w:tcW w:w="783"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equity</w:t>
            </w:r>
          </w:p>
        </w:tc>
      </w:tr>
      <w:tr>
        <w:trPr/>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14,742,754 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48,452,906 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(5,638,600)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(212,328)</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42,601,978 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162,155 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159,901 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shares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(174,149)</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(566,043)</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(1,385,253)</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(17,180)</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(1,402,433)</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2022</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14,730,760 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48,046,764 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(7,023,853)</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(229,508)</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40,793,403 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330"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3330"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7181" w:type="dxa"/>
        <w:jc w:val="left"/>
        <w:tblInd w:w="0" w:type="dxa"/>
        <w:tblCellMar>
          <w:top w:w="28" w:type="dxa"/>
          <w:left w:w="28" w:type="dxa"/>
          <w:bottom w:w="28" w:type="dxa"/>
          <w:right w:w="28" w:type="dxa"/>
        </w:tblCellMar>
      </w:tblPr>
      <w:tblGrid>
        <w:gridCol w:w="268"/>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333"/>
      </w:tblGrid>
      <w:tr>
        <w:trPr/>
        <w:tc>
          <w:tcPr>
            <w:tcW w:w="26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r>
      <w:tr>
        <w:trPr/>
        <w:tc>
          <w:tcPr>
            <w:tcW w:w="738"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803" w:type="dxa"/>
            <w:gridSpan w:val="3"/>
            <w:tcBorders/>
            <w:shd w:fill="auto" w:val="clear"/>
            <w:vAlign w:val="center"/>
          </w:tcPr>
          <w:p>
            <w:pPr>
              <w:pStyle w:val="TableContents"/>
              <w:spacing w:before="0" w:after="283"/>
              <w:rPr>
                <w:sz w:val="4"/>
                <w:szCs w:val="4"/>
              </w:rPr>
            </w:pPr>
            <w:r>
              <w:rPr>
                <w:sz w:val="4"/>
                <w:szCs w:val="4"/>
              </w:rPr>
            </w:r>
          </w:p>
        </w:tc>
      </w:tr>
      <w:tr>
        <w:trPr/>
        <w:tc>
          <w:tcPr>
            <w:tcW w:w="738"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803" w:type="dxa"/>
            <w:gridSpan w:val="3"/>
            <w:tcBorders/>
            <w:shd w:fill="auto" w:val="clear"/>
            <w:vAlign w:val="center"/>
          </w:tcPr>
          <w:p>
            <w:pPr>
              <w:pStyle w:val="TableContents"/>
              <w:spacing w:before="0" w:after="283"/>
              <w:rPr>
                <w:sz w:val="4"/>
                <w:szCs w:val="4"/>
              </w:rPr>
            </w:pPr>
            <w:r>
              <w:rPr>
                <w:sz w:val="4"/>
                <w:szCs w:val="4"/>
              </w:rPr>
            </w:r>
          </w:p>
        </w:tc>
      </w:tr>
      <w:tr>
        <w:trPr/>
        <w:tc>
          <w:tcPr>
            <w:tcW w:w="738"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803" w:type="dxa"/>
            <w:gridSpan w:val="3"/>
            <w:tcBorders/>
            <w:shd w:fill="auto" w:val="clear"/>
            <w:vAlign w:val="center"/>
          </w:tcPr>
          <w:p>
            <w:pPr>
              <w:pStyle w:val="TableContents"/>
              <w:spacing w:before="0" w:after="283"/>
              <w:rPr>
                <w:sz w:val="4"/>
                <w:szCs w:val="4"/>
              </w:rPr>
            </w:pPr>
            <w:r>
              <w:rPr>
                <w:sz w:val="4"/>
                <w:szCs w:val="4"/>
              </w:rPr>
            </w:r>
          </w:p>
        </w:tc>
      </w:tr>
      <w:tr>
        <w:trPr/>
        <w:tc>
          <w:tcPr>
            <w:tcW w:w="738"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803" w:type="dxa"/>
            <w:gridSpan w:val="3"/>
            <w:tcBorders/>
            <w:shd w:fill="auto" w:val="clear"/>
            <w:vAlign w:val="center"/>
          </w:tcPr>
          <w:p>
            <w:pPr>
              <w:pStyle w:val="TableContents"/>
              <w:spacing w:before="0" w:after="283"/>
              <w:rPr>
                <w:sz w:val="4"/>
                <w:szCs w:val="4"/>
              </w:rPr>
            </w:pPr>
            <w:r>
              <w:rPr>
                <w:sz w:val="4"/>
                <w:szCs w:val="4"/>
              </w:rPr>
            </w:r>
          </w:p>
        </w:tc>
      </w:tr>
      <w:tr>
        <w:trPr/>
        <w:tc>
          <w:tcPr>
            <w:tcW w:w="738"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803" w:type="dxa"/>
            <w:gridSpan w:val="3"/>
            <w:tcBorders/>
            <w:shd w:fill="auto" w:val="clear"/>
            <w:vAlign w:val="center"/>
          </w:tcPr>
          <w:p>
            <w:pPr>
              <w:pStyle w:val="TableContents"/>
              <w:spacing w:before="0" w:after="283"/>
              <w:rPr>
                <w:sz w:val="4"/>
                <w:szCs w:val="4"/>
              </w:rPr>
            </w:pPr>
            <w:r>
              <w:rPr>
                <w:sz w:val="4"/>
                <w:szCs w:val="4"/>
              </w:rPr>
            </w:r>
          </w:p>
        </w:tc>
      </w:tr>
      <w:tr>
        <w:trPr/>
        <w:tc>
          <w:tcPr>
            <w:tcW w:w="738"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803" w:type="dxa"/>
            <w:gridSpan w:val="3"/>
            <w:tcBorders/>
            <w:shd w:fill="auto" w:val="clear"/>
            <w:vAlign w:val="center"/>
          </w:tcPr>
          <w:p>
            <w:pPr>
              <w:pStyle w:val="TableContents"/>
              <w:spacing w:before="0" w:after="283"/>
              <w:rPr>
                <w:sz w:val="4"/>
                <w:szCs w:val="4"/>
              </w:rPr>
            </w:pPr>
            <w:r>
              <w:rPr>
                <w:sz w:val="4"/>
                <w:szCs w:val="4"/>
              </w:rPr>
            </w:r>
          </w:p>
        </w:tc>
      </w:tr>
      <w:tr>
        <w:trPr/>
        <w:tc>
          <w:tcPr>
            <w:tcW w:w="738"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803" w:type="dxa"/>
            <w:gridSpan w:val="3"/>
            <w:tcBorders/>
            <w:shd w:fill="auto" w:val="clear"/>
            <w:vAlign w:val="center"/>
          </w:tcPr>
          <w:p>
            <w:pPr>
              <w:pStyle w:val="TableContents"/>
              <w:spacing w:before="0" w:after="283"/>
              <w:rPr>
                <w:sz w:val="4"/>
                <w:szCs w:val="4"/>
              </w:rPr>
            </w:pPr>
            <w:r>
              <w:rPr>
                <w:sz w:val="4"/>
                <w:szCs w:val="4"/>
              </w:rPr>
            </w:r>
          </w:p>
        </w:tc>
      </w:tr>
      <w:tr>
        <w:trPr/>
        <w:tc>
          <w:tcPr>
            <w:tcW w:w="7181" w:type="dxa"/>
            <w:gridSpan w:val="30"/>
            <w:tcBorders/>
            <w:shd w:fill="auto"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 (“Cumberland,” the “Company,” or as used in the context of “we,” “us,” or “our”) is a specialty pharmaceutical company focused on the acquisition, development and commercialization of branded prescription pharmaceutical products. The Company's primary target markets are hospital acute care, oncology, gastroenterology and rheumatology. These medical specialties are characterized by relatively concentrated prescriber bases that the Company believes can be served effectively by small, targeted sales forces. Cumberland is dedicated to providing innovative products that improve quality of care for patients and address unmet or poorly met medical needs. The Company promotes its approved products through its hospital, oncology and field sales forces in the United States. We are continuing to build a network of international partners to register and provide our medicines to patients in their countries.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control and manufacturing professionals. The Company works closely with its third-party distribution partners to make its products available in the United States.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condensed consolidated financial statements of the Company have been prepared on a basis consistent with the December 31, 2021,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2021 (the “2021 Annual Report on Form 10-K”). The results of operations for the three months ended March 31, 2022, are not necessarily indicative of the results to be expected for the entire fiscal year or any future period.</w:t>
      </w:r>
    </w:p>
    <w:p>
      <w:pPr>
        <w:pStyle w:val="TextBody"/>
        <w:spacing w:lineRule="auto" w:line="288" w:before="16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Discontinued Operations</w:t>
      </w:r>
    </w:p>
    <w:p>
      <w:pPr>
        <w:pStyle w:val="TextBody"/>
        <w:spacing w:lineRule="auto" w:line="288" w:before="160" w:after="283"/>
        <w:jc w:val="both"/>
        <w:rPr/>
      </w:pPr>
      <w:r>
        <w:rPr>
          <w:rFonts w:ascii="Times New Roman;sans-serif" w:hAnsi="Times New Roman;sans-serif"/>
          <w:b w:val="false"/>
          <w:color w:val="000000"/>
          <w:sz w:val="20"/>
          <w:highlight w:val="white"/>
        </w:rPr>
        <w:t>As discussed further in Note 9, during May 2019, Cumberland entered into a Dissolution Agreement ("Dissolution Agreement") with Clinigen Healthcare Limited ("Clinigen") in which the Company returned the exclusive rights to commercialize Ethyol</w:t>
      </w:r>
      <w:r>
        <w:rPr>
          <w:rFonts w:ascii="Times New Roman;sans-serif" w:hAnsi="Times New Roman;sans-serif"/>
          <w:b/>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and Totect</w:t>
      </w:r>
      <w:r>
        <w:rPr>
          <w:rFonts w:ascii="Times New Roman;sans-serif" w:hAnsi="Times New Roman;sans-serif"/>
          <w:b/>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 xml:space="preserve">in the United States to Clinigen. Under the terms of the Dissolution Agreement, Cumberland is no longer involved directly or indirectly with the distribution, marketing and promotion of either Ethyol or Totect or any competing products following December 31, 2019. </w:t>
      </w:r>
      <w:r>
        <w:rPr>
          <w:rFonts w:ascii="Times New Roman;sans-serif" w:hAnsi="Times New Roman;sans-serif"/>
          <w:b w:val="false"/>
          <w:color w:val="000000"/>
          <w:sz w:val="20"/>
        </w:rPr>
        <w:t>The Company's exit from Ethyol and Totect meets the accounting criteria to be reported as discontinued operations and the discontinued operating results have been presented in the financial statements and footnotes to reflect the discontinued status of Ethyol and Totect. Refer to Note 9, for additional information.</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COVID-19 Pandemic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U.S. declared a health care emergency following the outbreak of the SARS-CoV-2, a novel strain of coronavirus that causes COVID-19, a respiratory illness.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Cumberland has remained open for business, as the Company is considered to be essential by the United States Department of Homeland Security. The Company has implemented measures to address the impact of the novel coronavirus on the business and taken appropriate action to protect its employees, secure the supply chain, and support the patients who can benefit from its medicines. All of the Company's employees have been given the opportunity to work remotely, and those that wish to work from Cumberland's office and laboratories are encouraged to practice the behaviors outlined by the Centers for Disease Control.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the pandemic, Cumberland has faced the same challenges affecting other companies that rely on hospital admissions and patient visits to drive revenue. Our clinical studies were impacted as fewer patients sought elective surgeries and our access to medical facilities was substantially limited. During 2020, 2021 and the three months ended March 31, 2022, we carefully monitored our supply chain, including the flow of raw materials into the plants that manufacture our products as well as the batches of finished product emerging from those facilities. Several of our brands were negatively impacted by the lockdowns and postponement of physician office visits and elective procedures. However, we are fortunate to have a diversified product portfolio, with other brands delivering a strong performance during the pandemic.</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240" w:after="120"/>
        <w:rPr/>
      </w:pPr>
      <w:r>
        <w:rPr/>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relies on third-party organizations around the world to supply components, manufacture and distribute its products. The Company is aware that it may experience revenue loss, supply interruptions, time delays and incur unplanned expenses as a result of the impact of the ongoing COVID-19 pandemic. The Company continues to monitor the COVID-19 pandemic situation both in the U.S. and internationally in order to maintain its employees’ safety and well-being, while also keeping its business operating. Given the uncertainty, magnitude and impact of such changes, the Company is unable to quantify the impact on the future results as of the date of this filing.</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Guidance</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 Not Yet Adopted</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Financial Accounting Standards Board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 cumulative-effect adjustment, if any, to retained earnings as of the beginning of the first reporting period in which the guidance is adopted.</w:t>
      </w:r>
    </w:p>
    <w:p>
      <w:pPr>
        <w:pStyle w:val="TextBody"/>
        <w:spacing w:lineRule="auto" w:line="288" w:before="160" w:after="283"/>
        <w:jc w:val="both"/>
        <w:rPr/>
      </w:pPr>
      <w:r>
        <w:rPr>
          <w:rFonts w:ascii="Times New Roman;sans-serif" w:hAnsi="Times New Roman;sans-serif"/>
          <w:b w:val="false"/>
          <w:color w:val="000000"/>
          <w:sz w:val="20"/>
          <w:highlight w:val="white"/>
        </w:rPr>
        <w:t xml:space="preserve">Related to ASU No. 2016-13 discussed above, 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w:t>
      </w:r>
      <w:r>
        <w:rPr>
          <w:rFonts w:ascii="Times New Roman;sans-serif" w:hAnsi="Times New Roman;sans-serif"/>
          <w:b w:val="false"/>
          <w:color w:val="000000"/>
          <w:sz w:val="20"/>
        </w:rPr>
        <w:t>The Company will adopt both ASU 2016-13 and ASU 2019-05 on January 1, 2023. The adoption of ASU 2016-13 and ASU 2019-05 are not expected to have a material impact on the Company’s consolidated financial statements.</w:t>
      </w:r>
    </w:p>
    <w:p>
      <w:pPr>
        <w:pStyle w:val="TextBody"/>
        <w:spacing w:lineRule="auto" w:line="288" w:before="160" w:after="283"/>
        <w:rPr>
          <w:rFonts w:ascii="Times New Roman;sans-serif" w:hAnsi="Times New Roman;sans-serif"/>
          <w:b/>
          <w:i/>
          <w:color w:val="000000"/>
          <w:sz w:val="20"/>
        </w:rPr>
      </w:pPr>
      <w:r>
        <w:rPr>
          <w:rFonts w:ascii="Times New Roman;sans-serif" w:hAnsi="Times New Roman;sans-serif"/>
          <w:b/>
          <w:i/>
          <w:color w:val="000000"/>
          <w:sz w:val="20"/>
        </w:rPr>
        <w:t>Accounting Policies:</w:t>
      </w:r>
    </w:p>
    <w:p>
      <w:pPr>
        <w:pStyle w:val="TextBody"/>
        <w:spacing w:lineRule="auto" w:line="288" w:before="16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Use of Estimates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pStyle w:val="TextBody"/>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Segments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 </w:t>
      </w:r>
    </w:p>
    <w:p>
      <w:pPr>
        <w:pStyle w:val="TextBody"/>
        <w:spacing w:before="120" w:after="283"/>
        <w:jc w:val="both"/>
        <w:rPr/>
      </w:pPr>
      <w:r>
        <w:rPr/>
      </w:r>
    </w:p>
    <w:p>
      <w:pPr>
        <w:pStyle w:val="TextBody"/>
        <w:spacing w:before="120" w:after="283"/>
        <w:jc w:val="both"/>
        <w:rPr/>
      </w:pPr>
      <w:r>
        <w:rPr/>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(2) EARNINGS (LOSS) PER SHARE</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numerator and denominator used to calculate diluted earnings (loss) per share for the three months ended March 31, 2022 and 2021:</w:t>
      </w:r>
    </w:p>
    <w:tbl>
      <w:tblPr>
        <w:tblW w:w="1368"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1368"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8693" w:type="dxa"/>
        <w:jc w:val="left"/>
        <w:tblInd w:w="0" w:type="dxa"/>
        <w:tblCellMar>
          <w:top w:w="28" w:type="dxa"/>
          <w:left w:w="28" w:type="dxa"/>
          <w:bottom w:w="28" w:type="dxa"/>
          <w:right w:w="28" w:type="dxa"/>
        </w:tblCellMar>
      </w:tblPr>
      <w:tblGrid>
        <w:gridCol w:w="2070"/>
        <w:gridCol w:w="1827"/>
        <w:gridCol w:w="1832"/>
        <w:gridCol w:w="211"/>
        <w:gridCol w:w="1051"/>
        <w:gridCol w:w="109"/>
        <w:gridCol w:w="109"/>
        <w:gridCol w:w="109"/>
        <w:gridCol w:w="109"/>
        <w:gridCol w:w="211"/>
        <w:gridCol w:w="901"/>
        <w:gridCol w:w="154"/>
      </w:tblGrid>
      <w:tr>
        <w:trPr/>
        <w:tc>
          <w:tcPr>
            <w:tcW w:w="2070"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(1,402,433)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(350,749)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 subsidiary attributable to noncontrolling interest</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shareholders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(1,385,253)</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166,828 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basic</w:t>
            </w:r>
          </w:p>
        </w:tc>
        <w:tc>
          <w:tcPr>
            <w:tcW w:w="12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14,691,623 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14,974,663 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other securities</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diluted</w:t>
            </w:r>
          </w:p>
        </w:tc>
        <w:tc>
          <w:tcPr>
            <w:tcW w:w="12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14,691,623 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15,244,146 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and 2021, restricted stock awards and options to purchase 131,225 and 215,600 shares of common stock, respectively, were outstanding but were not included in the computation of diluted earnings per share because the effect would be antidilutive.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(3) REVENUES</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Product Revenues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revenues from contracts with customers under ASC 606, which became effective January 1, 2018.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revenues consisted of the following for the three months ended March 31, 2022 and 2021:</w:t>
      </w:r>
    </w:p>
    <w:tbl>
      <w:tblPr>
        <w:tblW w:w="6338" w:type="dxa"/>
        <w:jc w:val="left"/>
        <w:tblInd w:w="0" w:type="dxa"/>
        <w:tblCellMar>
          <w:top w:w="28" w:type="dxa"/>
          <w:left w:w="28" w:type="dxa"/>
          <w:bottom w:w="28" w:type="dxa"/>
          <w:right w:w="28" w:type="dxa"/>
        </w:tblCellMar>
      </w:tblPr>
      <w:tblGrid>
        <w:gridCol w:w="585"/>
        <w:gridCol w:w="513"/>
        <w:gridCol w:w="522"/>
        <w:gridCol w:w="109"/>
        <w:gridCol w:w="109"/>
        <w:gridCol w:w="183"/>
        <w:gridCol w:w="183"/>
        <w:gridCol w:w="355"/>
        <w:gridCol w:w="1823"/>
        <w:gridCol w:w="183"/>
        <w:gridCol w:w="109"/>
        <w:gridCol w:w="109"/>
        <w:gridCol w:w="109"/>
        <w:gridCol w:w="211"/>
        <w:gridCol w:w="1081"/>
        <w:gridCol w:w="154"/>
      </w:tblGrid>
      <w:tr>
        <w:trPr/>
        <w:tc>
          <w:tcPr>
            <w:tcW w:w="585"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82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773" w:type="dxa"/>
            <w:gridSpan w:val="6"/>
            <w:tcBorders/>
            <w:shd w:fill="auto" w:val="clea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3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3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Kristalose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3,945,097 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2,994,378 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3,397,209 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1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2,501,434 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5,052,243 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Caldolor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959,634 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1,539,496 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Vaprisol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1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(117,000)</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1,134,264 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Acetadote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111,090 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Omeclamox-Pak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1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22,737 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(450,263)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RediTrex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59,226 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1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295,618 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182,102 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11,175,045 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10,537,159 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Omeclamox-Pak revenue for the first quarter of 2022 and 2021 was the result of Cumberland currently being out of commercial inventory of this product. The packager for our Omeclamox-Pak product encountered financial difficulties due to the impact of COVID-19. They are under new management and are in the process of a reorganization. Discussions with the packager are ongoing. In the first quarter of 2022, the amounts noted were normal adjustments by channel partners. Net revenue was impacted by product return adjustments.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regard to Vaprisol, we are in the process of transitioning to a new manufacturer and expect FDA approval later this year.</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Revenues</w:t>
      </w:r>
    </w:p>
    <w:p>
      <w:pPr>
        <w:pStyle w:val="TextBody"/>
        <w:spacing w:lineRule="auto" w:line="288" w:before="160" w:after="283"/>
        <w:jc w:val="both"/>
        <w:rPr/>
      </w:pPr>
      <w:r>
        <w:rPr>
          <w:rFonts w:ascii="Times New Roman;sans-serif" w:hAnsi="Times New Roman;sans-serif"/>
          <w:b w:val="false"/>
          <w:color w:val="000000"/>
          <w:sz w:val="20"/>
        </w:rPr>
        <w:t>The Company has agreements with international partners for commercialization of the Company's products with associated payments included in other revenues. Those agreements provide that each of the partners are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w:t>
      </w:r>
      <w:r>
        <w:rPr>
          <w:color w:val="000000"/>
        </w:rPr>
        <w:t xml:space="preserve"> </w:t>
      </w:r>
      <w:r>
        <w:rPr>
          <w:rFonts w:ascii="Times New Roman;sans-serif" w:hAnsi="Times New Roman;sans-serif"/>
          <w:b w:val="false"/>
          <w:color w:val="000000"/>
          <w:sz w:val="20"/>
        </w:rPr>
        <w:t>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revenues also include funding from federal grant programs including those secured by CET through the Small Business Administration as well as lease income generated by CET’s Life Sciences Center. The Life Sciences Center is a research center that provides scientists with access to flexible lab space and other resources to develop biomedical products. Grant revenue from these programs totaled approximately $0.04 million and $0.1 million for the three months ended March 31, 2022 and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(4) INVENTORIES</w:t>
      </w:r>
    </w:p>
    <w:p>
      <w:pPr>
        <w:pStyle w:val="TextBody"/>
        <w:spacing w:lineRule="auto" w:line="288" w:before="160" w:after="283"/>
        <w:jc w:val="both"/>
        <w:rPr/>
      </w:pPr>
      <w:r>
        <w:rPr>
          <w:rFonts w:ascii="Times New Roman;sans-serif" w:hAnsi="Times New Roman;sans-serif"/>
          <w:b w:val="false"/>
          <w:color w:val="000000"/>
          <w:sz w:val="20"/>
        </w:rPr>
        <w:t>The Company works closely with third parties to manufacture and package finished goods for sale.</w:t>
      </w:r>
      <w:r>
        <w:rPr>
          <w:color w:val="000000"/>
        </w:rPr>
        <w:t xml:space="preserve"> </w:t>
      </w:r>
      <w:r>
        <w:rPr>
          <w:rFonts w:ascii="Times New Roman;sans-serif" w:hAnsi="Times New Roman;sans-serif"/>
          <w:b w:val="false"/>
          <w:color w:val="000000"/>
          <w:sz w:val="20"/>
        </w:rPr>
        <w:t>Based on the arrangements with the manufacturer or packager, the Company will either take title to the finished goods at the time of shipment or at the time of arrival at the Company’s warehouses.</w:t>
      </w:r>
      <w:r>
        <w:rPr>
          <w:color w:val="000000"/>
        </w:rPr>
        <w:t xml:space="preserve"> </w:t>
      </w:r>
      <w:r>
        <w:rPr>
          <w:rFonts w:ascii="Times New Roman;sans-serif" w:hAnsi="Times New Roman;sans-serif"/>
          <w:b w:val="false"/>
          <w:color w:val="000000"/>
          <w:sz w:val="20"/>
        </w:rPr>
        <w:t>The Company then holds such goods in inventory until distribution and sale. These finished goods inventories are stated at the lower of cost or net realizable value with cost determined using the first-in, first-out method.</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March 31, 2022 and December 31, 2021, the Company had recognized and maintained cumulative net realizable value charges for potential obsolescence and discontinuance losses of approximately $0.6 million and $1.4 million, respectively. </w:t>
      </w:r>
    </w:p>
    <w:p>
      <w:pPr>
        <w:pStyle w:val="TextBody"/>
        <w:spacing w:lineRule="auto" w:line="288" w:before="160" w:after="283"/>
        <w:jc w:val="both"/>
        <w:rPr/>
      </w:pPr>
      <w:r>
        <w:rPr>
          <w:rFonts w:ascii="Times New Roman;sans-serif" w:hAnsi="Times New Roman;sans-serif"/>
          <w:b w:val="false"/>
          <w:color w:val="000000"/>
          <w:sz w:val="20"/>
        </w:rPr>
        <w:t>The Company is responsible for the purchase of the active pharmaceutical ingredient (“API”) for Kristalose and maintains the inventory at third-party packagers. As that API is consumed in production, the value of the API is transferred from raw materials to finished goods. API for the Company's Vaprisol brand is also included in the raw materials inventory at March 31, 2022 and December 31, 2021.</w:t>
      </w:r>
      <w:r>
        <w:rPr>
          <w:color w:val="000000"/>
        </w:rPr>
        <w:t xml:space="preserve"> </w:t>
      </w:r>
      <w:r>
        <w:rPr>
          <w:rFonts w:ascii="Times New Roman;sans-serif" w:hAnsi="Times New Roman;sans-serif"/>
          <w:b w:val="false"/>
          <w:color w:val="000000"/>
          <w:sz w:val="20"/>
        </w:rPr>
        <w:t xml:space="preserve">Consigned inventory represents Authorized Generic inventory stored with our partner until shipment.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Vibativ acquisition, Cumberland acquired API and work in process inventories of $15.6 million that were all initially classified as non-current inventories at the date of acquisition. For the Sancuso acquisition, Cumberland acquired $3.0 million of work in progress non-current inventory. At March 31, 2022 and December 31, 2021, total non-current inventory, including Vibativ, Sancuso and our clinical trial drug ifetroban, was $10.6 million and $9.0 million, respectively. The Company had $0.2 million and $0.5 million of Vibativ finished goods included in non-current inventory at March 31, 2022 and December 31, 2021, respectively. The Company also has obtained $0.2 million and $0.4 million of finished goods in non-current inventory for API related to its ifetroban clinical initiatives at March 31, 2022 and December 31, 2021, respectively. </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At March 31, 2022 and December 31, 2021 the Company's net inventories consisted of the following:</w:t>
      </w:r>
    </w:p>
    <w:tbl>
      <w:tblPr>
        <w:tblW w:w="7012" w:type="dxa"/>
        <w:jc w:val="left"/>
        <w:tblInd w:w="0" w:type="dxa"/>
        <w:tblCellMar>
          <w:top w:w="28" w:type="dxa"/>
          <w:left w:w="28" w:type="dxa"/>
          <w:bottom w:w="28" w:type="dxa"/>
          <w:right w:w="28" w:type="dxa"/>
        </w:tblCellMar>
      </w:tblPr>
      <w:tblGrid>
        <w:gridCol w:w="1141"/>
        <w:gridCol w:w="1000"/>
        <w:gridCol w:w="1008"/>
        <w:gridCol w:w="109"/>
        <w:gridCol w:w="109"/>
        <w:gridCol w:w="109"/>
        <w:gridCol w:w="217"/>
        <w:gridCol w:w="1111"/>
        <w:gridCol w:w="112"/>
        <w:gridCol w:w="109"/>
        <w:gridCol w:w="109"/>
        <w:gridCol w:w="109"/>
        <w:gridCol w:w="258"/>
        <w:gridCol w:w="1323"/>
        <w:gridCol w:w="188"/>
      </w:tblGrid>
      <w:tr>
        <w:trPr/>
        <w:tc>
          <w:tcPr>
            <w:tcW w:w="1141"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work in process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15,004,954 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12,374,983 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Consigned inventory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129,049 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164,378 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5,338,469 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4,939,088 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20,472,472 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17,478,449 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non-current inventories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(10,593,792)</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(9,048,567)</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classified as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9,878,680 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8,429,882 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60" w:after="283"/>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240" w:after="120"/>
        <w:rPr/>
      </w:pPr>
      <w:r>
        <w:rPr/>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(5) LEASES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Cumberland’s significant operating leases include the lease of approximately 25,500 square feet of office space in Nashville, Tennessee for its corporate headquarters. This lease currently expires in October 2022. The Company's operating leases also include the lease of approximately 14,200 square feet of wet laboratory and office space in Nashville, Tennessee by CET, our majority-owned subsidiary, where it operates the CET Life Sciences Center. This lease currently expires in April 2023.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Cumberland’s leases do not contain implicit borrowing rates, the incremental borrowing rates were calculated based on information available at January 1, 2019. Incremental borrowing rates reflect the Company’s estimated interest rates for collateralized borrowings over similar lease terms. The weighted-average incremental borrowing rate used to discount the present value of the remaining lease payments is 7.42%. The weighted-average remaining lease term at March 31, 2022 is 0.8 years.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15, 2021, Cumberland entered into a lease, pursuant to which the Company will lease approximately 16,631 rentable square feet of space (the “Leased Premise”) at the new development Broadwest located in Nashville, Tennessee with 1600 West End Avenue Partners, LLC. The Leased Premise will serve as the Company's new corporate headquarters. The initial term of the Lease is one hundred fifty-seven (157) months, with two consecutive options to renew for a period of five years each, and will commence on the earlier of November 1, 2022, the date on which Cumberland takes occupancy of the Leased Premise, or the date which Cumberland receives a temporary or permanent certificate of occupancy for the Leased Premise.</w:t>
      </w:r>
    </w:p>
    <w:p>
      <w:pPr>
        <w:pStyle w:val="TextBody"/>
        <w:spacing w:lineRule="auto" w:line="288" w:before="160" w:after="283"/>
        <w:rPr>
          <w:rFonts w:ascii="Times New Roman;sans-serif" w:hAnsi="Times New Roman;sans-serif"/>
          <w:b w:val="false"/>
          <w:i/>
          <w:color w:val="000000"/>
          <w:sz w:val="20"/>
        </w:rPr>
      </w:pPr>
      <w:r>
        <w:rPr>
          <w:rFonts w:ascii="Times New Roman;sans-serif" w:hAnsi="Times New Roman;sans-serif"/>
          <w:b w:val="false"/>
          <w:i/>
          <w:color w:val="000000"/>
          <w:sz w:val="20"/>
        </w:rPr>
        <w:t>Lease Position</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At March 31, 2022 and December 31, 2021, the Company's lease assets and liabilities were as follows:</w:t>
      </w:r>
    </w:p>
    <w:tbl>
      <w:tblPr>
        <w:tblW w:w="6742" w:type="dxa"/>
        <w:jc w:val="left"/>
        <w:tblInd w:w="0" w:type="dxa"/>
        <w:tblCellMar>
          <w:top w:w="28" w:type="dxa"/>
          <w:left w:w="28" w:type="dxa"/>
          <w:bottom w:w="28" w:type="dxa"/>
          <w:right w:w="28" w:type="dxa"/>
        </w:tblCellMar>
      </w:tblPr>
      <w:tblGrid>
        <w:gridCol w:w="1042"/>
        <w:gridCol w:w="917"/>
        <w:gridCol w:w="920"/>
        <w:gridCol w:w="109"/>
        <w:gridCol w:w="109"/>
        <w:gridCol w:w="109"/>
        <w:gridCol w:w="265"/>
        <w:gridCol w:w="1038"/>
        <w:gridCol w:w="137"/>
        <w:gridCol w:w="109"/>
        <w:gridCol w:w="109"/>
        <w:gridCol w:w="109"/>
        <w:gridCol w:w="278"/>
        <w:gridCol w:w="1288"/>
        <w:gridCol w:w="203"/>
      </w:tblGrid>
      <w:tr>
        <w:trPr/>
        <w:tc>
          <w:tcPr>
            <w:tcW w:w="1042"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Right-of-Use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761,177 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1,024,200 </w:t>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998" w:type="dxa"/>
        <w:jc w:val="left"/>
        <w:tblInd w:w="0" w:type="dxa"/>
        <w:tblCellMar>
          <w:top w:w="28" w:type="dxa"/>
          <w:left w:w="28" w:type="dxa"/>
          <w:bottom w:w="28" w:type="dxa"/>
          <w:right w:w="28" w:type="dxa"/>
        </w:tblCellMar>
      </w:tblPr>
      <w:tblGrid>
        <w:gridCol w:w="1136"/>
        <w:gridCol w:w="996"/>
        <w:gridCol w:w="1003"/>
        <w:gridCol w:w="109"/>
        <w:gridCol w:w="109"/>
        <w:gridCol w:w="109"/>
        <w:gridCol w:w="265"/>
        <w:gridCol w:w="1038"/>
        <w:gridCol w:w="137"/>
        <w:gridCol w:w="109"/>
        <w:gridCol w:w="109"/>
        <w:gridCol w:w="109"/>
        <w:gridCol w:w="278"/>
        <w:gridCol w:w="1288"/>
        <w:gridCol w:w="203"/>
      </w:tblGrid>
      <w:tr>
        <w:trPr/>
        <w:tc>
          <w:tcPr>
            <w:tcW w:w="1136"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766,488 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969,677 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90,016 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789,200 </w:t>
            </w:r>
          </w:p>
        </w:tc>
        <w:tc>
          <w:tcPr>
            <w:tcW w:w="13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1,059,693 </w:t>
            </w:r>
          </w:p>
        </w:tc>
        <w:tc>
          <w:tcPr>
            <w:tcW w:w="20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Excluding the Broadwest agreement, cumulative future minimum sublease income under non-cancelable operating subleases totals approximately $0.1 million and will be paid through the leases ending in October 2022 and April 2023. Future minimum lease payments under non-cancelable operating leases (with initial or remaining lease terms in excess of one year) are as follows:</w:t>
      </w:r>
    </w:p>
    <w:tbl>
      <w:tblPr>
        <w:tblW w:w="6101" w:type="dxa"/>
        <w:jc w:val="left"/>
        <w:tblInd w:w="0" w:type="dxa"/>
        <w:tblCellMar>
          <w:top w:w="28" w:type="dxa"/>
          <w:left w:w="28" w:type="dxa"/>
          <w:bottom w:w="28" w:type="dxa"/>
          <w:right w:w="28" w:type="dxa"/>
        </w:tblCellMar>
      </w:tblPr>
      <w:tblGrid>
        <w:gridCol w:w="1500"/>
        <w:gridCol w:w="1316"/>
        <w:gridCol w:w="1324"/>
        <w:gridCol w:w="109"/>
        <w:gridCol w:w="109"/>
        <w:gridCol w:w="109"/>
        <w:gridCol w:w="289"/>
        <w:gridCol w:w="1134"/>
        <w:gridCol w:w="211"/>
      </w:tblGrid>
      <w:tr>
        <w:trPr/>
        <w:tc>
          <w:tcPr>
            <w:tcW w:w="1500"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Maturity of Lease Liabilities at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4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730,829 </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92,477 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823,306 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34,106 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789,200 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Rent expense is recognized over the expected term of the lease, including renewal option periods, if applicable, on a straight-line basis as a component of general and administrative expense. Rent expense and sublease income were as follows:</w:t>
      </w:r>
    </w:p>
    <w:tbl>
      <w:tblPr>
        <w:tblW w:w="4582" w:type="dxa"/>
        <w:jc w:val="center"/>
        <w:tblInd w:w="0" w:type="dxa"/>
        <w:tblCellMar>
          <w:top w:w="28" w:type="dxa"/>
          <w:left w:w="28" w:type="dxa"/>
          <w:bottom w:w="28" w:type="dxa"/>
          <w:right w:w="28" w:type="dxa"/>
        </w:tblCellMar>
      </w:tblPr>
      <w:tblGrid>
        <w:gridCol w:w="538"/>
        <w:gridCol w:w="472"/>
        <w:gridCol w:w="475"/>
        <w:gridCol w:w="109"/>
        <w:gridCol w:w="109"/>
        <w:gridCol w:w="109"/>
        <w:gridCol w:w="219"/>
        <w:gridCol w:w="860"/>
        <w:gridCol w:w="113"/>
        <w:gridCol w:w="113"/>
        <w:gridCol w:w="113"/>
        <w:gridCol w:w="113"/>
        <w:gridCol w:w="219"/>
        <w:gridCol w:w="860"/>
        <w:gridCol w:w="160"/>
      </w:tblGrid>
      <w:tr>
        <w:trPr/>
        <w:tc>
          <w:tcPr>
            <w:tcW w:w="53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285,963 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227,395 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161,804 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178,029 </w:t>
            </w:r>
          </w:p>
        </w:tc>
        <w:tc>
          <w:tcPr>
            <w:tcW w:w="160"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(6) SHAREHOLDERS’ EQUITY AND DEBT</w:t>
      </w:r>
    </w:p>
    <w:p>
      <w:pPr>
        <w:pStyle w:val="TextBody"/>
        <w:spacing w:lineRule="auto" w:line="288" w:before="160" w:after="283"/>
        <w:rPr>
          <w:rFonts w:ascii="Times New Roman;sans-serif" w:hAnsi="Times New Roman;sans-serif"/>
          <w:b w:val="false"/>
          <w:i/>
          <w:color w:val="000000"/>
          <w:sz w:val="20"/>
        </w:rPr>
      </w:pPr>
      <w:r>
        <w:rPr>
          <w:rFonts w:ascii="Times New Roman;sans-serif" w:hAnsi="Times New Roman;sans-serif"/>
          <w:b w:val="false"/>
          <w:i/>
          <w:color w:val="000000"/>
          <w:sz w:val="20"/>
        </w:rPr>
        <w:t>Share repurchases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currently has a share repurchase program to repurchase up to $10 million of its common stock pursuant to Rule 10b-18 of the Securities Exchange Act of 1934. In January 2019, the Company's Board of Directors established the current $10 million repurchase program to replace the prior authorizations. During the three months ended March 31, 2022 and March 31, 2021, the Company repurchased 174,149 shares and 91,724 shares of common stock for approximately $0.6 million and $0.3 million, respectively. At March 31, 2022, approximately $4.2 million of common shares was left to repurchase under this program.</w:t>
      </w:r>
    </w:p>
    <w:p>
      <w:pPr>
        <w:pStyle w:val="TextBody"/>
        <w:spacing w:lineRule="auto" w:line="288" w:before="160" w:after="283"/>
        <w:rPr>
          <w:rFonts w:ascii="Times New Roman;sans-serif" w:hAnsi="Times New Roman;sans-serif"/>
          <w:b w:val="false"/>
          <w:i/>
          <w:color w:val="000000"/>
          <w:sz w:val="20"/>
        </w:rPr>
      </w:pPr>
      <w:r>
        <w:rPr>
          <w:rFonts w:ascii="Times New Roman;sans-serif" w:hAnsi="Times New Roman;sans-serif"/>
          <w:b w:val="false"/>
          <w:i/>
          <w:color w:val="000000"/>
          <w:sz w:val="20"/>
        </w:rPr>
        <w:t>Share purchases and sales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Company's March 2022 trading window, several members of Cumberland's Board of Directors entered into share purchase agreements of the Company's stock pursuant to Rule 10b5-1 of the Securities Exchange Act of 1934. These purchases are designed to increase ownership in the Company by the members of the Board. These purchases began in April 2022.</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Sales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2017, Cumberland filed a Shelf Registration on Form S-3 with the SEC associated with the sale of up to $100 million in corporate securities. The Shelf Registration was declared effective in January 2018. It also included an At the Market ("ATM") feature that allowed the Company to sell common shares at market prices, along with an agreement with B. Riley FBR Inc. to support such a placement of shares. The Company filed an updated Form S-3 with the SEC in December 2020, which was declared effective in January 2021. On December 27, 2021, the Company filed a related prospectus supplement in connection with the sale and issuance of shares having an aggregate gross sales price of up to $19 million. The Company intends to continue an ATM feature through B. Riley FBR, Inc. that would allow the Company to issue shares of its common stock. The Company did not issue any shares under an ATM during the three months ended March 31, 2022 or March 31, 2021.</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Share Grants and Incentive Stock Options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and March 31, 2021, the Company issued 65,225 shares and 35,850 shares of restricted stock to employees and directors, respectively. Restricted stock issued to employees generally cliff-vests on the fourth anniversary of the date of grant and for directors on the one-year anniversary of the date of grant. During the three months ended March 31, 2022 and 2021, the Company also issued 166,350 and 172,350 incentive stock options, respectively, to employees that cliff-vest on the fourth anniversary of the date of grant, that are set to expire in March 2032 and 2031. Stock compensation expense is presented as a component of general and administrative expense in the condensed consolidated statements of operations.</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Debt Agreement</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2022, the Company and Pinnacle Bank entered into a Seventh Amendment to the Revolving Credit Loan Agreement (the "Pinnacle Agreement") to revise and update the Maximum Funded Debt Ratio financial covenant and to delete from the Pinnacle Agreement the Funded Debt to Tangible Capital Ratio financial covenant. These changes were made to more appropriately reflect the impact from the Sancuso acquisition.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31, 2021, the Company and Pinnacle Bank entered into the Fifth Amendment to the Revolving Credit Note and the Sixth Amendment to the Revolving Credit Loan Agreement in order to increase the principal amount of the Note from $15 million to $20 million.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28, 2021, the Company and Pinnacle Bank entered into a Fourth Amendment to the Revolving Credit Note and Fifth Amendment ("Fifth Amendment") to the Revolving Credit Loan Agreement to renew the Revolving Credit Loan.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original Pinnacle Agreement was dated July 2017. Beginning on August 14, 2018, and continuing until October 7, 2020, the Company and Pinnacle Bank entered into a series of amendments to extend and update the Revolving Credit Note and Revolving Credit Agreement. The Fifth Amendment extends the maturity date three years through October 1, 2024.</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 on the Pinnacle Agreement is based on LIBOR plus an interest rate spread. The current pricing under the Pinnacle Agreement provides for an interest rate spread of 1.75% to 2.75% above LIBOR with a minimum LIBOR of 0.90%. The applicable interest rate under the Pinnacle Agreement was 3.65% at March 31, 2022. In addition, a fee of 0.25% per year is charged on the unused line of credit. Interest and the unused line fee are payable quarterly. The parties have agreed on a process to determine a new interest rate benchmark at the point the LIBOR rate is expected to be discontinued over the next 12 to 24 months.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240" w:after="120"/>
        <w:rPr/>
      </w:pPr>
      <w:r>
        <w:rPr/>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and December 31, 2021, the Company had $20.0 million and $15.0 million, respectively, in borrowings outstanding under its revolving credit facility. The Company was in compliance with the Maximum Funded Debt Ratio financial covenant as of March 31, 2022.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line of credit are collateralized by substantially all of our assets.</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Joint Venture Agreement</w:t>
      </w:r>
    </w:p>
    <w:p>
      <w:pPr>
        <w:pStyle w:val="TextBody"/>
        <w:spacing w:lineRule="auto" w:line="288" w:before="160" w:after="283"/>
        <w:jc w:val="both"/>
        <w:rPr/>
      </w:pPr>
      <w:r>
        <w:rPr>
          <w:rFonts w:ascii="Times New Roman;sans-serif" w:hAnsi="Times New Roman;sans-serif"/>
          <w:b w:val="false"/>
          <w:color w:val="000000"/>
          <w:sz w:val="20"/>
        </w:rPr>
        <w:t xml:space="preserve">In August 2020, Cumberland entered into an agreement with WinHealth Investment (Singapore) Ltd creating </w:t>
      </w:r>
      <w:r>
        <w:rPr>
          <w:rFonts w:ascii="Times New Roman;sans-serif" w:hAnsi="Times New Roman;sans-serif"/>
          <w:b w:val="false"/>
          <w:i/>
          <w:color w:val="000000"/>
          <w:sz w:val="20"/>
        </w:rPr>
        <w:t>WHC Biopharmaceuticals, Pte. Ltd</w:t>
      </w:r>
      <w:r>
        <w:rPr>
          <w:rFonts w:ascii="Times New Roman;sans-serif" w:hAnsi="Times New Roman;sans-serif"/>
          <w:b w:val="false"/>
          <w:color w:val="000000"/>
          <w:sz w:val="20"/>
        </w:rPr>
        <w:t xml:space="preserve">. The joint venture, as a limited liability company, will focus on acquiring, developing, registering, and commercializing development stage and commercial stage biopharmaceuticals for China, Hong Kong and other Asian markets. The agreement provides for initial investment from WinHealth in the form of a $0.2 million equity contribution and an initial investment from Cumberland in the form of a $0.2 million convertible note, which was funded during the first quarter of 2021. The joint venture will seek additional future capital from additional investors and has entered into exclusive option agreements to license product candidates from both Cumberland Pharmaceuticals Inc. and Cumberland Emerging Technologies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(7) INCOME TAXES</w:t>
      </w:r>
    </w:p>
    <w:p>
      <w:pPr>
        <w:pStyle w:val="TextBody"/>
        <w:spacing w:lineRule="auto" w:line="288" w:before="160" w:after="283"/>
        <w:jc w:val="both"/>
        <w:rPr/>
      </w:pPr>
      <w:r>
        <w:rPr>
          <w:rFonts w:ascii="Times New Roman;sans-serif" w:hAnsi="Times New Roman;sans-serif"/>
          <w:b w:val="false"/>
          <w:color w:val="000000"/>
          <w:sz w:val="20"/>
        </w:rPr>
        <w:t xml:space="preserve">As of March 31, 2022, the Company has approximately $56.6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2022 and beyond, through the continued utilization of these net operating loss carryforwards, on any taxable income generated from our operations. </w:t>
      </w:r>
      <w:r>
        <w:rPr>
          <w:rFonts w:ascii="Times New Roman;sans-serif" w:hAnsi="Times New Roman;sans-serif"/>
          <w:b w:val="false"/>
          <w:color w:val="000000"/>
          <w:sz w:val="20"/>
          <w:highlight w:val="white"/>
        </w:rPr>
        <w:t xml:space="preserve">The Company does not allocate any portion of its income tax expense (benefit) to discontinued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(8) COLLABORATIVE AGREEMENTS</w:t>
      </w:r>
    </w:p>
    <w:p>
      <w:pPr>
        <w:pStyle w:val="TextBody"/>
        <w:spacing w:lineRule="auto" w:line="288" w:before="160" w:after="283"/>
        <w:jc w:val="both"/>
        <w:rPr/>
      </w:pPr>
      <w:r>
        <w:rPr>
          <w:rFonts w:ascii="Times New Roman;sans-serif" w:hAnsi="Times New Roman;sans-serif"/>
          <w:b w:val="false"/>
          <w:color w:val="000000"/>
          <w:sz w:val="20"/>
        </w:rPr>
        <w:t xml:space="preserve">Cumberland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received related to RediTrex, do not meet the criteria for accounting under ASC Topic 808, </w:t>
      </w:r>
      <w:r>
        <w:rPr>
          <w:rFonts w:ascii="Times New Roman;sans-serif" w:hAnsi="Times New Roman;sans-serif"/>
          <w:b w:val="false"/>
          <w:i/>
          <w:color w:val="000000"/>
          <w:sz w:val="20"/>
        </w:rPr>
        <w:t>Collaborative Agreements</w:t>
      </w:r>
      <w:r>
        <w:rPr>
          <w:rFonts w:ascii="Times New Roman;sans-serif" w:hAnsi="Times New Roman;sans-serif"/>
          <w:b w:val="false"/>
          <w:color w:val="000000"/>
          <w:sz w:val="20"/>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60" w:after="283"/>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240" w:after="120"/>
        <w:rPr/>
      </w:pPr>
      <w:r>
        <w:rPr/>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(9) ADDITIONS AND RETURN OF PRODUCT RIGHTS</w:t>
      </w:r>
    </w:p>
    <w:p>
      <w:pPr>
        <w:pStyle w:val="TextBody"/>
        <w:spacing w:lineRule="auto" w:line="288" w:before="1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Vibativ</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November 2018, the Company closed on an agreement with Theravance Biopharma ("Theravance") to acquire the global responsibility for Vibativ including the marketing, distribution, manufacturing and regulatory activities associated with the brand. Vibativ is a patented, Food and Drug Administration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Cumberland has accounted for the transaction as a business combination in accordance with ASC 805 and the product sales are included in the results of operations subsequent to the acquisition date. The Company made an upfront payment of $20.0 million at the closing of the transaction and a $5.0 million milestone payment in early April 2019. In addition, Cumberland has agreed to pay a royalty of up to 20% of on-going net sales of the product after the $2.5 million threshold is met. The future royalty payments were required to be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fair value of the contingent consideration liability that is remeasured on a recurring basis. The contingent consideration earned and accrued in operating expenses is paid to Theravance quarterly.</w:t>
      </w:r>
    </w:p>
    <w:tbl>
      <w:tblPr>
        <w:tblW w:w="7985" w:type="dxa"/>
        <w:jc w:val="left"/>
        <w:tblInd w:w="0" w:type="dxa"/>
        <w:tblCellMar>
          <w:top w:w="28" w:type="dxa"/>
          <w:left w:w="28" w:type="dxa"/>
          <w:bottom w:w="28" w:type="dxa"/>
          <w:right w:w="28" w:type="dxa"/>
        </w:tblCellMar>
      </w:tblPr>
      <w:tblGrid>
        <w:gridCol w:w="2405"/>
        <w:gridCol w:w="2113"/>
        <w:gridCol w:w="2126"/>
        <w:gridCol w:w="211"/>
        <w:gridCol w:w="976"/>
        <w:gridCol w:w="154"/>
      </w:tblGrid>
      <w:tr>
        <w:trPr/>
        <w:tc>
          <w:tcPr>
            <w:tcW w:w="2405"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c>
          <w:tcPr>
            <w:tcW w:w="21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4"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6,515,627 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of royalty during the period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included in operating expenses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earned and accrued in operating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6,384,586 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contingent consideration liability of $6.4 million was accounted for as $2.3 million of other current liabilities and $4.1 million of other long-term liabilities on the condensed consolidated balance sheet as of March 31, 2022. </w:t>
      </w:r>
    </w:p>
    <w:p>
      <w:pPr>
        <w:pStyle w:val="TextBody"/>
        <w:spacing w:lineRule="auto" w:line="288" w:before="160" w:after="283"/>
        <w:rPr>
          <w:rFonts w:ascii="Times New Roman;sans-serif" w:hAnsi="Times New Roman;sans-serif"/>
          <w:b w:val="false"/>
          <w:i/>
          <w:color w:val="000000"/>
          <w:sz w:val="20"/>
        </w:rPr>
      </w:pPr>
      <w:r>
        <w:rPr>
          <w:rFonts w:ascii="Times New Roman;sans-serif" w:hAnsi="Times New Roman;sans-serif"/>
          <w:b w:val="false"/>
          <w:i/>
          <w:color w:val="000000"/>
          <w:sz w:val="20"/>
        </w:rPr>
        <w:t>RediTrex</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2016, the Company announced an agreement with the Nordic Group B.V. ("Nordic") to acquire the exclusive U.S. rights to Nordic’s injectable methotrexate product line designed for the treatment of active rheumatoid arthritis, juvenile idiopathic arthritis, severe psoriatic arthritis, and severe disabling psoriasis.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consideration for the license Cumberland paid a deposit of $100,000 at closing. The Company provided $0.9 million in consideration through a grant of 180,000 restricted shares of Cumberland common stock to be vested upon the FDA approval of the first Nordic product. Cumberland also agreed to provide Nordic a series of payments tied to the products’ FDA approval, launch and achievement of certain sales milestones. Under the terms of the agreement, Cumberland is responsible for the product registration and commercialization in the U.S. Nordic is responsible for product manufacturing and supply.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27, 2019, Cumberland received FDA approval for the first Nordic injectable product and authorization to market them under the RediTrex brand name. The 180,000 shares of restricted Cumberland common stock previously provided to Nordic vested upon approval and were valued at $0.9 million on the vesting date. The FDA approval also resulted in a $1.0 million milestone payment due to Nordic. During December 2020, Cumberland introduced RediTrex and the launch that took place in late 2021 will result in a $1.0 million milestone payment due to Nordic. This milestone payment is payable during 2022 and is included as a current liability at March 31, 2022.</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has approximately $2.6 million in net intangible assets related to RediTrex at March 31, 2022.</w:t>
      </w:r>
    </w:p>
    <w:p>
      <w:pPr>
        <w:pStyle w:val="TextBody"/>
        <w:spacing w:before="160" w:after="283"/>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240" w:after="120"/>
        <w:rPr/>
      </w:pPr>
      <w:r>
        <w:rPr/>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Sancuso Acquisition</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2022, Cumberland acquired the FDA-approved oncology-supportive care medicine Sancuso from Kyowa Kirin, Inc., the U.S. affiliate of Japan-based Kyowa Kirin Co., Ltd.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acquired U.S. rights to Sancuso and assumed full commercial responsibility for the product – including its marketing, promotion, distribution, manufacturing and medical support activities.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has accounted for the transaction as a business combination in accordance with ASC 805 and the product sales are included in the results of operations subsequent to the acquisition date. The Company made an upfront payment of $13.5 million at the closing of the transaction. The Agreement calls for milestone payments of up to $3.5 million based on the attainment of various approvals and sales performance. The Company believes that $1.5 million of the milestone payments will be earned and paid.</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Cumberland has agreed to pay a royalty of up to 10% of on-going net sales of the product. The future royalty payments were required to be recognized at their acquisition-date fair value as a contingent consideration liability, as part of the contingent consideration transferred in the business combination. Cumberland has prepared a preliminary valuation of the contingent consideration liability utilizing significant unobservable inputs. As a result, the valuation is classified as Level 3 fair value measurement.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was funded by cash and the Company's revolving credit facility. The Company is working with an outside consultant firm to finalize the Sancuso valuation of the transaction which will be completed later this year. The estimates of fair value for the more significant assets and liabilities assumed were prepaid expenses $0.3 million, inventory $5.2 million, goodwill $1.0 million, intangible assets $12.1 million, milestone payable $1.2 million and contingent liability $3.9 million.</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contingent consideration liability earned and accrued in operating expenses is paid to Kyowa Kirin quarterly. The contingent consideration liability of $3.9 million was accounted for as $1.3 million of current liabilities and $2.6 million of other long-term liabilities on the condensed consolidated balance sheet as of March 31, 2022. </w:t>
      </w:r>
    </w:p>
    <w:p>
      <w:pPr>
        <w:pStyle w:val="TextBody"/>
        <w:spacing w:before="160" w:after="283"/>
        <w:jc w:val="both"/>
        <w:rPr/>
      </w:pPr>
      <w:r>
        <w:rPr/>
      </w:r>
    </w:p>
    <w:p>
      <w:pPr>
        <w:pStyle w:val="TextBody"/>
        <w:spacing w:before="160" w:after="283"/>
        <w:jc w:val="both"/>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240" w:after="120"/>
        <w:rPr/>
      </w:pPr>
      <w:r>
        <w:rPr/>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Ethyol and Totect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2016, Cumberland entered into an agreement with Clinigen for the rights and responsibilities associated with the commercialization of Ethyol in the United States. In 2017, the Company entered into another agreement with Clinigen for the rights and responsibilities associated with the commercialization of Totect in the United States. </w:t>
      </w:r>
    </w:p>
    <w:p>
      <w:pPr>
        <w:pStyle w:val="TextBody"/>
        <w:spacing w:lineRule="auto" w:line="288" w:before="160" w:after="283"/>
        <w:jc w:val="both"/>
        <w:rPr/>
      </w:pPr>
      <w:r>
        <w:rPr>
          <w:rFonts w:ascii="Times New Roman;sans-serif" w:hAnsi="Times New Roman;sans-serif"/>
          <w:b w:val="false"/>
          <w:color w:val="000000"/>
          <w:sz w:val="20"/>
        </w:rPr>
        <w:t xml:space="preserve">Early in 2019, Cumberland announced a strategic review of the Company's brands, capabilities, and international partners. This review followed an accelerated business development initiative, which resulted in a series of transactions. </w:t>
      </w:r>
      <w:r>
        <w:rPr>
          <w:rFonts w:ascii="Times New Roman;sans-serif" w:hAnsi="Times New Roman;sans-serif"/>
          <w:b w:val="false"/>
          <w:color w:val="000000"/>
          <w:sz w:val="20"/>
          <w:highlight w:val="white"/>
        </w:rPr>
        <w:t>During May 2019, Cumberland entered into the Dissolution Agreement with Clinigen in which the Company returned the exclusive rights to commercialize Ethyol and Totect</w:t>
      </w:r>
      <w:r>
        <w:rPr>
          <w:color w:val="000000"/>
        </w:rPr>
        <w:t xml:space="preserve"> </w:t>
      </w:r>
      <w:r>
        <w:rPr>
          <w:rFonts w:ascii="Times New Roman;sans-serif" w:hAnsi="Times New Roman;sans-serif"/>
          <w:b w:val="false"/>
          <w:color w:val="000000"/>
          <w:sz w:val="20"/>
          <w:highlight w:val="white"/>
        </w:rPr>
        <w:t>in the United States to Clinigen. Under the final terms of the Dissolution Agreement, Cumberland was no longer responsible for the distribution, marketing and promotion of either Ethyol or Totect or any competing products after December 31, 2019.</w:t>
      </w:r>
      <w:r>
        <w:rPr>
          <w:color w:val="000000"/>
        </w:rPr>
        <w:t xml:space="preserve"> </w:t>
      </w:r>
      <w:r>
        <w:rPr>
          <w:rFonts w:ascii="Times New Roman;sans-serif" w:hAnsi="Times New Roman;sans-serif"/>
          <w:b w:val="false"/>
          <w:color w:val="000000"/>
          <w:sz w:val="20"/>
          <w:highlight w:val="white"/>
        </w:rPr>
        <w:t xml:space="preserve">In exchange for the return of these product license rights and the non-compete provisions of the Dissolution Agreement, Cumberland received $5 million in financial consideration paid in quarterly installments over the two-years following the transition date. Cumberland recorded the first four quarterly installments totaling $3.0 million during 2020 and the final four installments totaling $2.0 million during </w:t>
      </w:r>
      <w:r>
        <w:rPr>
          <w:rFonts w:ascii="Times New Roman;sans-serif" w:hAnsi="Times New Roman;sans-serif"/>
          <w:b w:val="false"/>
          <w:color w:val="000000"/>
          <w:sz w:val="20"/>
        </w:rPr>
        <w:t>2021</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 xml:space="preserve">as discontinued operations.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exit from Ethyol and Totect met the accounting criteria to be reported as discontinued operations. December 31, 2019, as the transition date, was the final day Cumberland was responsible for the products. Cumberland was responsible for the products through December 31, 2019 and beginning on January 1, 2020, the products' rights transitioned back to Clinigen. As a result, January 1, 2020, was the first day of discontinued operations for the Ethyol and Totect products.</w:t>
      </w:r>
    </w:p>
    <w:p>
      <w:pPr>
        <w:pStyle w:val="TextBody"/>
        <w:spacing w:lineRule="auto" w:line="288" w:before="160" w:after="283"/>
        <w:jc w:val="both"/>
        <w:rPr/>
      </w:pPr>
      <w:r>
        <w:rPr>
          <w:rFonts w:ascii="Times New Roman;sans-serif" w:hAnsi="Times New Roman;sans-serif"/>
          <w:b w:val="false"/>
          <w:color w:val="000000"/>
          <w:sz w:val="20"/>
          <w:highlight w:val="white"/>
        </w:rPr>
        <w:t xml:space="preserve">The dissolution payments from Clinigen are reflected as revenue from discontinued operations. The Company did not </w:t>
      </w:r>
      <w:r>
        <w:rPr>
          <w:rFonts w:ascii="Times New Roman;sans-serif" w:hAnsi="Times New Roman;sans-serif"/>
          <w:b w:val="false"/>
          <w:color w:val="000000"/>
          <w:sz w:val="20"/>
        </w:rPr>
        <w:t xml:space="preserve">incur expenses associated with these payments from Clinigen. </w:t>
      </w:r>
    </w:p>
    <w:tbl>
      <w:tblPr>
        <w:tblW w:w="7405" w:type="dxa"/>
        <w:jc w:val="left"/>
        <w:tblInd w:w="0" w:type="dxa"/>
        <w:tblCellMar>
          <w:top w:w="28" w:type="dxa"/>
          <w:left w:w="28" w:type="dxa"/>
          <w:bottom w:w="28" w:type="dxa"/>
          <w:right w:w="28" w:type="dxa"/>
        </w:tblCellMar>
      </w:tblPr>
      <w:tblGrid>
        <w:gridCol w:w="1139"/>
        <w:gridCol w:w="998"/>
        <w:gridCol w:w="1012"/>
        <w:gridCol w:w="109"/>
        <w:gridCol w:w="109"/>
        <w:gridCol w:w="291"/>
        <w:gridCol w:w="291"/>
        <w:gridCol w:w="563"/>
        <w:gridCol w:w="1084"/>
        <w:gridCol w:w="291"/>
        <w:gridCol w:w="109"/>
        <w:gridCol w:w="109"/>
        <w:gridCol w:w="109"/>
        <w:gridCol w:w="211"/>
        <w:gridCol w:w="826"/>
        <w:gridCol w:w="154"/>
      </w:tblGrid>
      <w:tr>
        <w:trPr/>
        <w:tc>
          <w:tcPr>
            <w:tcW w:w="1139"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56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495,410 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Disclosure regarding forward-looking statements</w:t>
      </w:r>
    </w:p>
    <w:p>
      <w:pPr>
        <w:pStyle w:val="TextBody"/>
        <w:spacing w:lineRule="auto" w:line="288" w:before="160" w:after="283"/>
        <w:jc w:val="both"/>
        <w:rPr/>
      </w:pPr>
      <w:r>
        <w:rPr>
          <w:rFonts w:ascii="Times New Roman;sans-serif" w:hAnsi="Times New Roman;sans-serif"/>
          <w:b w:val="false"/>
          <w:color w:val="000000"/>
          <w:sz w:val="20"/>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impacts on our business as well as national and international markets and economies resulting from the COVID-19 pandemic.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 the year ended December 31, 2021, and our other filings with the SEC.</w:t>
      </w:r>
      <w:r>
        <w:rPr>
          <w:color w:val="000000"/>
        </w:rPr>
        <w:t xml:space="preserve"> </w:t>
      </w:r>
      <w:r>
        <w:rPr>
          <w:rFonts w:ascii="Times New Roman;sans-serif" w:hAnsi="Times New Roman;sans-serif"/>
          <w:b w:val="false"/>
          <w:color w:val="000000"/>
          <w:sz w:val="20"/>
        </w:rPr>
        <w:t>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240" w:after="12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Cumberland Pharmaceuticals Inc. (“Cumberland,” the “Company,” or as used in the context of “we,” “us,” or “our”), is a specialty pharmaceutical company focused on the acquisition, development and commercialization of branded prescription pharmaceutical products. We are dedicated to providing innovative products that improve the quality of care for patients and address poorly met medical needs. </w:t>
      </w:r>
    </w:p>
    <w:p>
      <w:pPr>
        <w:pStyle w:val="TextBody"/>
        <w:spacing w:lineRule="auto" w:line="288" w:before="160" w:after="283"/>
        <w:jc w:val="both"/>
        <w:rPr/>
      </w:pPr>
      <w:r>
        <w:rPr>
          <w:rFonts w:ascii="Times New Roman;sans-serif" w:hAnsi="Times New Roman;sans-serif"/>
          <w:b w:val="false"/>
          <w:color w:val="000000"/>
          <w:sz w:val="20"/>
        </w:rPr>
        <w:t>Our primary target sectors are hospital acute care, oncology, gastroenterology and rheumatology. These medical specialties are characterized by relatively concentrated prescriber bases that we believe can be served effectively by small, targeted sales forces. We promote our approved products through our hospital, oncology and field sales forces in the United States. We have also established partnerships in Puerto Rico and the Middle East for our Vibativ</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 and are continuing to build a network of international partners to register and provide our medicines to patients in their countries.</w:t>
      </w:r>
    </w:p>
    <w:p>
      <w:pPr>
        <w:pStyle w:val="TextBody"/>
        <w:spacing w:lineRule="auto" w:line="288" w:before="16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portfolio of FDA approved brands includes:</w:t>
      </w:r>
    </w:p>
    <w:p>
      <w:pPr>
        <w:pStyle w:val="TextBody"/>
        <w:spacing w:lineRule="auto" w:line="288" w:before="160" w:after="120"/>
        <w:ind w:left="0" w:right="0" w:hanging="360"/>
        <w:jc w:val="both"/>
        <w:rPr/>
      </w:pPr>
      <w:r>
        <w:rPr>
          <w:color w:val="000000"/>
        </w:rPr>
        <w:t>•</w:t>
      </w:r>
      <w:r>
        <w:rPr>
          <w:rFonts w:ascii="Times New Roman;sans-serif" w:hAnsi="Times New Roman;sans-serif"/>
          <w:b/>
          <w:color w:val="000000"/>
          <w:sz w:val="20"/>
          <w:highlight w:val="white"/>
        </w:rPr>
        <w:t>Acetadote</w:t>
      </w:r>
      <w:r>
        <w:rPr>
          <w:rFonts w:ascii="Times New Roman;sans-serif" w:hAnsi="Times New Roman;sans-serif"/>
          <w:b/>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w:t>
      </w:r>
      <w:r>
        <w:rPr>
          <w:rFonts w:ascii="Times New Roman;sans-serif" w:hAnsi="Times New Roman;sans-serif"/>
          <w:b w:val="false"/>
          <w:i/>
          <w:color w:val="000000"/>
          <w:sz w:val="20"/>
          <w:highlight w:val="white"/>
        </w:rPr>
        <w:t>acetylcysteine</w:t>
      </w:r>
      <w:r>
        <w:rPr>
          <w:rFonts w:ascii="Times New Roman;sans-serif" w:hAnsi="Times New Roman;sans-serif"/>
          <w:b w:val="false"/>
          <w:color w:val="000000"/>
          <w:sz w:val="20"/>
          <w:highlight w:val="white"/>
        </w:rPr>
        <w:t xml:space="preserve">) injection, for the treatment of acetaminophen poisoning; </w:t>
      </w:r>
    </w:p>
    <w:p>
      <w:pPr>
        <w:pStyle w:val="TextBody"/>
        <w:spacing w:lineRule="auto" w:line="288" w:before="160" w:after="120"/>
        <w:ind w:left="0" w:right="0" w:hanging="360"/>
        <w:jc w:val="both"/>
        <w:rPr/>
      </w:pPr>
      <w:r>
        <w:rPr>
          <w:color w:val="000000"/>
        </w:rPr>
        <w:t>•</w:t>
      </w:r>
      <w:r>
        <w:rPr>
          <w:rFonts w:ascii="Times New Roman;sans-serif" w:hAnsi="Times New Roman;sans-serif"/>
          <w:b/>
          <w:color w:val="000000"/>
          <w:sz w:val="20"/>
          <w:highlight w:val="white"/>
        </w:rPr>
        <w:t>Caldolor</w:t>
      </w:r>
      <w:r>
        <w:rPr>
          <w:rFonts w:ascii="Times New Roman;sans-serif" w:hAnsi="Times New Roman;sans-serif"/>
          <w:b/>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w:t>
      </w:r>
      <w:r>
        <w:rPr>
          <w:rFonts w:ascii="Times New Roman;sans-serif" w:hAnsi="Times New Roman;sans-serif"/>
          <w:b w:val="false"/>
          <w:i/>
          <w:color w:val="000000"/>
          <w:sz w:val="20"/>
          <w:highlight w:val="white"/>
        </w:rPr>
        <w:t>ibuprofen</w:t>
      </w:r>
      <w:r>
        <w:rPr>
          <w:rFonts w:ascii="Times New Roman;sans-serif" w:hAnsi="Times New Roman;sans-serif"/>
          <w:b w:val="false"/>
          <w:color w:val="000000"/>
          <w:sz w:val="20"/>
          <w:highlight w:val="white"/>
        </w:rPr>
        <w:t>) injection, for the treatment of pain and fever;</w:t>
      </w:r>
    </w:p>
    <w:p>
      <w:pPr>
        <w:pStyle w:val="TextBody"/>
        <w:spacing w:lineRule="auto" w:line="288" w:before="160" w:after="120"/>
        <w:ind w:left="0" w:right="0" w:hanging="360"/>
        <w:jc w:val="both"/>
        <w:rPr/>
      </w:pPr>
      <w:r>
        <w:rPr>
          <w:color w:val="000000"/>
        </w:rPr>
        <w:t>•</w:t>
      </w:r>
      <w:r>
        <w:rPr>
          <w:rFonts w:ascii="Times New Roman;sans-serif" w:hAnsi="Times New Roman;sans-serif"/>
          <w:b/>
          <w:color w:val="000000"/>
          <w:sz w:val="20"/>
          <w:highlight w:val="white"/>
        </w:rPr>
        <w:t>Kristalose</w:t>
      </w:r>
      <w:r>
        <w:rPr>
          <w:rFonts w:ascii="Times New Roman;sans-serif" w:hAnsi="Times New Roman;sans-serif"/>
          <w:b/>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w:t>
      </w:r>
      <w:r>
        <w:rPr>
          <w:rFonts w:ascii="Times New Roman;sans-serif" w:hAnsi="Times New Roman;sans-serif"/>
          <w:b w:val="false"/>
          <w:i/>
          <w:color w:val="000000"/>
          <w:sz w:val="20"/>
          <w:highlight w:val="white"/>
        </w:rPr>
        <w:t>lactulose</w:t>
      </w:r>
      <w:r>
        <w:rPr>
          <w:rFonts w:ascii="Times New Roman;sans-serif" w:hAnsi="Times New Roman;sans-serif"/>
          <w:b w:val="false"/>
          <w:color w:val="000000"/>
          <w:sz w:val="20"/>
          <w:highlight w:val="white"/>
        </w:rPr>
        <w:t>) oral, a prescription laxative, for the treatment of constipation;</w:t>
      </w:r>
    </w:p>
    <w:p>
      <w:pPr>
        <w:pStyle w:val="TextBody"/>
        <w:spacing w:lineRule="auto" w:line="288" w:before="160" w:after="120"/>
        <w:ind w:left="0" w:right="0" w:hanging="360"/>
        <w:jc w:val="both"/>
        <w:rPr/>
      </w:pPr>
      <w:r>
        <w:rPr>
          <w:color w:val="000000"/>
        </w:rPr>
        <w:t>•</w:t>
      </w:r>
      <w:r>
        <w:rPr>
          <w:rFonts w:ascii="Times New Roman;sans-serif" w:hAnsi="Times New Roman;sans-serif"/>
          <w:b/>
          <w:color w:val="000000"/>
          <w:sz w:val="20"/>
          <w:highlight w:val="white"/>
        </w:rPr>
        <w:t>Omeclamox</w:t>
      </w:r>
      <w:r>
        <w:rPr>
          <w:rFonts w:ascii="Times New Roman;sans-serif" w:hAnsi="Times New Roman;sans-serif"/>
          <w:b/>
          <w:color w:val="000000"/>
          <w:sz w:val="13"/>
          <w:highlight w:val="white"/>
        </w:rPr>
        <w:t>®</w:t>
      </w:r>
      <w:r>
        <w:rPr>
          <w:rFonts w:ascii="Times New Roman;sans-serif" w:hAnsi="Times New Roman;sans-serif"/>
          <w:b/>
          <w:color w:val="000000"/>
          <w:sz w:val="20"/>
          <w:highlight w:val="white"/>
        </w:rPr>
        <w:t>-Pak</w:t>
      </w:r>
      <w:r>
        <w:rPr>
          <w:rFonts w:ascii="Times New Roman;sans-serif" w:hAnsi="Times New Roman;sans-serif"/>
          <w:b w:val="false"/>
          <w:color w:val="000000"/>
          <w:sz w:val="20"/>
          <w:highlight w:val="white"/>
        </w:rPr>
        <w:t>, (</w:t>
      </w:r>
      <w:r>
        <w:rPr>
          <w:rFonts w:ascii="Times New Roman;sans-serif" w:hAnsi="Times New Roman;sans-serif"/>
          <w:b w:val="false"/>
          <w:i/>
          <w:color w:val="000000"/>
          <w:sz w:val="20"/>
          <w:highlight w:val="white"/>
        </w:rPr>
        <w:t>omeprazole, clarithromycin, amoxicillin</w:t>
      </w:r>
      <w:r>
        <w:rPr>
          <w:rFonts w:ascii="Times New Roman;sans-serif" w:hAnsi="Times New Roman;sans-serif"/>
          <w:b w:val="false"/>
          <w:color w:val="000000"/>
          <w:sz w:val="20"/>
          <w:highlight w:val="white"/>
        </w:rPr>
        <w:t>) oral, for the treatment of Helicobacter pylori (</w:t>
      </w:r>
      <w:r>
        <w:rPr>
          <w:rFonts w:ascii="Times New Roman;sans-serif" w:hAnsi="Times New Roman;sans-serif"/>
          <w:b w:val="false"/>
          <w:i/>
          <w:color w:val="000000"/>
          <w:sz w:val="20"/>
          <w:highlight w:val="white"/>
        </w:rPr>
        <w:t>H. pylori</w:t>
      </w:r>
      <w:r>
        <w:rPr>
          <w:rFonts w:ascii="Times New Roman;sans-serif" w:hAnsi="Times New Roman;sans-serif"/>
          <w:b w:val="false"/>
          <w:color w:val="000000"/>
          <w:sz w:val="20"/>
          <w:highlight w:val="white"/>
        </w:rPr>
        <w:t>) infection and related duodenal ulcer disease;</w:t>
      </w:r>
    </w:p>
    <w:p>
      <w:pPr>
        <w:pStyle w:val="TextBody"/>
        <w:spacing w:lineRule="auto" w:line="288" w:before="160" w:after="283"/>
        <w:ind w:left="0" w:right="0" w:hanging="360"/>
        <w:jc w:val="both"/>
        <w:rPr/>
      </w:pPr>
      <w:r>
        <w:rPr>
          <w:color w:val="000000"/>
          <w:highlight w:val="white"/>
        </w:rPr>
        <w:t>•</w:t>
      </w:r>
      <w:r>
        <w:rPr>
          <w:rFonts w:ascii="Times New Roman;sans-serif" w:hAnsi="Times New Roman;sans-serif"/>
          <w:b/>
          <w:color w:val="000000"/>
          <w:sz w:val="20"/>
        </w:rPr>
        <w:t>RediTrex</w:t>
      </w:r>
      <w:r>
        <w:rPr>
          <w:rFonts w:ascii="Times New Roman;sans-serif" w:hAnsi="Times New Roman;sans-serif"/>
          <w:b/>
          <w:color w:val="000000"/>
          <w:sz w:val="13"/>
          <w:highlight w:val="white"/>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methotrexate</w:t>
      </w:r>
      <w:r>
        <w:rPr>
          <w:rFonts w:ascii="Times New Roman;sans-serif" w:hAnsi="Times New Roman;sans-serif"/>
          <w:b w:val="false"/>
          <w:color w:val="000000"/>
          <w:sz w:val="20"/>
        </w:rPr>
        <w:t>) injection,</w:t>
      </w:r>
      <w:r>
        <w:rPr>
          <w:color w:val="000000"/>
        </w:rPr>
        <w:t xml:space="preserve"> </w:t>
      </w:r>
      <w:r>
        <w:rPr>
          <w:rFonts w:ascii="Times New Roman;sans-serif" w:hAnsi="Times New Roman;sans-serif"/>
          <w:b w:val="false"/>
          <w:color w:val="000000"/>
          <w:sz w:val="20"/>
        </w:rPr>
        <w:t>for the treatment of active rheumatoid, juvenile idiopathic and severe psoriatic arthritis, as well as disabling psoriasis;</w:t>
      </w:r>
    </w:p>
    <w:p>
      <w:pPr>
        <w:pStyle w:val="TextBody"/>
        <w:spacing w:lineRule="auto" w:line="288" w:before="160" w:after="283"/>
        <w:ind w:left="0" w:right="0" w:hanging="360"/>
        <w:jc w:val="both"/>
        <w:rPr/>
      </w:pPr>
      <w:r>
        <w:rPr>
          <w:color w:val="000000"/>
        </w:rPr>
        <w:t>•</w:t>
      </w:r>
      <w:r>
        <w:rPr>
          <w:rFonts w:ascii="Times New Roman;sans-serif" w:hAnsi="Times New Roman;sans-serif"/>
          <w:b/>
          <w:color w:val="000000"/>
          <w:sz w:val="20"/>
        </w:rPr>
        <w:t>Sancuso</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4"/>
        </w:rPr>
        <w:t xml:space="preserve">granisetron) </w:t>
      </w:r>
      <w:r>
        <w:rPr>
          <w:rFonts w:ascii="Times New Roman;sans-serif" w:hAnsi="Times New Roman;sans-serif"/>
          <w:b w:val="false"/>
          <w:color w:val="000000"/>
          <w:sz w:val="20"/>
        </w:rPr>
        <w:t>transdermal, for the prevention of nausea and vomiting in patients receiving certain types of chemotherapy treatment;</w:t>
      </w:r>
    </w:p>
    <w:p>
      <w:pPr>
        <w:pStyle w:val="TextBody"/>
        <w:spacing w:lineRule="auto" w:line="288" w:before="160" w:after="120"/>
        <w:ind w:left="0" w:right="0" w:hanging="360"/>
        <w:jc w:val="both"/>
        <w:rPr/>
      </w:pPr>
      <w:r>
        <w:rPr>
          <w:color w:val="000000"/>
          <w:highlight w:val="white"/>
        </w:rPr>
        <w:t>•</w:t>
      </w:r>
      <w:r>
        <w:rPr>
          <w:rFonts w:ascii="Times New Roman;sans-serif" w:hAnsi="Times New Roman;sans-serif"/>
          <w:b/>
          <w:color w:val="000000"/>
          <w:sz w:val="20"/>
          <w:highlight w:val="white"/>
        </w:rPr>
        <w:t>Vaprisol</w:t>
      </w:r>
      <w:r>
        <w:rPr>
          <w:rFonts w:ascii="Times New Roman;sans-serif" w:hAnsi="Times New Roman;sans-serif"/>
          <w:b/>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w:t>
      </w:r>
      <w:r>
        <w:rPr>
          <w:rFonts w:ascii="Times New Roman;sans-serif" w:hAnsi="Times New Roman;sans-serif"/>
          <w:b w:val="false"/>
          <w:i/>
          <w:color w:val="000000"/>
          <w:sz w:val="20"/>
          <w:highlight w:val="white"/>
        </w:rPr>
        <w:t>conivaptan</w:t>
      </w:r>
      <w:r>
        <w:rPr>
          <w:rFonts w:ascii="Times New Roman;sans-serif" w:hAnsi="Times New Roman;sans-serif"/>
          <w:b w:val="false"/>
          <w:color w:val="000000"/>
          <w:sz w:val="20"/>
          <w:highlight w:val="white"/>
        </w:rPr>
        <w:t>) injection, to raise serum sodium levels in hospitalized patients with euvolemic and hypervolemic hyponatremia; and</w:t>
      </w:r>
    </w:p>
    <w:p>
      <w:pPr>
        <w:pStyle w:val="TextBody"/>
        <w:spacing w:lineRule="auto" w:line="288" w:before="160" w:after="120"/>
        <w:ind w:left="0" w:right="0" w:hanging="360"/>
        <w:jc w:val="both"/>
        <w:rPr/>
      </w:pPr>
      <w:r>
        <w:rPr>
          <w:color w:val="000000"/>
        </w:rPr>
        <w:t>•</w:t>
      </w:r>
      <w:r>
        <w:rPr>
          <w:rFonts w:ascii="Times New Roman;sans-serif" w:hAnsi="Times New Roman;sans-serif"/>
          <w:b/>
          <w:color w:val="000000"/>
          <w:sz w:val="20"/>
          <w:highlight w:val="white"/>
        </w:rPr>
        <w:t>Vibativ</w:t>
      </w:r>
      <w:r>
        <w:rPr>
          <w:rFonts w:ascii="Times New Roman;sans-serif" w:hAnsi="Times New Roman;sans-serif"/>
          <w:b/>
          <w:color w:val="000000"/>
          <w:sz w:val="13"/>
          <w:highlight w:val="white"/>
        </w:rPr>
        <w:t>®</w:t>
      </w:r>
      <w:r>
        <w:rPr>
          <w:color w:val="000000"/>
          <w:highlight w:val="white"/>
        </w:rPr>
        <w:t xml:space="preserve"> </w:t>
      </w:r>
      <w:r>
        <w:rPr>
          <w:rFonts w:ascii="Times New Roman;sans-serif" w:hAnsi="Times New Roman;sans-serif"/>
          <w:b w:val="false"/>
          <w:color w:val="000000"/>
          <w:sz w:val="20"/>
          <w:highlight w:val="white"/>
        </w:rPr>
        <w:t>(</w:t>
      </w:r>
      <w:r>
        <w:rPr>
          <w:rFonts w:ascii="Times New Roman;sans-serif" w:hAnsi="Times New Roman;sans-serif"/>
          <w:b w:val="false"/>
          <w:i/>
          <w:color w:val="000000"/>
          <w:sz w:val="20"/>
          <w:highlight w:val="white"/>
        </w:rPr>
        <w:t>telavancin</w:t>
      </w:r>
      <w:r>
        <w:rPr>
          <w:rFonts w:ascii="Times New Roman;sans-serif" w:hAnsi="Times New Roman;sans-serif"/>
          <w:b w:val="false"/>
          <w:color w:val="000000"/>
          <w:sz w:val="20"/>
          <w:highlight w:val="white"/>
        </w:rPr>
        <w:t>) injection, for the treatment of certain serious bacterial infections including hospital-acquired and ventilator-associated bacterial pneumonia, as well as complicated skin and skin structure infections.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these commercial brands, we have Phase II clinical programs underway evaluating our ifetroban product candidates for patients with cardiomyopathy associated with 1) Duchenne Muscular Dystrophy (“DMD”), a fatal, genetic neuromuscular disease; 2) Systemic Sclerosis (“SSc”) or scleroderma, a debilitating autoimmune disorder characterized by fibrosis of the skin and internal organs; and 3) Aspirin-Exacerbated Respiratory Disease (“AERD”), a severe form of asthma.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Cumberland has built core competencies in the acquisition, development and commercialization of pharmaceutical products in the U.S. - and we believe we can leverage this existing infrastructure to support our continued growth both domestically and internationally. Our management team consists of pharmaceutical industry veterans with experience in business development, product development, regulatory, manufacturing, sales, marketing and finance. </w:t>
      </w:r>
    </w:p>
    <w:p>
      <w:pPr>
        <w:pStyle w:val="TextBody"/>
        <w:spacing w:lineRule="auto" w:line="288" w:before="160" w:after="283"/>
        <w:jc w:val="both"/>
        <w:rPr/>
      </w:pPr>
      <w:r>
        <w:rPr>
          <w:rFonts w:ascii="Times New Roman;sans-serif" w:hAnsi="Times New Roman;sans-serif"/>
          <w:b w:val="false"/>
          <w:color w:val="000000"/>
          <w:sz w:val="20"/>
        </w:rPr>
        <w:t>Our business development team identifies, evaluates, and negotiates product acquisition, licensing and co-promotion agreements. Our product development team creates proprietary formulations, manages our clinical studies, prepares our FDA submissions and staffs our medical call center. Our quality and manufacturing professionals oversee the manufacturing, release and shipment of our products. Our marketing and sales organization is responsible for our commercial activities, and we work closely with our distribution partners to ensure the availability and delivery of our products.</w:t>
      </w:r>
      <w:r>
        <w:rPr>
          <w:color w:val="000000"/>
          <w:highlight w:val="white"/>
        </w:rPr>
        <w:t xml:space="preserve"> </w:t>
      </w:r>
    </w:p>
    <w:p>
      <w:pPr>
        <w:pStyle w:val="TextBody"/>
        <w:spacing w:before="160" w:after="283"/>
        <w:rPr/>
      </w:pPr>
      <w:r>
        <w:rPr/>
      </w:r>
    </w:p>
    <w:p>
      <w:pPr>
        <w:pStyle w:val="TextBody"/>
        <w:spacing w:before="160" w:after="283"/>
        <w:rPr/>
      </w:pPr>
      <w:r>
        <w:rPr/>
      </w:r>
    </w:p>
    <w:p>
      <w:pPr>
        <w:pStyle w:val="TextBody"/>
        <w:spacing w:before="160" w:after="283"/>
        <w:rPr/>
      </w:pPr>
      <w:r>
        <w:rPr/>
      </w:r>
    </w:p>
    <w:p>
      <w:pPr>
        <w:pStyle w:val="TextBody"/>
        <w:spacing w:before="160" w:after="283"/>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GROWTH STRATEGY</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Cumberland’s growth strategy involves maximizing the success of our existing brands while continuing to build a portfolio of differentiated products. We currently feature eight FDA products approved for sale in the United States. We are also continuing to explore international partnerships to bring our medicines to patients in other countries. Additionally, we look for opportunities to expand our products into additional patient populations through clinical trials, new presentations and our support of select, investigator-initiated studies. We actively pursue opportunities to acquire additional marketed products, as well as late-stage development product candidates in our target medical specialties. Our clinical team is developing a pipeline of new product candidates largely to address poorly met medical needs.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supplementing these activities with the earlier-stage drug development at Cumberland Emerging Technologies (“CET”), our majority-owned subsidiary. CET partners with academic research institutions to identify and support the progress of promising new product candidates, which Cumberland could further develop and commercialize.</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we are seeking long-term sustainable growth by:</w:t>
      </w:r>
    </w:p>
    <w:p>
      <w:pPr>
        <w:pStyle w:val="TextBody"/>
        <w:spacing w:lineRule="auto" w:line="288" w:before="160" w:after="283"/>
        <w:ind w:left="0" w:right="0" w:hanging="360"/>
        <w:jc w:val="both"/>
        <w:rPr/>
      </w:pPr>
      <w:r>
        <w:rPr>
          <w:color w:val="000000"/>
        </w:rPr>
        <w:t>•</w:t>
      </w:r>
      <w:r>
        <w:rPr>
          <w:rFonts w:ascii="Times New Roman;sans-serif" w:hAnsi="Times New Roman;sans-serif"/>
          <w:b/>
          <w:color w:val="000000"/>
          <w:sz w:val="20"/>
        </w:rPr>
        <w:t xml:space="preserve">Supporting and expanding the use of our marketed products. </w:t>
      </w:r>
      <w:r>
        <w:rPr>
          <w:rFonts w:ascii="Times New Roman;sans-serif" w:hAnsi="Times New Roman;sans-serif"/>
          <w:b w:val="false"/>
          <w:color w:val="000000"/>
          <w:sz w:val="20"/>
        </w:rPr>
        <w:t>We continue to evaluate our products following their FDA approval to determine if additional clinical data could expand their market and use. For example, we have secured pediatric approval of Acetadote and Caldolor and are expanding the labeling for both brands accordingly. We also recently further expanded the labeling for Caldolor to allow its use prior to surgery. We will continue to explore such opportunities to bring our products to new patient populations.</w:t>
      </w:r>
    </w:p>
    <w:p>
      <w:pPr>
        <w:pStyle w:val="TextBody"/>
        <w:spacing w:lineRule="auto" w:line="288" w:before="160" w:after="283"/>
        <w:ind w:left="0" w:right="0" w:hanging="360"/>
        <w:jc w:val="both"/>
        <w:rPr/>
      </w:pPr>
      <w:r>
        <w:rPr>
          <w:color w:val="000000"/>
        </w:rPr>
        <w:t>•</w:t>
      </w:r>
      <w:r>
        <w:rPr>
          <w:rFonts w:ascii="Times New Roman;sans-serif" w:hAnsi="Times New Roman;sans-serif"/>
          <w:b/>
          <w:color w:val="000000"/>
          <w:sz w:val="20"/>
        </w:rPr>
        <w:t xml:space="preserve">Selectively adding complementary brands. </w:t>
      </w:r>
      <w:r>
        <w:rPr>
          <w:rFonts w:ascii="Times New Roman;sans-serif" w:hAnsi="Times New Roman;sans-serif"/>
          <w:b w:val="false"/>
          <w:color w:val="000000"/>
          <w:sz w:val="20"/>
        </w:rPr>
        <w:t>In addition to our product development activities, we are also seeking to acquire products or late-stage development product candidates to continue to build a portfolio of complementary brands. We focus on under-promoted, FDA-approved drugs as well as late-stage development products that address poorly met medical needs. We will continue to target product acquisition candidates that are competitively differentiated, have valuable intellectual property or other protective features, and allow us to leverage our existing infrastructure. Our acquisition of Vibativ and Sancuso are examples of this strategy.</w:t>
      </w:r>
    </w:p>
    <w:p>
      <w:pPr>
        <w:pStyle w:val="TextBody"/>
        <w:spacing w:lineRule="auto" w:line="288" w:before="160" w:after="283"/>
        <w:ind w:left="0" w:right="0" w:hanging="360"/>
        <w:jc w:val="both"/>
        <w:rPr/>
      </w:pPr>
      <w:r>
        <w:rPr>
          <w:color w:val="000000"/>
        </w:rPr>
        <w:t>•</w:t>
      </w:r>
      <w:r>
        <w:rPr>
          <w:rFonts w:ascii="Times New Roman;sans-serif" w:hAnsi="Times New Roman;sans-serif"/>
          <w:b/>
          <w:color w:val="000000"/>
          <w:sz w:val="20"/>
        </w:rPr>
        <w:t>Progressing our clinical pipeline and incubating future product opportunities at CET.</w:t>
      </w:r>
      <w:r>
        <w:rPr>
          <w:color w:val="000000"/>
        </w:rPr>
        <w:t xml:space="preserve"> </w:t>
      </w:r>
      <w:r>
        <w:rPr>
          <w:rFonts w:ascii="Times New Roman;sans-serif" w:hAnsi="Times New Roman;sans-serif"/>
          <w:b w:val="false"/>
          <w:color w:val="000000"/>
          <w:sz w:val="20"/>
        </w:rPr>
        <w:t xml:space="preserve">We believe it is important to build a pipeline of innovative new product opportunities, as we are doing though our ifetroban Phase II development programs. We are also supplementing our acquisitions and late-stage development activities with early-stage drug development activities with CET. </w:t>
      </w:r>
    </w:p>
    <w:p>
      <w:pPr>
        <w:pStyle w:val="TextBody"/>
        <w:spacing w:lineRule="auto" w:line="288" w:before="160" w:after="283"/>
        <w:ind w:left="0" w:right="0" w:hanging="360"/>
        <w:jc w:val="both"/>
        <w:rPr/>
      </w:pPr>
      <w:r>
        <w:rPr>
          <w:color w:val="000000"/>
        </w:rPr>
        <w:t>•</w:t>
      </w:r>
      <w:r>
        <w:rPr>
          <w:rFonts w:ascii="Times New Roman;sans-serif" w:hAnsi="Times New Roman;sans-serif"/>
          <w:b/>
          <w:color w:val="000000"/>
          <w:sz w:val="20"/>
        </w:rPr>
        <w:t xml:space="preserve">Leveraging our infrastructure through co-promotion partnerships. </w:t>
      </w:r>
      <w:r>
        <w:rPr>
          <w:rFonts w:ascii="Times New Roman;sans-serif" w:hAnsi="Times New Roman;sans-serif"/>
          <w:b w:val="false"/>
          <w:color w:val="000000"/>
          <w:sz w:val="20"/>
        </w:rPr>
        <w:t>We believe that our commercial infrastructure can help drive prescription volume and product sales. We look for strategic partners that can complement our capabilities and enhance opportunities for our brands. For example, our co-promotion partnerships have allowed us to expand the support for Kristalose and Sancuso across the U.S.</w:t>
      </w:r>
    </w:p>
    <w:p>
      <w:pPr>
        <w:pStyle w:val="TextBody"/>
        <w:spacing w:lineRule="auto" w:line="288" w:before="160" w:after="283"/>
        <w:ind w:left="0" w:right="0" w:hanging="360"/>
        <w:jc w:val="both"/>
        <w:rPr/>
      </w:pPr>
      <w:r>
        <w:rPr>
          <w:color w:val="000000"/>
        </w:rPr>
        <w:t>•</w:t>
      </w:r>
      <w:r>
        <w:rPr>
          <w:rFonts w:ascii="Times New Roman;sans-serif" w:hAnsi="Times New Roman;sans-serif"/>
          <w:b/>
          <w:color w:val="000000"/>
          <w:sz w:val="20"/>
        </w:rPr>
        <w:t>Building an international contribution to our business.</w:t>
      </w:r>
      <w:r>
        <w:rPr>
          <w:color w:val="000000"/>
        </w:rPr>
        <w:t xml:space="preserve"> </w:t>
      </w:r>
      <w:r>
        <w:rPr>
          <w:rFonts w:ascii="Times New Roman;sans-serif" w:hAnsi="Times New Roman;sans-serif"/>
          <w:b w:val="false"/>
          <w:color w:val="000000"/>
          <w:sz w:val="20"/>
        </w:rPr>
        <w:t>We have established our own commercial capabilities, including three sales divisions, to cover the U.S. market for our products. We are also building a network of select international partners to register our products and make them available to patients in their countries. We will continue to develop and expand our network of international partners while supporting our partners’ registration and commercialization efforts in their respective territories. The acquisition of Vibativ resulted in several new international partners and market opportunities.</w:t>
      </w:r>
    </w:p>
    <w:p>
      <w:pPr>
        <w:pStyle w:val="TextBody"/>
        <w:spacing w:lineRule="auto" w:line="288" w:before="160" w:after="283"/>
        <w:ind w:left="0" w:right="0" w:hanging="360"/>
        <w:jc w:val="both"/>
        <w:rPr/>
      </w:pPr>
      <w:r>
        <w:rPr>
          <w:color w:val="000000"/>
        </w:rPr>
        <w:t>•</w:t>
      </w:r>
      <w:r>
        <w:rPr>
          <w:rFonts w:ascii="Times New Roman;sans-serif" w:hAnsi="Times New Roman;sans-serif"/>
          <w:b/>
          <w:color w:val="000000"/>
          <w:sz w:val="20"/>
        </w:rPr>
        <w:t>Managing our operations with financial discipline.</w:t>
      </w:r>
      <w:r>
        <w:rPr>
          <w:color w:val="000000"/>
        </w:rPr>
        <w:t xml:space="preserve"> </w:t>
      </w:r>
      <w:r>
        <w:rPr>
          <w:rFonts w:ascii="Times New Roman;sans-serif" w:hAnsi="Times New Roman;sans-serif"/>
          <w:b w:val="false"/>
          <w:color w:val="000000"/>
          <w:sz w:val="20"/>
        </w:rPr>
        <w:t>We continually work to manage our expenses in line with our revenues to deliver cash flow from operations. We remain in a strong financial position, with favorable gross margins and a strong balance sheet.</w:t>
      </w:r>
    </w:p>
    <w:p>
      <w:pPr>
        <w:pStyle w:val="TextBody"/>
        <w:spacing w:before="160" w:after="283"/>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240" w:after="120"/>
        <w:rPr/>
      </w:pPr>
      <w:r>
        <w:rPr/>
      </w:r>
    </w:p>
    <w:p>
      <w:pPr>
        <w:pStyle w:val="TextBody"/>
        <w:spacing w:lineRule="auto" w:line="288" w:before="160" w:after="24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COVID-19 Pandemic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early 2020, the U.S. declared a health care emergency following the outbreak of SARS-CoV-2, a novel strain of coronavirus that causes COVID-19, a respiratory illness. Cumberland managed through the resulting pandemic, continuing to operate our business – keeping facilities open and our organization intact. We moved quickly to ensure the health and safety of our team. We also maintained our ongoing compliance with the many laws and regulations that apply to us as a publicly traded pharmaceutical company.</w:t>
      </w:r>
    </w:p>
    <w:p>
      <w:pPr>
        <w:pStyle w:val="TextBody"/>
        <w:spacing w:lineRule="auto" w:line="288" w:before="160" w:after="283"/>
        <w:jc w:val="both"/>
        <w:rPr/>
      </w:pPr>
      <w:r>
        <w:rPr>
          <w:rFonts w:ascii="Times New Roman;sans-serif" w:hAnsi="Times New Roman;sans-serif"/>
          <w:b w:val="false"/>
          <w:color w:val="000000"/>
          <w:sz w:val="20"/>
        </w:rPr>
        <w:t xml:space="preserve">Throughout the pandemic, we faced the same challenges affecting other companies that rely on hospital admissions and patient visits to drive revenue. Our clinical studies were also impacted, as fewer patients sought elective surgeries and our access to medical facilities was substantially limited. </w:t>
      </w:r>
      <w:r>
        <w:rPr>
          <w:rFonts w:ascii="Times New Roman;sans-serif" w:hAnsi="Times New Roman;sans-serif"/>
          <w:b w:val="false"/>
          <w:color w:val="000000"/>
          <w:sz w:val="20"/>
          <w:highlight w:val="white"/>
        </w:rPr>
        <w:t xml:space="preserve">We carefully monitored our supply chain, including the flow of raw materials and the batches of finished products emerging from the facilities that manufacture our products.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Several of our brands were negatively impacted by the lockdowns and postponement of physician office visits and elective procedures. However, we are fortunate to have a diversified product portfolio that includes brands that have delivered a strong performance during the pandemic.</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challenges of operating during a pandemic, Cumberland has remained committed to our mission of providing innovative products that improve the quality of care for patients and address poorly met medical needs. We have continued to build our portfolio of innovative and differentiated products through a multifaceted strategy that includes the development of new candidates and acquisition of established brands. Our resulting, diversified product line has enabled us to weather external challenges, while our team has remained responsive to the evolving medical market. We are prepared for and look forward to future opportunities to carry out our mission. Overall, we have been able to continue the delivery of our products while addressing the interests of our shareholders, employees, partners and community.</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Sancuso Acquisition</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started off the first quarter of 2022 with an exciting announcement – Cumberland acquired the FDA-approved oncology-supportive care medicine Sancuso from Kyowa Kirin, Inc., the U.S. affiliate of Japan-based Kyowa Kirin Co., Ltd.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acquired U.S. rights to Sancuso and assumed full commercial responsibility for the product – including its marketing, promotion, distribution, manufacturing and medical support activities.</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Sancuso Promotion</w:t>
      </w:r>
    </w:p>
    <w:p>
      <w:pPr>
        <w:pStyle w:val="TextBody"/>
        <w:spacing w:lineRule="auto" w:line="288" w:before="160" w:after="283"/>
        <w:jc w:val="both"/>
        <w:rPr/>
      </w:pPr>
      <w:r>
        <w:rPr>
          <w:rFonts w:ascii="Times New Roman;sans-serif" w:hAnsi="Times New Roman;sans-serif"/>
          <w:b w:val="false"/>
          <w:color w:val="000000"/>
          <w:sz w:val="20"/>
        </w:rPr>
        <w:t>To support Sancuso, we have established an oncology sales division, which is initially comprised of two former Kyowa Kirin employees and their five contracted inside sales individuals.</w:t>
      </w:r>
      <w:r>
        <w:rPr>
          <w:color w:val="000000"/>
        </w:rPr>
        <w:t xml:space="preserve">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April 19, 2022, we also entered into an agreement with Verity Pharmaceuticals International Limited (“Verity”) for the national co-promotion of Sancuso. Verity is a specialty pharmaceutical company that will utilize its established oncology commercial organization and customer network to co-promote Sancuso throughout the United States.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Verity will cover a majority of the U.S. market for an initial three-year term, with an option to extend for an additional two years. Verity and Cumberland will share in the incremental contribution margin resulting from Verity’s efforts.</w:t>
      </w:r>
    </w:p>
    <w:p>
      <w:pPr>
        <w:pStyle w:val="TextBody"/>
        <w:spacing w:before="160" w:after="283"/>
        <w:jc w:val="both"/>
        <w:rPr/>
      </w:pPr>
      <w:r>
        <w:rPr/>
      </w:r>
    </w:p>
    <w:p>
      <w:pPr>
        <w:pStyle w:val="TextBody"/>
        <w:spacing w:before="160" w:after="283"/>
        <w:jc w:val="both"/>
        <w:rPr/>
      </w:pPr>
      <w:r>
        <w:rPr/>
      </w:r>
    </w:p>
    <w:p>
      <w:pPr>
        <w:pStyle w:val="TextBody"/>
        <w:spacing w:before="160" w:after="283"/>
        <w:jc w:val="both"/>
        <w:rPr/>
      </w:pPr>
      <w:r>
        <w:rPr/>
      </w:r>
    </w:p>
    <w:p>
      <w:pPr>
        <w:pStyle w:val="TextBody"/>
        <w:spacing w:before="160" w:after="283"/>
        <w:jc w:val="both"/>
        <w:rPr/>
      </w:pPr>
      <w:r>
        <w:rPr/>
      </w:r>
    </w:p>
    <w:p>
      <w:pPr>
        <w:pStyle w:val="TextBody"/>
        <w:spacing w:before="160" w:after="283"/>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240" w:after="120"/>
        <w:rPr/>
      </w:pPr>
      <w:r>
        <w:rPr/>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New Vibativ Agreements</w:t>
      </w:r>
    </w:p>
    <w:p>
      <w:pPr>
        <w:pStyle w:val="TextBody"/>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 March 2022, we announced the launch of our Vibativ product in Puerto Rico. The announcement followed an August 2021 agreement with Verity to license and commercialize our Vibativ product in that territory. Verity has a particular strength and experience in the Puerto Rican market. Vibativ can serve as a potentially life-saving treatment in patients with hospital-acquired and ventilator-associated pneumonia resulting from infections, including the flu and COVID-19.</w:t>
      </w:r>
    </w:p>
    <w:p>
      <w:pPr>
        <w:pStyle w:val="TextBody"/>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2.Also in March 2022, we announced that we have entered into an agreement with Tabuk Pharmaceutical Manufacturing Company (“Tabuk”), a fully owned subsidiary of Saudi Arabia’s publicly traded Astra Industrial Group. Under the terms of the agreement, Tabuk received an exclusive license to distribute Vibativ in Saudi Arabi and Jordan, with an option to expand into other countries in the region. Cumberland has recognized an upfront payment from Tabuk. In addition, the agreement calls for milestone payments as well as an agreed transfer price on supplies of the product for that territory.</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Omeclamox-Pak Supply Update</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packager for our Omeclamox-Pak product has been unable to provide us with supplies of the product, having encountered difficulties and therefore suspending operations during the pandemic. We are currently awaiting the facility’s packaging to resume, while also exploring other alternatives to restart the product’s packaging, before we build new inventory and resupply the market.</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Vaprisol Supply Update</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transitioning to a new manufacturer for our Vaprisol product. During 2021, we shipped all remaining inventory of the product and notified the FDA that supplies of the product were then not currently available. We have transferred manufacturing to a new facility, and await the submission and FDA approval for that plant before resuming shipments. That company plans to provide an interim supply of compounded product to the market while awaiting the needed facility approval.</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Ifetroban Clinical Studies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evaluating our ifetroban product candidate, a selective thromboxane-prostanoid receptor (“TPr”) antagonist, in a series of clinical studies. It has been dosed in nearly 1,400 subjects and was found to be safe and well tolerated in healthy volunteers and various patient populations.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is currently sponsoring three Phase II clinical programs to evaluate ifetroban in 1) Aspirin-Exacerbated Respiratory Disease, a severe form of asthma; 2) Systemic Sclerosis or scleroderma; a debilitating autoimmune disorder characterized by diffuse fibrosis of the skin and internal organs; and 3) patients with cardiomyopathy associated with Duchenne Muscular Dystrophy, a genetic neuromuscular disease that results in deterioration of the skeletal, heart and lung muscles.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After being interrupted by the pandemic, enrollment in these studies has resumed as many of our clinical study sites have reopened and begun screening patients for potential participation. We are awaiting results from the studies underway before deciding on the best development path for the registration of ifetroban.</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designing a Phase II study to evaluate the use of ifetroban to treat patients with Progressive Fibrosing Interstitial Lung Diseases. We are preparing an application to the FDA to support the new program.</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company-sponsored studies, an NIH-funded, Harvard-clinical-investigator-led trial has closed enrollment of patients with Aspirin Exacerbated Respiratory Disease. This Phase II, placebo-controlled study, complements our programs and we will announce top-line results following a completion of the data analysis.</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Summary</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remains committed to our mission of providing innovative products that improve the quality of care for patients and address poorly met medical needs. We are working to fulfill this mission by building a portfolio of innovative and differentiated products through a multifaceted strategy that includes the development of new candidates as well as the acquisition of established brands. Our resulting, diversified product line has enabled us to weather external challenges amid the pandemic, while our team remains responsive to the evolving medical market. We are prepared for and look forward to future opportunities to carry out our mission throughout the remainder of the year.</w:t>
      </w:r>
    </w:p>
    <w:p>
      <w:pPr>
        <w:pStyle w:val="TextBody"/>
        <w:spacing w:before="16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JUDGMENTS AND ESTIMATES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2021 Annual Report on Form 10-K.</w:t>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Accounting Estimates and Judgments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These estimates, judgments and assumptions are most critical with respect to our accounting for revenue recognition, inventories, fair value of contingent consideration liabilities associated with business combinations, share-based compensation and intangible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2022 compared to the three months ended March 31, 2021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unaudited interim statements of operations for continuing operations for the three months ended March 31, 2022 and 2021:</w:t>
      </w:r>
    </w:p>
    <w:tbl>
      <w:tblPr>
        <w:tblW w:w="10110" w:type="dxa"/>
        <w:jc w:val="left"/>
        <w:tblInd w:w="0" w:type="dxa"/>
        <w:tblCellMar>
          <w:top w:w="28" w:type="dxa"/>
          <w:left w:w="28" w:type="dxa"/>
          <w:bottom w:w="28" w:type="dxa"/>
          <w:right w:w="28" w:type="dxa"/>
        </w:tblCellMar>
      </w:tblPr>
      <w:tblGrid>
        <w:gridCol w:w="1854"/>
        <w:gridCol w:w="1634"/>
        <w:gridCol w:w="1641"/>
        <w:gridCol w:w="211"/>
        <w:gridCol w:w="1081"/>
        <w:gridCol w:w="109"/>
        <w:gridCol w:w="109"/>
        <w:gridCol w:w="109"/>
        <w:gridCol w:w="109"/>
        <w:gridCol w:w="211"/>
        <w:gridCol w:w="1081"/>
        <w:gridCol w:w="109"/>
        <w:gridCol w:w="109"/>
        <w:gridCol w:w="109"/>
        <w:gridCol w:w="109"/>
        <w:gridCol w:w="211"/>
        <w:gridCol w:w="1051"/>
        <w:gridCol w:w="109"/>
        <w:gridCol w:w="154"/>
      </w:tblGrid>
      <w:tr>
        <w:trPr/>
        <w:tc>
          <w:tcPr>
            <w:tcW w:w="1854" w:type="dxa"/>
            <w:tcBorders/>
            <w:shd w:fill="auto" w:val="clear"/>
            <w:vAlign w:val="center"/>
          </w:tcPr>
          <w:p>
            <w:pPr>
              <w:pStyle w:val="TableContents"/>
              <w:spacing w:before="0" w:after="283"/>
              <w:rPr>
                <w:sz w:val="4"/>
                <w:szCs w:val="4"/>
              </w:rPr>
            </w:pPr>
            <w:r>
              <w:rPr>
                <w:sz w:val="4"/>
                <w:szCs w:val="4"/>
              </w:rPr>
            </w:r>
          </w:p>
        </w:tc>
        <w:tc>
          <w:tcPr>
            <w:tcW w:w="1634" w:type="dxa"/>
            <w:tcBorders/>
            <w:shd w:fill="auto" w:val="clear"/>
            <w:vAlign w:val="center"/>
          </w:tcPr>
          <w:p>
            <w:pPr>
              <w:pStyle w:val="TableContents"/>
              <w:spacing w:before="0" w:after="283"/>
              <w:rPr>
                <w:sz w:val="4"/>
                <w:szCs w:val="4"/>
              </w:rPr>
            </w:pPr>
            <w:r>
              <w:rPr>
                <w:sz w:val="4"/>
                <w:szCs w:val="4"/>
              </w:rPr>
            </w:r>
          </w:p>
        </w:tc>
        <w:tc>
          <w:tcPr>
            <w:tcW w:w="16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54" w:type="dxa"/>
            <w:tcBorders/>
            <w:shd w:fill="auto" w:val="clear"/>
          </w:tcPr>
          <w:p>
            <w:pPr>
              <w:pStyle w:val="TableContents"/>
              <w:spacing w:before="0" w:after="283"/>
              <w:rPr>
                <w:sz w:val="4"/>
                <w:szCs w:val="4"/>
              </w:rPr>
            </w:pPr>
            <w:r>
              <w:rPr>
                <w:sz w:val="4"/>
                <w:szCs w:val="4"/>
              </w:rPr>
            </w:r>
          </w:p>
        </w:tc>
      </w:tr>
      <w:tr>
        <w:trPr/>
        <w:tc>
          <w:tcPr>
            <w:tcW w:w="5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11,175,045 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10,537,159 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2,211,885 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4,614,429 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3,787,340 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827,089 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2,302,349 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2,230,509 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1,168,914 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2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12,467,044 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10,861,459 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1,605,585 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before income taxes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(1,395,533)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(1,052,242)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(1,051,684)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net revenues by product for the periods presented: </w:t>
      </w:r>
    </w:p>
    <w:tbl>
      <w:tblPr>
        <w:tblW w:w="6280" w:type="dxa"/>
        <w:jc w:val="left"/>
        <w:tblInd w:w="0" w:type="dxa"/>
        <w:tblCellMar>
          <w:top w:w="28" w:type="dxa"/>
          <w:left w:w="28" w:type="dxa"/>
          <w:bottom w:w="28" w:type="dxa"/>
          <w:right w:w="28" w:type="dxa"/>
        </w:tblCellMar>
      </w:tblPr>
      <w:tblGrid>
        <w:gridCol w:w="585"/>
        <w:gridCol w:w="513"/>
        <w:gridCol w:w="522"/>
        <w:gridCol w:w="211"/>
        <w:gridCol w:w="1081"/>
        <w:gridCol w:w="109"/>
        <w:gridCol w:w="109"/>
        <w:gridCol w:w="109"/>
        <w:gridCol w:w="109"/>
        <w:gridCol w:w="211"/>
        <w:gridCol w:w="1081"/>
        <w:gridCol w:w="109"/>
        <w:gridCol w:w="109"/>
        <w:gridCol w:w="109"/>
        <w:gridCol w:w="109"/>
        <w:gridCol w:w="213"/>
        <w:gridCol w:w="837"/>
        <w:gridCol w:w="154"/>
      </w:tblGrid>
      <w:tr>
        <w:trPr/>
        <w:tc>
          <w:tcPr>
            <w:tcW w:w="585"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Kristalose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3,945,097 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Sancuso</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3,397,209 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3,397,209 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(2,550,809)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Caldolor</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1,539,496 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(579,862)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Vaprisol</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(1,251,264)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Acetadote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Omeclamox-Pak</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RediTrex</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11,175,045 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10,537,159 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Times New Roman;sans-serif" w:hAnsi="Times New Roman;sans-serif"/>
          <w:b w:val="false"/>
          <w:i/>
          <w:color w:val="000000"/>
          <w:sz w:val="20"/>
        </w:rPr>
        <w:t>Net revenues.</w:t>
      </w:r>
      <w:r>
        <w:rPr>
          <w:color w:val="000000"/>
        </w:rPr>
        <w:t xml:space="preserve"> </w:t>
      </w:r>
      <w:r>
        <w:rPr>
          <w:rFonts w:ascii="Times New Roman;sans-serif" w:hAnsi="Times New Roman;sans-serif"/>
          <w:b w:val="false"/>
          <w:color w:val="000000"/>
          <w:sz w:val="20"/>
        </w:rPr>
        <w:t xml:space="preserve">Net revenues for the three months ended March 31, 2022, were $11.2 million compared to $10.5 million for the three months ended March 31, 2021. As detailed in the table above, net revenue increased for two of our marketed products: Kristalose and RediTrex during the quarter, as well as the addition of Sancuso.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Kristalose revenue increased by 31.8% during the first quarter of 2022 to $3.9 million, when compared to the prior year period. The increase was primarily the result of growth in shipments of the product to our wholesale customers.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Acetadote revenue includes net sales of our Acetadote brand and our share of net sales from our Authorized Generic. During the quarter, there was a slight decrease in the product's revenue when compared to the prior year period.</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Vaprisol revenue was $(0.1) million for the first quarter of 2022, a decrease of $1.3 million compared to the same period last year. This decrease of net sales compared to the first quarter of 2021 is primarily due to a stock shortage as we await pending FDA approval on a new manufacturer.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240" w:after="120"/>
        <w:rPr/>
      </w:pPr>
      <w:r>
        <w:rPr/>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Caldolor revenue was $1.0 million for the first quarter of 2022, a decrease of $0.6 million compared to the same period last year. The decrease was the result of lower international shipments of the product, due to order timing.</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Vibativ revenue was $2.5 million for the three months ended March 31, 2022, compared to $5.1 million for the same period last year. The decrease was a result of increased purchases in 2021 due in part to a new packaging change.</w:t>
      </w:r>
    </w:p>
    <w:p>
      <w:pPr>
        <w:pStyle w:val="TextBody"/>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Sancuso revenue was $3.4 million for the first quarter of 2022, which was $0.3 million higher than the first quarter of 2021 U.S. results reported by Kyowa Kirin, from whom Cumberland acquired the U.S. rights to Sancuso on January 3, 2022.</w:t>
      </w:r>
    </w:p>
    <w:p>
      <w:pPr>
        <w:pStyle w:val="TextBody"/>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Omeclamox-Pak had no sales for the first quarter of 2022, as Cumberland is currently out of commercial inventory of this product. The packager for our Omeclamox-Pak product encountered financial difficulties, and currently is under new management and a reorganization. We are in discussions about the resumption of packaging the product. Net revenue for the first quarter of 2022 was positively impacted by various revenue adjustments.</w:t>
      </w:r>
    </w:p>
    <w:p>
      <w:pPr>
        <w:pStyle w:val="TextBody"/>
        <w:spacing w:lineRule="auto" w:line="288" w:before="160" w:after="120"/>
        <w:jc w:val="both"/>
        <w:rPr/>
      </w:pPr>
      <w:r>
        <w:rPr>
          <w:rFonts w:ascii="Times New Roman;sans-serif" w:hAnsi="Times New Roman;sans-serif"/>
          <w:b w:val="false"/>
          <w:i/>
          <w:color w:val="000000"/>
          <w:sz w:val="20"/>
        </w:rPr>
        <w:t>Cost of products sold</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Co</w:t>
      </w:r>
      <w:r>
        <w:rPr>
          <w:rFonts w:ascii="Times New Roman;sans-serif" w:hAnsi="Times New Roman;sans-serif"/>
          <w:b w:val="false"/>
          <w:color w:val="000000"/>
          <w:sz w:val="20"/>
        </w:rPr>
        <w:t xml:space="preserve">st of products sold for the first quarter of 2022 and 2021 were $2.2 million and $2.4 million, respectively. Cost of products sold, as a percentage of net revenues, were 19.8% during the three months ended March 31, 2022, compared to 22.9% during the three months ended March 31, 2021. This change in costs of products sold as a percentage of revenue was attributable to a change in the product sales mix. </w:t>
      </w:r>
    </w:p>
    <w:p>
      <w:pPr>
        <w:pStyle w:val="TextBody"/>
        <w:spacing w:lineRule="auto" w:line="288" w:before="160" w:after="120"/>
        <w:jc w:val="both"/>
        <w:rPr/>
      </w:pPr>
      <w:r>
        <w:rPr>
          <w:rFonts w:ascii="Times New Roman;sans-serif" w:hAnsi="Times New Roman;sans-serif"/>
          <w:b w:val="false"/>
          <w:i/>
          <w:color w:val="000000"/>
          <w:sz w:val="20"/>
        </w:rPr>
        <w:t>Selling and marketing</w:t>
      </w:r>
      <w:r>
        <w:rPr>
          <w:rFonts w:ascii="Times New Roman;sans-serif" w:hAnsi="Times New Roman;sans-serif"/>
          <w:b w:val="false"/>
          <w:color w:val="000000"/>
          <w:sz w:val="20"/>
        </w:rPr>
        <w:t xml:space="preserve">. Selling and marketing expense for the first quarter of 2022 increased $0.8 million compared to the prior year period. This increase is primarily attributable to an increase in marketing spending for Sancuso as well as royalty costs, direct promotional spending, meeting costs and travel expenses for all of our existing brands including our new oncology sales force. </w:t>
      </w:r>
    </w:p>
    <w:p>
      <w:pPr>
        <w:pStyle w:val="TextBody"/>
        <w:spacing w:lineRule="auto" w:line="288" w:before="160" w:after="120"/>
        <w:jc w:val="both"/>
        <w:rPr/>
      </w:pP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xml:space="preserve">. Research and development costs for the first quarter of 2022 and 2021 were $1.7 million and $1.3 million, respectively. A portion of our research and development costs is variable based on the number of trials, study sites, number of patients and the cost per patient in each of our clinical programs. We continue to fund our ongoing clinical initiatives associated with our pipeline products. </w:t>
      </w:r>
    </w:p>
    <w:p>
      <w:pPr>
        <w:pStyle w:val="TextBody"/>
        <w:spacing w:lineRule="auto" w:line="288" w:before="160" w:after="120"/>
        <w:jc w:val="both"/>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General and administrative expense for the first quarter of 2022 was $2.3 million, which was $0.1 million higher than the first quarter of 2021. The increase was primarily attributable to increases in compensation expense.</w:t>
      </w:r>
    </w:p>
    <w:p>
      <w:pPr>
        <w:pStyle w:val="TextBody"/>
        <w:spacing w:before="160" w:after="283"/>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240" w:after="120"/>
        <w:rPr/>
      </w:pPr>
      <w:r>
        <w:rPr/>
      </w:r>
    </w:p>
    <w:p>
      <w:pPr>
        <w:pStyle w:val="TextBody"/>
        <w:spacing w:lineRule="auto" w:line="288" w:before="160" w:after="120"/>
        <w:rPr>
          <w:rFonts w:ascii="Times New Roman;sans-serif" w:hAnsi="Times New Roman;sans-serif"/>
          <w:b w:val="false"/>
          <w:color w:val="000000"/>
          <w:sz w:val="20"/>
        </w:rPr>
      </w:pPr>
      <w:r>
        <w:rPr>
          <w:rFonts w:ascii="Times New Roman;sans-serif" w:hAnsi="Times New Roman;sans-serif"/>
          <w:b w:val="false"/>
          <w:color w:val="000000"/>
          <w:sz w:val="20"/>
        </w:rPr>
        <w:t>The components of the statements of operations discussed above reflect the following impacts from Vibativ:</w:t>
      </w:r>
    </w:p>
    <w:tbl>
      <w:tblPr>
        <w:tblW w:w="6021" w:type="dxa"/>
        <w:jc w:val="left"/>
        <w:tblInd w:w="0" w:type="dxa"/>
        <w:tblCellMar>
          <w:top w:w="28" w:type="dxa"/>
          <w:left w:w="28" w:type="dxa"/>
          <w:bottom w:w="28" w:type="dxa"/>
          <w:right w:w="28" w:type="dxa"/>
        </w:tblCellMar>
      </w:tblPr>
      <w:tblGrid>
        <w:gridCol w:w="988"/>
        <w:gridCol w:w="868"/>
        <w:gridCol w:w="874"/>
        <w:gridCol w:w="109"/>
        <w:gridCol w:w="109"/>
        <w:gridCol w:w="109"/>
        <w:gridCol w:w="211"/>
        <w:gridCol w:w="976"/>
        <w:gridCol w:w="109"/>
        <w:gridCol w:w="109"/>
        <w:gridCol w:w="109"/>
        <w:gridCol w:w="109"/>
        <w:gridCol w:w="211"/>
        <w:gridCol w:w="976"/>
        <w:gridCol w:w="154"/>
      </w:tblGrid>
      <w:tr>
        <w:trPr/>
        <w:tc>
          <w:tcPr>
            <w:tcW w:w="98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Impact of Vibativ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Net revenue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5,052,243 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Cost of products sold </w:t>
            </w:r>
            <w:r>
              <w:rPr>
                <w:rFonts w:ascii="Times New Roman;sans-serif" w:hAnsi="Times New Roman;sans-serif"/>
                <w:b w:val="false"/>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927,160 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1,456,816 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 contribution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1,042,957 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3,193,075 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2022 net revenue includes a $150,000 payment to Cumberland required under the terms of a new licensee agreement.</w:t>
      </w:r>
    </w:p>
    <w:p>
      <w:pPr>
        <w:pStyle w:val="TextBody"/>
        <w:spacing w:lineRule="auto" w:line="288" w:before="80" w:after="283"/>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The Vibativ inventory included in the costs of product sold during the period was acquired and paid for by Cumberland as part of the acquisition of the brand during 2018.</w:t>
      </w:r>
    </w:p>
    <w:tbl>
      <w:tblPr>
        <w:tblW w:w="4662" w:type="dxa"/>
        <w:jc w:val="left"/>
        <w:tblInd w:w="0" w:type="dxa"/>
        <w:tblCellMar>
          <w:top w:w="28" w:type="dxa"/>
          <w:left w:w="28" w:type="dxa"/>
          <w:bottom w:w="28" w:type="dxa"/>
          <w:right w:w="28" w:type="dxa"/>
        </w:tblCellMar>
      </w:tblPr>
      <w:tblGrid>
        <w:gridCol w:w="988"/>
        <w:gridCol w:w="868"/>
        <w:gridCol w:w="874"/>
        <w:gridCol w:w="109"/>
        <w:gridCol w:w="109"/>
        <w:gridCol w:w="109"/>
        <w:gridCol w:w="234"/>
        <w:gridCol w:w="1200"/>
        <w:gridCol w:w="171"/>
      </w:tblGrid>
      <w:tr>
        <w:trPr/>
        <w:tc>
          <w:tcPr>
            <w:tcW w:w="98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Impact of Vibativ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Since Acquisition</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Net revenue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38,772,457 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Cost of products sold </w:t>
            </w:r>
            <w:r>
              <w:rPr>
                <w:rFonts w:ascii="Times New Roman;sans-serif" w:hAnsi="Times New Roman;sans-serif"/>
                <w:b w:val="false"/>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13,116,416 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7,135,362 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 contribution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18,520,679 </w:t>
            </w:r>
          </w:p>
        </w:tc>
        <w:tc>
          <w:tcPr>
            <w:tcW w:w="1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2022 net revenue includes a $150,000 payment to Cumberland required under the terms of a new licensee agreement.</w:t>
      </w:r>
    </w:p>
    <w:p>
      <w:pPr>
        <w:pStyle w:val="TextBody"/>
        <w:spacing w:lineRule="auto" w:line="288" w:before="80" w:after="283"/>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The Vibativ inventory included in the costs of product sold during the period was acquired and paid for by Cumberland as part of the acquisition of the brand during 2018.</w:t>
      </w:r>
    </w:p>
    <w:p>
      <w:pPr>
        <w:pStyle w:val="TextBody"/>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statements of operations discussed above reflect the following impacts from Sancuso:</w:t>
      </w:r>
    </w:p>
    <w:tbl>
      <w:tblPr>
        <w:tblW w:w="5827" w:type="dxa"/>
        <w:jc w:val="left"/>
        <w:tblInd w:w="0" w:type="dxa"/>
        <w:tblCellMar>
          <w:top w:w="28" w:type="dxa"/>
          <w:left w:w="28" w:type="dxa"/>
          <w:bottom w:w="28" w:type="dxa"/>
          <w:right w:w="28" w:type="dxa"/>
        </w:tblCellMar>
      </w:tblPr>
      <w:tblGrid>
        <w:gridCol w:w="988"/>
        <w:gridCol w:w="868"/>
        <w:gridCol w:w="873"/>
        <w:gridCol w:w="109"/>
        <w:gridCol w:w="109"/>
        <w:gridCol w:w="109"/>
        <w:gridCol w:w="244"/>
        <w:gridCol w:w="1131"/>
        <w:gridCol w:w="126"/>
        <w:gridCol w:w="126"/>
        <w:gridCol w:w="126"/>
        <w:gridCol w:w="126"/>
        <w:gridCol w:w="244"/>
        <w:gridCol w:w="470"/>
        <w:gridCol w:w="178"/>
      </w:tblGrid>
      <w:tr>
        <w:trPr/>
        <w:tc>
          <w:tcPr>
            <w:tcW w:w="98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Impact of Sancuso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1"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3,397,209 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Cost of products sold </w:t>
            </w:r>
            <w:r>
              <w:rPr>
                <w:rFonts w:ascii="Times New Roman;sans-serif" w:hAnsi="Times New Roman;sans-serif"/>
                <w:b w:val="false"/>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388,264 </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910,100 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Sancuso contribution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2,098,845 </w:t>
            </w:r>
          </w:p>
        </w:tc>
        <w:tc>
          <w:tcPr>
            <w:tcW w:w="1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Sancuso inventory included in the costs of product sold during the period was acquired and paid for by Cumberland as part of the acquisition of the brand during 2022.</w:t>
      </w:r>
    </w:p>
    <w:p>
      <w:pPr>
        <w:pStyle w:val="TextBody"/>
        <w:spacing w:lineRule="auto" w:line="288" w:before="160" w:after="120"/>
        <w:jc w:val="both"/>
        <w:rPr/>
      </w:pPr>
      <w:r>
        <w:rPr>
          <w:rFonts w:ascii="Times New Roman;sans-serif" w:hAnsi="Times New Roman;sans-serif"/>
          <w:b w:val="false"/>
          <w:i/>
          <w:color w:val="000000"/>
          <w:sz w:val="20"/>
        </w:rPr>
        <w:t>Amortization.</w:t>
      </w:r>
      <w:r>
        <w:rPr>
          <w:color w:val="000000"/>
        </w:rPr>
        <w:t xml:space="preserve"> </w:t>
      </w:r>
      <w:r>
        <w:rPr>
          <w:rFonts w:ascii="Times New Roman;sans-serif" w:hAnsi="Times New Roman;sans-serif"/>
          <w:b w:val="false"/>
          <w:color w:val="000000"/>
          <w:sz w:val="20"/>
        </w:rPr>
        <w:t>Amortization expense is the ratable use of our capitalized intangible assets including product and license rights, patents, trademarks and patent defense costs. Amortization for the three months ended March 31, 2022, and three months ended March 31, 2021, totaled approximately $1.6 million and $1.2 million, respectively. The increase in amortization expense is due to the acquisition of Sancuso.</w:t>
      </w:r>
    </w:p>
    <w:p>
      <w:pPr>
        <w:pStyle w:val="TextBody"/>
        <w:spacing w:lineRule="auto" w:line="288" w:before="160" w:after="120"/>
        <w:jc w:val="both"/>
        <w:rPr/>
      </w:pPr>
      <w:r>
        <w:rPr>
          <w:rFonts w:ascii="Times New Roman;sans-serif" w:hAnsi="Times New Roman;sans-serif"/>
          <w:b w:val="false"/>
          <w:i/>
          <w:color w:val="000000"/>
          <w:sz w:val="20"/>
        </w:rPr>
        <w:t>Income taxes</w:t>
      </w:r>
      <w:r>
        <w:rPr>
          <w:rFonts w:ascii="Times New Roman;sans-serif" w:hAnsi="Times New Roman;sans-serif"/>
          <w:b w:val="false"/>
          <w:color w:val="000000"/>
          <w:sz w:val="20"/>
        </w:rPr>
        <w:t xml:space="preserve">. Income tax expense for the three months ended March 31, 2022, was comparable to the income tax expense for the three months ended March 31, 2021. </w:t>
      </w:r>
    </w:p>
    <w:p>
      <w:pPr>
        <w:pStyle w:val="TextBody"/>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we had approximately $56.6 million in federal net operating loss carryforwards including approximately $44 million of net operating loss carryforwards resulting from the exercise of nonqualified stock options that have historically been used to significantly offset income tax obligations. We expect to continue to pay minimal income taxes during 2022 and beyond, through the continued utilization of these net operating loss carryforwards, on any taxable income generated from our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Working Capital</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cash equivalents, cash flows from operations and the amounts borrowed under our line of credit. We believe that our internally generated cash flows, existing working capital and our line of credit will be adequate to finance internal growth, finance business development initiatives, and fund capital expenditures for the foreseeable future. </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liquidity and working capital as of March 31, 2022 and December 31, 2021:</w:t>
      </w:r>
    </w:p>
    <w:tbl>
      <w:tblPr>
        <w:tblW w:w="8530" w:type="dxa"/>
        <w:jc w:val="left"/>
        <w:tblInd w:w="0" w:type="dxa"/>
        <w:tblCellMar>
          <w:top w:w="28" w:type="dxa"/>
          <w:left w:w="28" w:type="dxa"/>
          <w:bottom w:w="28" w:type="dxa"/>
          <w:right w:w="28" w:type="dxa"/>
        </w:tblCellMar>
      </w:tblPr>
      <w:tblGrid>
        <w:gridCol w:w="1809"/>
        <w:gridCol w:w="1588"/>
        <w:gridCol w:w="1597"/>
        <w:gridCol w:w="217"/>
        <w:gridCol w:w="1111"/>
        <w:gridCol w:w="112"/>
        <w:gridCol w:w="109"/>
        <w:gridCol w:w="109"/>
        <w:gridCol w:w="109"/>
        <w:gridCol w:w="258"/>
        <w:gridCol w:w="1323"/>
        <w:gridCol w:w="188"/>
      </w:tblGrid>
      <w:tr>
        <w:trPr/>
        <w:tc>
          <w:tcPr>
            <w:tcW w:w="1809"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c>
          <w:tcPr>
            <w:tcW w:w="159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4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4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17,266,785 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27,040,816 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(current assets less current liabilities)</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20,784,529 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26,409,053 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ratio (multiple of current assets to current liabilities)</w:t>
            </w:r>
          </w:p>
        </w:tc>
        <w:tc>
          <w:tcPr>
            <w:tcW w:w="13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 availability</w:t>
            </w:r>
          </w:p>
        </w:tc>
        <w:tc>
          <w:tcPr>
            <w:tcW w:w="217"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net changes in cash and cash equivalents for the three months ended March 31, 2022 and March 31, 2021:</w:t>
      </w:r>
    </w:p>
    <w:tbl>
      <w:tblPr>
        <w:tblW w:w="7358" w:type="dxa"/>
        <w:jc w:val="left"/>
        <w:tblInd w:w="0" w:type="dxa"/>
        <w:tblCellMar>
          <w:top w:w="28" w:type="dxa"/>
          <w:left w:w="28" w:type="dxa"/>
          <w:bottom w:w="28" w:type="dxa"/>
          <w:right w:w="28" w:type="dxa"/>
        </w:tblCellMar>
      </w:tblPr>
      <w:tblGrid>
        <w:gridCol w:w="1564"/>
        <w:gridCol w:w="1372"/>
        <w:gridCol w:w="1383"/>
        <w:gridCol w:w="211"/>
        <w:gridCol w:w="1051"/>
        <w:gridCol w:w="109"/>
        <w:gridCol w:w="109"/>
        <w:gridCol w:w="109"/>
        <w:gridCol w:w="109"/>
        <w:gridCol w:w="211"/>
        <w:gridCol w:w="976"/>
        <w:gridCol w:w="154"/>
      </w:tblGrid>
      <w:tr>
        <w:trPr/>
        <w:tc>
          <w:tcPr>
            <w:tcW w:w="1564"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9"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3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(150,498)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1,785,549 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(13,541,898)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(318,341)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2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3,918,365 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(1,298,079)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(9,774,031)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$9.8 million decrease in cash and cash equivalents for the three months ended March 31, 2022, was primarily attributable to cash used in investing and partially offset by cash provided by financing activities. Cash used in operating activities of $0.2 million was primarily the result of accounts receivable increasing by $7.8 million mainly from Sancuso sales, positively impacted by decreases in inventory of $2.3 million and increases in accounts payable and other liabilities of $4.1 million, as well as the add back of non-cash expenses of depreciation, amortization and share-based compensation expense totaling $1.8 million. Cash used in investing activities was the result of the acquisition of Sancuso. Our financing activities included the increase in our line of credit of $5.0 million partially offset by the $0.6 million in cash used to repurchase shares of our common stock as well as the $0.5 million used for the payment of royalties for sales of Vibativ and Sancuso.</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$0.2 million increase in cash and cash equivalents for the three months ended March 31, 2021, was primarily attributable to cash provided by operating activities, partially offset by cash used in investing and financing activities. Cash provided by operating activities of $1.8 million was positively impacted by decreases in inventory of $1.9 million, as well as the add back of non-cash expenses of depreciation, amortization and share-based compensation expense totaling $1.4 million. Cash used in investing activities was the result of additions to intangibles of $0.1 million and the payment of $0.2 million to the WHC JV. Our financing activities included the $0.3 million in cash used to repurchase shares of our common stock as well as the $1.0 million used for the payment of royalties to Theravance for sales of Vibativ. </w:t>
      </w:r>
    </w:p>
    <w:p>
      <w:pPr>
        <w:pStyle w:val="TextBody"/>
        <w:spacing w:before="160" w:after="283"/>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240" w:after="120"/>
        <w:rPr/>
      </w:pPr>
      <w:r>
        <w:rPr/>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Debt Agreement</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2022, the Company and Pinnacle Bank entered into a Seventh Amendment to the Revolving Credit Loan Agreement (the "Pinnacle Agreement") to revise and update the Maximum Funded Debt Ratio financial covenant and to delete from the Pinnacle Agreement the Funded Debt to Tangible Capital Ratio financial covenant. These changes were made to more appropriately reflect the impact from the Sancuso acquisition.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31, 2021, the Company and Pinnacle Bank entered into the Fifth Amendment to the Revolving Credit Note and the Sixth Amendment to the Revolving Credit Loan Agreement in order to increase the principal amount of the Note from $15 million to $20 million.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28, 2021, the Company and Pinnacle Bank entered into a Fourth Amendment to the Revolving Credit Note and Fifth Amendment ("Fifth Amendment") to the Revolving Credit Loan Agreement to renew the Revolving Credit Loan.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original Pinnacle Agreement was dated July 2017. Beginning on August 14, 2018, and continuing until October 7, 2020, the Company and Pinnacle Bank entered into a series of amendments to extend and update the Revolving Credit Note and Revolving Credit Agreement. The Fifth Amendment extends the maturity date three years through October 1, 2024.</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 on the Pinnacle Agreement is based on LIBOR plus an interest rate spread. The current pricing under the Pinnacle Agreement provides for an interest rate spread of 1.75% to 2.75% above LIBOR with a minimum LIBOR of 0.90%. The applicable interest rate under the Pinnacle Agreement was 3.65% at March 31, 2022. In addition, a fee of 0.25% per year is charged on the unused line of credit. Interest and the unused line fee are payable quarterly. The parties have agreed on a process to determine a new interest rate benchmark at the point the LIBOR rate is expected to be discontinued over the next 12 to 24 months.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and December 31, 2021, the Company had $20.0 million and $15.0 million, respectively, in borrowings outstanding under its revolving credit facility. The Company was in compliance with the Maximum Funded Debt Ratio financial covenant as of March 31, 2022. </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Paycheck Protection Program Loan</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20, 2020, Cumberland received the funding of a loan from Pinnacle Bank in the aggregate amount of $2,187,140 pursuant to the Paycheck Protection Program (the “PPP”) under the Federal Coronavirus Aid, Relief, and Economic Security Act ("CARES Act"), which was enacted March 27, 2020. </w:t>
      </w:r>
    </w:p>
    <w:p>
      <w:pPr>
        <w:pStyle w:val="TextBody"/>
        <w:spacing w:lineRule="auto" w:line="288" w:before="160" w:after="283"/>
        <w:jc w:val="both"/>
        <w:rPr/>
      </w:pPr>
      <w:r>
        <w:rPr>
          <w:rFonts w:ascii="Times New Roman;sans-serif" w:hAnsi="Times New Roman;sans-serif"/>
          <w:b w:val="false"/>
          <w:color w:val="000000"/>
          <w:sz w:val="20"/>
        </w:rPr>
        <w:t>Under the terms of the PPP, certain amounts of the loan may be forgiven if they are used for qualifying expenses as described in the CARES Act, including qualifying payroll costs, covered rent payments, and covered utilities.</w:t>
      </w:r>
      <w:r>
        <w:rPr>
          <w:color w:val="000000"/>
        </w:rPr>
        <w:t xml:space="preserve"> </w:t>
      </w:r>
      <w:r>
        <w:rPr>
          <w:rFonts w:ascii="Times New Roman;sans-serif" w:hAnsi="Times New Roman;sans-serif"/>
          <w:b w:val="false"/>
          <w:color w:val="000000"/>
          <w:sz w:val="20"/>
        </w:rPr>
        <w:t>Cumberland used the PPP loan funds for such qualifying expenses. Due to assistance from our PPP loan, the Company did not lay off or furlough any employees as a result of the COVID-19 pandemic.</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2020, Cumberland submitted a request for the loan’s forgiveness. On June 11, 2021, the Company received a formal notice from the SBA that the full amount of the loan was forgiven.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120"/>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and 2021, we did not engage in any off-balance sheet arrangements.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March 31, 2022.</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 risk related to borrowings under our line of credit is based on LIBOR plus an interest rate spread. The current pricing under the Pinnacle Agreement provides for an interest rate spread of 1.75% to 2.75% above LIBOR with a minimum LIBOR of 0.90%. The applicable interest rate under the Pinnacle Agreement was 3.65% at March 31, 2022. As of March 31, 2022, we had $20.0 million in borrowings outstanding under our revolving credit facility. </w:t>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Exchange Rate Risk</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three months ended March 31, 2022 and 2021. Neither a five percent increase nor decrease from current exchange rates would have a material effect on our operating results or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there has not been any change in our internal control over financial reporting that has materially affected, or is reasonably likely to materially affect, our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developments with regard to the legal proceedings previously disclosed in the Company's Annual Report on Form 10-K for the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quarterly report, an investor should consider the risk factors included in the Company's Annual Report on Form 10-K for the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Purchases of Equity Securities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 </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by month, during the three months ended March 31, 2022:</w:t>
      </w:r>
    </w:p>
    <w:p>
      <w:pPr>
        <w:pStyle w:val="TextBody"/>
        <w:spacing w:lineRule="auto" w:line="288" w:before="0" w:after="0"/>
        <w:rPr>
          <w:color w:val="000000"/>
        </w:rPr>
      </w:pPr>
      <w:r>
        <w:rPr>
          <w:color w:val="000000"/>
        </w:rPr>
        <w:t> </w:t>
      </w:r>
    </w:p>
    <w:tbl>
      <w:tblPr>
        <w:tblW w:w="9687" w:type="dxa"/>
        <w:jc w:val="left"/>
        <w:tblInd w:w="0" w:type="dxa"/>
        <w:tblCellMar>
          <w:top w:w="28" w:type="dxa"/>
          <w:left w:w="28" w:type="dxa"/>
          <w:bottom w:w="28" w:type="dxa"/>
          <w:right w:w="28" w:type="dxa"/>
        </w:tblCellMar>
      </w:tblPr>
      <w:tblGrid>
        <w:gridCol w:w="304"/>
        <w:gridCol w:w="266"/>
        <w:gridCol w:w="271"/>
        <w:gridCol w:w="1938"/>
        <w:gridCol w:w="1938"/>
        <w:gridCol w:w="1944"/>
        <w:gridCol w:w="109"/>
        <w:gridCol w:w="109"/>
        <w:gridCol w:w="109"/>
        <w:gridCol w:w="217"/>
        <w:gridCol w:w="526"/>
        <w:gridCol w:w="113"/>
        <w:gridCol w:w="109"/>
        <w:gridCol w:w="109"/>
        <w:gridCol w:w="109"/>
        <w:gridCol w:w="238"/>
        <w:gridCol w:w="1103"/>
        <w:gridCol w:w="175"/>
      </w:tblGrid>
      <w:tr>
        <w:trPr/>
        <w:tc>
          <w:tcPr>
            <w:tcW w:w="30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938" w:type="dxa"/>
            <w:tcBorders/>
            <w:shd w:fill="auto" w:val="clear"/>
            <w:vAlign w:val="center"/>
          </w:tcPr>
          <w:p>
            <w:pPr>
              <w:pStyle w:val="TableContents"/>
              <w:spacing w:before="0" w:after="283"/>
              <w:rPr>
                <w:sz w:val="4"/>
                <w:szCs w:val="4"/>
              </w:rPr>
            </w:pPr>
            <w:r>
              <w:rPr>
                <w:sz w:val="4"/>
                <w:szCs w:val="4"/>
              </w:rPr>
            </w:r>
          </w:p>
        </w:tc>
        <w:tc>
          <w:tcPr>
            <w:tcW w:w="1938" w:type="dxa"/>
            <w:tcBorders/>
            <w:shd w:fill="auto" w:val="clear"/>
            <w:vAlign w:val="center"/>
          </w:tcPr>
          <w:p>
            <w:pPr>
              <w:pStyle w:val="TableContents"/>
              <w:spacing w:before="0" w:after="283"/>
              <w:rPr>
                <w:sz w:val="4"/>
                <w:szCs w:val="4"/>
              </w:rPr>
            </w:pPr>
            <w:r>
              <w:rPr>
                <w:sz w:val="4"/>
                <w:szCs w:val="4"/>
              </w:rPr>
            </w:r>
          </w:p>
        </w:tc>
        <w:tc>
          <w:tcPr>
            <w:tcW w:w="19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58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or Units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which were also Part of the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 Paid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 Share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(or Unit)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Maximum Number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(or Approximate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 Value)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(or Units)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that May Yet Be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Under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the Plans or</w:t>
            </w:r>
          </w:p>
          <w:p>
            <w:pPr>
              <w:pStyle w:val="TableContents"/>
              <w:spacing w:lineRule="auto" w:line="240" w:before="0" w:after="0"/>
              <w:jc w:val="center"/>
              <w:rPr>
                <w:color w:val="000000"/>
              </w:rPr>
            </w:pPr>
            <w:r>
              <w:rPr>
                <w:color w:val="000000"/>
              </w:rPr>
              <w:t>        </w:t>
            </w:r>
            <w:r>
              <w:rPr>
                <w:rFonts w:ascii="Times New Roman;sans-serif" w:hAnsi="Times New Roman;sans-serif"/>
                <w:b/>
                <w:color w:val="000000"/>
                <w:sz w:val="16"/>
              </w:rPr>
              <w:t>Programs</w:t>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w:t>
            </w:r>
          </w:p>
        </w:tc>
        <w:tc>
          <w:tcPr>
            <w:tcW w:w="58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46,642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4,595,056 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w:t>
            </w:r>
          </w:p>
        </w:tc>
        <w:tc>
          <w:tcPr>
            <w:tcW w:w="5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37,910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4,465,495 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w:t>
            </w:r>
          </w:p>
        </w:tc>
        <w:tc>
          <w:tcPr>
            <w:tcW w:w="58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89,597</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7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4,213,590 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820"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174,149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Of this amount, 50,874 shares were repurchased directly through private purchases at the then-current fair market value of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46"/>
        <w:gridCol w:w="196"/>
        <w:gridCol w:w="200"/>
        <w:gridCol w:w="109"/>
        <w:gridCol w:w="109"/>
        <w:gridCol w:w="109"/>
        <w:gridCol w:w="2996"/>
        <w:gridCol w:w="2921"/>
        <w:gridCol w:w="2945"/>
        <w:gridCol w:w="109"/>
        <w:gridCol w:w="109"/>
        <w:gridCol w:w="156"/>
      </w:tblGrid>
      <w:tr>
        <w:trPr/>
        <w:tc>
          <w:tcPr>
            <w:tcW w:w="2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6" w:type="dxa"/>
            <w:tcBorders/>
            <w:shd w:fill="auto" w:val="clear"/>
            <w:vAlign w:val="center"/>
          </w:tcPr>
          <w:p>
            <w:pPr>
              <w:pStyle w:val="TableContents"/>
              <w:spacing w:before="0" w:after="283"/>
              <w:rPr>
                <w:sz w:val="4"/>
                <w:szCs w:val="4"/>
              </w:rPr>
            </w:pPr>
            <w:r>
              <w:rPr>
                <w:sz w:val="4"/>
                <w:szCs w:val="4"/>
              </w:rPr>
            </w:r>
          </w:p>
        </w:tc>
        <w:tc>
          <w:tcPr>
            <w:tcW w:w="2921" w:type="dxa"/>
            <w:tcBorders/>
            <w:shd w:fill="auto" w:val="clear"/>
            <w:vAlign w:val="center"/>
          </w:tcPr>
          <w:p>
            <w:pPr>
              <w:pStyle w:val="TableContents"/>
              <w:spacing w:before="0" w:after="283"/>
              <w:rPr>
                <w:sz w:val="4"/>
                <w:szCs w:val="4"/>
              </w:rPr>
            </w:pPr>
            <w:r>
              <w:rPr>
                <w:sz w:val="4"/>
                <w:szCs w:val="4"/>
              </w:rPr>
            </w:r>
          </w:p>
        </w:tc>
        <w:tc>
          <w:tcPr>
            <w:tcW w:w="2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jkazimi-2022.htm">
              <w:r>
                <w:rPr>
                  <w:rStyle w:val="InternetLink"/>
                  <w:rFonts w:ascii="Times New Roman;sans-serif" w:hAnsi="Times New Roman;sans-serif"/>
                  <w:b w:val="false"/>
                  <w:color w:val="0000FF"/>
                  <w:sz w:val="20"/>
                  <w:u w:val="single"/>
                </w:rPr>
                <w:t>Employment Agreement dated March 7, 2022, effective as of January 1, 2022, by and between A.J. Kazimi and Cumberland Pharmaceuticals Inc. (incorporated by reference to Exhibit 10.11 of the Company’s Annual Report on Form 10-K, File No. 001-33637, filed with the Securities and Exchange Commission on March 11, 2022).</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leopavliv-2022.htm">
              <w:r>
                <w:rPr>
                  <w:rStyle w:val="InternetLink"/>
                  <w:rFonts w:ascii="Times New Roman;sans-serif" w:hAnsi="Times New Roman;sans-serif"/>
                  <w:b w:val="false"/>
                  <w:color w:val="0000FF"/>
                  <w:sz w:val="20"/>
                  <w:u w:val="single"/>
                </w:rPr>
                <w:t>Employment Agreement dated March 7, 2022, effective as of January 1, 2022, by and between Leo B. Pavliv and Cumberland Pharmaceuticals Inc. (incorporated by reference to Exhibit 10.13 of the Company’s Annual Report on Form 10-K, File No. 001-33637, filed with the Securities and Exchange Commission on March 11, 2022).</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johnhamm-2022.htm">
              <w:r>
                <w:rPr>
                  <w:rStyle w:val="InternetLink"/>
                  <w:rFonts w:ascii="Times New Roman;sans-serif" w:hAnsi="Times New Roman;sans-serif"/>
                  <w:b w:val="false"/>
                  <w:color w:val="0000FF"/>
                  <w:sz w:val="20"/>
                  <w:u w:val="single"/>
                </w:rPr>
                <w:t>Employment Agreement dated March 7, 2022, effective as of January 1, 2022, by and between John M. Hamm and Cumberland Pharmaceuticals Inc. (incorporated by reference to Exhibit 10.14 of the Company’s Annual Report on Form 10-K, File No. 001-33637, filed with the Securities and Exchange Commission on March 11, 2022).</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jamesherman-2022.htm">
              <w:r>
                <w:rPr>
                  <w:rStyle w:val="InternetLink"/>
                  <w:rFonts w:ascii="Times New Roman;sans-serif" w:hAnsi="Times New Roman;sans-serif"/>
                  <w:b w:val="false"/>
                  <w:color w:val="0000FF"/>
                  <w:sz w:val="20"/>
                  <w:u w:val="single"/>
                </w:rPr>
                <w:t>Employment Agreement dated March 7, 2022, effective as of January 1, 2022, by and between James L. Herman and Cumberland Pharmaceuticals Inc. (incorporated by reference to Exhibit 10.15 of the Company’s Annual Report on Form 10-K, File No. 001-33637, filed with the Securities and Exchange Commission on March 11, 2022).</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lineRule="auto" w:line="256" w:before="0" w:after="0"/>
              <w:jc w:val="both"/>
              <w:rPr/>
            </w:pPr>
            <w:hyperlink w:anchor="pinnaclebank-cpiamend7tolo.htm">
              <w:r>
                <w:rPr>
                  <w:rStyle w:val="InternetLink"/>
                </w:rPr>
                <w:t>Seventh</w:t>
              </w:r>
            </w:hyperlink>
            <w:hyperlink w:anchor="pinnaclebank-cpiamend7tolo.htm">
              <w:r>
                <w:rPr>
                  <w:rStyle w:val="InternetLink"/>
                </w:rPr>
                <w:t xml:space="preserve"> Amendment to Revolving Credit</w:t>
              </w:r>
            </w:hyperlink>
            <w:hyperlink w:anchor="pinnaclebank-cpiamend7tolo.htm">
              <w:r>
                <w:rPr>
                  <w:rStyle w:val="InternetLink"/>
                </w:rPr>
                <w:t xml:space="preserve"> Loan Agreement</w:t>
              </w:r>
            </w:hyperlink>
            <w:hyperlink w:anchor="pinnaclebank-cpiamend7tolo.htm">
              <w:r>
                <w:rPr>
                  <w:rStyle w:val="InternetLink"/>
                </w:rPr>
                <w:t xml:space="preserve">, dated as of </w:t>
              </w:r>
            </w:hyperlink>
            <w:hyperlink w:anchor="pinnaclebank-cpiamend7tolo.htm">
              <w:r>
                <w:rPr>
                  <w:rStyle w:val="InternetLink"/>
                </w:rPr>
                <w:t>March</w:t>
              </w:r>
            </w:hyperlink>
            <w:hyperlink w:anchor="pinnaclebank-cpiamend7tolo.htm">
              <w:r>
                <w:rPr>
                  <w:rStyle w:val="InternetLink"/>
                </w:rPr>
                <w:t xml:space="preserve"> </w:t>
              </w:r>
            </w:hyperlink>
            <w:hyperlink w:anchor="pinnaclebank-cpiamend7tolo.htm">
              <w:r>
                <w:rPr>
                  <w:rStyle w:val="InternetLink"/>
                </w:rPr>
                <w:t>31</w:t>
              </w:r>
            </w:hyperlink>
            <w:hyperlink w:anchor="pinnaclebank-cpiamend7tolo.htm">
              <w:r>
                <w:rPr>
                  <w:rStyle w:val="InternetLink"/>
                </w:rPr>
                <w:t>, 202</w:t>
              </w:r>
            </w:hyperlink>
            <w:hyperlink w:anchor="pinnaclebank-cpiamend7tolo.htm">
              <w:r>
                <w:rPr>
                  <w:rStyle w:val="InternetLink"/>
                </w:rPr>
                <w:t>2</w:t>
              </w:r>
            </w:hyperlink>
            <w:hyperlink w:anchor="pinnaclebank-cpiamend7tolo.htm">
              <w:r>
                <w:rPr>
                  <w:rStyle w:val="InternetLink"/>
                </w:rPr>
                <w:t>, by and between Cumberland Pharmaceuticals Inc. and Pinnacle Bank.</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2022q1-exhibit311.htm">
              <w:r>
                <w:rPr>
                  <w:rStyle w:val="InternetLink"/>
                  <w:rFonts w:ascii="Times New Roman;sans-serif" w:hAnsi="Times New Roman;sans-serif"/>
                  <w:b w:val="false"/>
                  <w:color w:val="0000FF"/>
                  <w:sz w:val="20"/>
                  <w:u w:val="single"/>
                </w:rPr>
                <w:t>Certification of Chief Executive Officer Pursuant to Rule 13-14(a) of the Securities Exchange Act of 1934 as Adopted Pursuant to Section 302 of the Sarbanes-Oxley Act of 2002.</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2022q1-exhibit312.htm">
              <w:r>
                <w:rPr>
                  <w:rStyle w:val="InternetLink"/>
                  <w:rFonts w:ascii="Times New Roman;sans-serif" w:hAnsi="Times New Roman;sans-serif"/>
                  <w:b w:val="false"/>
                  <w:color w:val="0000FF"/>
                  <w:sz w:val="20"/>
                  <w:u w:val="single"/>
                </w:rPr>
                <w:t>Certification of Chief Financial Officer Pursuant to Rule 13-14(a) of the Securities Exchange Act of 1934 as Adopted Pursuant to Section 302 of the Sarbanes-Oxley Act of 2002.</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2022q1-exhibit321.htm">
              <w:r>
                <w:rPr>
                  <w:rStyle w:val="InternetLink"/>
                  <w:rFonts w:ascii="Times New Roman;sans-serif" w:hAnsi="Times New Roman;sans-serif"/>
                  <w:b w:val="false"/>
                  <w:color w:val="0000FF"/>
                  <w:sz w:val="20"/>
                  <w:u w:val="single"/>
                </w:rPr>
                <w:t>Certification of Chief Executive and Principal Financial Officer Pursuant to 18 U.S.C. Section 1350, as Adopted Pursuant to Section 906 of the Sarbanes-Oxley Act of 2002.</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24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rPr>
          <w:color w:val="000000"/>
        </w:rPr>
      </w:pPr>
      <w:r>
        <w:rPr>
          <w:color w:val="000000"/>
        </w:rPr>
        <w:t> </w:t>
      </w:r>
    </w:p>
    <w:tbl>
      <w:tblPr>
        <w:tblW w:w="8963" w:type="dxa"/>
        <w:jc w:val="left"/>
        <w:tblInd w:w="0" w:type="dxa"/>
        <w:tblCellMar>
          <w:top w:w="28" w:type="dxa"/>
          <w:left w:w="28" w:type="dxa"/>
          <w:bottom w:w="28" w:type="dxa"/>
          <w:right w:w="28" w:type="dxa"/>
        </w:tblCellMar>
      </w:tblPr>
      <w:tblGrid>
        <w:gridCol w:w="200"/>
        <w:gridCol w:w="177"/>
        <w:gridCol w:w="178"/>
        <w:gridCol w:w="414"/>
        <w:gridCol w:w="414"/>
        <w:gridCol w:w="417"/>
        <w:gridCol w:w="109"/>
        <w:gridCol w:w="109"/>
        <w:gridCol w:w="109"/>
        <w:gridCol w:w="109"/>
        <w:gridCol w:w="109"/>
        <w:gridCol w:w="109"/>
        <w:gridCol w:w="109"/>
        <w:gridCol w:w="109"/>
        <w:gridCol w:w="109"/>
        <w:gridCol w:w="303"/>
        <w:gridCol w:w="303"/>
        <w:gridCol w:w="303"/>
        <w:gridCol w:w="303"/>
        <w:gridCol w:w="303"/>
        <w:gridCol w:w="303"/>
        <w:gridCol w:w="1271"/>
        <w:gridCol w:w="1271"/>
        <w:gridCol w:w="1822"/>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822"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13,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Hamm</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Hamm</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Duly Authorized Officer</w:t>
            </w:r>
          </w:p>
        </w:tc>
      </w:tr>
    </w:tbl>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drawing>
          <wp:inline distT="0" distB="63500" distL="0" distR="0">
            <wp:extent cx="3752850" cy="857250"/>
            <wp:effectExtent l="0" t="0" r="0" b="0"/>
            <wp:docPr id="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 descr=""/>
                    <pic:cNvPicPr>
                      <a:picLocks noChangeAspect="1" noChangeArrowheads="1"/>
                    </pic:cNvPicPr>
                  </pic:nvPicPr>
                  <pic:blipFill>
                    <a:blip r:embed="rId2"/>
                    <a:stretch>
                      <a:fillRect/>
                    </a:stretch>
                  </pic:blipFill>
                  <pic:spPr bwMode="auto">
                    <a:xfrm>
                      <a:off x="0" y="0"/>
                      <a:ext cx="3752850" cy="857250"/>
                    </a:xfrm>
                    <a:prstGeom prst="rect">
                      <a:avLst/>
                    </a:prstGeom>
                  </pic:spPr>
                </pic:pic>
              </a:graphicData>
            </a:graphic>
          </wp:inline>
        </w:drawing>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9.1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March 7, 2022</w:t>
      </w:r>
    </w:p>
    <w:p>
      <w:pPr>
        <w:pStyle w:val="TextBody"/>
        <w:spacing w:before="0" w:after="0"/>
        <w:jc w:val="both"/>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Mr. AJ Kazimi </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2525 West End Avenue, Suite 950</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Nashville, TN 37203</w:t>
      </w:r>
    </w:p>
    <w:p>
      <w:pPr>
        <w:pStyle w:val="TextBody"/>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Re:    Employment of AJ Kazimi as Chief Executive Officer by Cumberland Pharmaceuticals Inc.</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AJ,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Effective January 1, 2022, this letter agreement (the “Agreement”) will evidence the terms and conditions under which you will be employed by Cumberland Pharmaceuticals Inc. (the “Company”) In consideration of your appointment as Chief Executive Officer of the Company, and other good and valuable consideration, the receipt and sufficiency of which is hereby acknowledged, the parties agree as follows: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Compensation.</w:t>
      </w:r>
      <w:r>
        <w:rPr>
          <w:color w:val="000000"/>
        </w:rPr>
        <w:t xml:space="preserve"> </w:t>
      </w:r>
      <w:r>
        <w:rPr>
          <w:rFonts w:ascii="Times New Roman;sans-serif" w:hAnsi="Times New Roman;sans-serif"/>
          <w:b w:val="false"/>
          <w:color w:val="000000"/>
          <w:sz w:val="24"/>
        </w:rPr>
        <w:t>The Company agrees to compensate you as follows: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(a)    The Company agrees to pay you on a salary basis for services performed based on an annual rate of six hundred thirty-five thousand dollars ($635,000.00), payable in arrears in equal monthly installments on the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 xml:space="preserve">day of each calendar month of 2022.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0520"/>
                <wp:effectExtent l="0" t="0" r="0" b="0"/>
                <wp:wrapNone/>
                <wp:docPr id="34" name="Frame3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    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    Except as set forth in Section 2, the Company shall not be liable to you for any expense incurred by you unless you receive the Company's prior written consent to reimburse you for such expense.</w:t>
      </w:r>
    </w:p>
    <w:p>
      <w:pPr>
        <w:pStyle w:val="TextBody"/>
        <w:spacing w:before="0" w:after="0"/>
        <w:jc w:val="both"/>
        <w:rPr/>
      </w:pPr>
      <w:r>
        <w:rPr/>
      </w:r>
    </w:p>
    <w:p>
      <w:pPr>
        <w:pStyle w:val="TextBody"/>
        <w:spacing w:lineRule="auto" w:line="240" w:before="0" w:after="0"/>
        <w:ind w:left="0" w:right="0" w:firstLine="9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Additional Payments</w:t>
      </w:r>
      <w:r>
        <w:rPr>
          <w:rFonts w:ascii="Times New Roman;sans-serif" w:hAnsi="Times New Roman;sans-serif"/>
          <w:b w:val="false"/>
          <w:color w:val="000000"/>
          <w:sz w:val="24"/>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Employment at Will</w:t>
      </w:r>
      <w:r>
        <w:rPr>
          <w:rFonts w:ascii="Times New Roman;sans-serif" w:hAnsi="Times New Roman;sans-serif"/>
          <w:b w:val="false"/>
          <w:color w:val="000000"/>
          <w:sz w:val="24"/>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pStyle w:val="TextBody"/>
        <w:spacing w:before="0" w:after="0"/>
        <w:jc w:val="both"/>
        <w:rPr/>
      </w:pPr>
      <w:r>
        <w:rPr/>
      </w:r>
    </w:p>
    <w:p>
      <w:pPr>
        <w:pStyle w:val="TextBody"/>
        <w:spacing w:lineRule="auto" w:line="24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Discoveries and Improvements</w:t>
      </w:r>
      <w:r>
        <w:rPr>
          <w:rFonts w:ascii="Times New Roman;sans-serif" w:hAnsi="Times New Roman;sans-serif"/>
          <w:b w:val="false"/>
          <w:color w:val="000000"/>
          <w:sz w:val="24"/>
        </w:rPr>
        <w:t xml:space="preserve">.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w:t>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Publication</w:t>
      </w:r>
      <w:r>
        <w:rPr>
          <w:rFonts w:ascii="Times New Roman;sans-serif" w:hAnsi="Times New Roman;sans-serif"/>
          <w:b w:val="false"/>
          <w:color w:val="000000"/>
          <w:sz w:val="24"/>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pStyle w:val="TextBody"/>
        <w:spacing w:before="0" w:after="0"/>
        <w:jc w:val="both"/>
        <w:rPr/>
      </w:pPr>
      <w:r>
        <w:rPr/>
      </w:r>
    </w:p>
    <w:p>
      <w:pPr>
        <w:pStyle w:val="TextBody"/>
        <w:spacing w:lineRule="auto" w:line="24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Competition</w:t>
      </w:r>
      <w:r>
        <w:rPr>
          <w:rFonts w:ascii="Times New Roman;sans-serif" w:hAnsi="Times New Roman;sans-serif"/>
          <w:b w:val="false"/>
          <w:color w:val="000000"/>
          <w:sz w:val="24"/>
        </w:rPr>
        <w:t xml:space="preserve">.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w:t>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Conflicting Contracts</w:t>
      </w:r>
      <w:r>
        <w:rPr>
          <w:rFonts w:ascii="Times New Roman;sans-serif" w:hAnsi="Times New Roman;sans-serif"/>
          <w:b w:val="false"/>
          <w:color w:val="000000"/>
          <w:sz w:val="24"/>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Solicitation</w:t>
      </w:r>
      <w:r>
        <w:rPr>
          <w:rFonts w:ascii="Times New Roman;sans-serif" w:hAnsi="Times New Roman;sans-serif"/>
          <w:b w:val="false"/>
          <w:color w:val="000000"/>
          <w:sz w:val="24"/>
        </w:rPr>
        <w:t xml:space="preserve">. After you cease to be employed by the Company (or a Company affiliate):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agree not to solicit, recruit, hire, or assist in the hiring of any employee of the Company to work for you or another person, firm, corporation, or business.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Return of Documents</w:t>
      </w:r>
      <w:r>
        <w:rPr>
          <w:rFonts w:ascii="Times New Roman;sans-serif" w:hAnsi="Times New Roman;sans-serif"/>
          <w:b w:val="false"/>
          <w:color w:val="000000"/>
          <w:sz w:val="24"/>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pStyle w:val="TextBody"/>
        <w:spacing w:before="0" w:after="0"/>
        <w:jc w:val="both"/>
        <w:rPr/>
      </w:pPr>
      <w:r>
        <w:rPr/>
      </w:r>
    </w:p>
    <w:p>
      <w:pPr>
        <w:pStyle w:val="TextBody"/>
        <w:spacing w:lineRule="auto" w:line="24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Best Efforts and Conflicts of Interest</w:t>
      </w:r>
      <w:r>
        <w:rPr>
          <w:rFonts w:ascii="Times New Roman;sans-serif" w:hAnsi="Times New Roman;sans-serif"/>
          <w:b w:val="false"/>
          <w:color w:val="000000"/>
          <w:sz w:val="24"/>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drawing>
          <wp:inline distT="0" distB="63500" distL="0" distR="0">
            <wp:extent cx="3752850" cy="857250"/>
            <wp:effectExtent l="0" t="0" r="0" b="0"/>
            <wp:docPr id="3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 descr=""/>
                    <pic:cNvPicPr>
                      <a:picLocks noChangeAspect="1" noChangeArrowheads="1"/>
                    </pic:cNvPicPr>
                  </pic:nvPicPr>
                  <pic:blipFill>
                    <a:blip r:embed="rId3"/>
                    <a:stretch>
                      <a:fillRect/>
                    </a:stretch>
                  </pic:blipFill>
                  <pic:spPr bwMode="auto">
                    <a:xfrm>
                      <a:off x="0" y="0"/>
                      <a:ext cx="3752850" cy="857250"/>
                    </a:xfrm>
                    <a:prstGeom prst="rect">
                      <a:avLst/>
                    </a:prstGeom>
                  </pic:spPr>
                </pic:pic>
              </a:graphicData>
            </a:graphic>
          </wp:inline>
        </w:drawing>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39"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9.1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 xml:space="preserve">14. </w:t>
      </w:r>
      <w:r>
        <w:rPr>
          <w:rFonts w:ascii="Times New Roman;sans-serif" w:hAnsi="Times New Roman;sans-serif"/>
          <w:b w:val="false"/>
          <w:color w:val="000000"/>
          <w:sz w:val="24"/>
          <w:u w:val="single"/>
        </w:rPr>
        <w:t>Standards of Business Conduct and Ethics.</w:t>
      </w:r>
      <w:r>
        <w:rPr>
          <w:color w:val="000000"/>
        </w:rPr>
        <w:t xml:space="preserve"> </w:t>
      </w:r>
      <w:r>
        <w:rPr>
          <w:rFonts w:ascii="Times New Roman;sans-serif" w:hAnsi="Times New Roman;sans-serif"/>
          <w:b w:val="false"/>
          <w:color w:val="000000"/>
          <w:sz w:val="24"/>
        </w:rPr>
        <w:t>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pStyle w:val="TextBody"/>
        <w:spacing w:lineRule="auto" w:line="240" w:before="0" w:after="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Debarment</w:t>
      </w:r>
      <w:r>
        <w:rPr>
          <w:rFonts w:ascii="Times New Roman;sans-serif" w:hAnsi="Times New Roman;sans-serif"/>
          <w:b w:val="false"/>
          <w:color w:val="000000"/>
          <w:sz w:val="24"/>
        </w:rPr>
        <w:t>. You represent and warrant that you have not been debarred and will notify the Company immediately if you are debarred, pursuant to subsection 306(a) or 306(b) of the Federal Food, Drug, and Cosmetic Act.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Any notice required or permitted to be given under this Agreement shall be sufficient if in writing and if sent by registered or certified mail to your residence or to the Company’s principal office in the case of the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xml:space="preserve">. The waiver by either party of any provision of this Agreement shall not operate or be construed as a waiver of any subsequent breach. </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contains the entire agreement of the parties and may not be changed orally, but only by an agreement in writing signed by the party against whom enforcement of any waiver, change, modification, extension, or discharge is sought.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Governance</w:t>
      </w:r>
      <w:r>
        <w:rPr>
          <w:rFonts w:ascii="Times New Roman;sans-serif" w:hAnsi="Times New Roman;sans-serif"/>
          <w:b w:val="false"/>
          <w:color w:val="000000"/>
          <w:sz w:val="24"/>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20.    </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Notwithstanding any termination of your employment, this Agreement shall survive and remain in effect in accordance with its terms.</w:t>
      </w:r>
    </w:p>
    <w:p>
      <w:pPr>
        <w:pStyle w:val="TextBody"/>
        <w:spacing w:before="0" w:after="0"/>
        <w:jc w:val="both"/>
        <w:rPr/>
      </w:pPr>
      <w:r>
        <w:rPr/>
      </w:r>
    </w:p>
    <w:p>
      <w:pPr>
        <w:pStyle w:val="TextBody"/>
        <w:spacing w:before="0" w:after="0"/>
        <w:jc w:val="both"/>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letter agreement may be signed in one or more counterparts, each of which shall be an original and all of which will constitute one and the same instrument.</w:t>
      </w:r>
    </w:p>
    <w:p>
      <w:pPr>
        <w:pStyle w:val="TextBody"/>
        <w:spacing w:before="0" w:after="0"/>
        <w:jc w:val="both"/>
        <w:rPr/>
      </w:pPr>
      <w:r>
        <w:rPr/>
      </w:r>
    </w:p>
    <w:p>
      <w:pPr>
        <w:pStyle w:val="TextBody"/>
        <w:spacing w:before="0" w:after="0"/>
        <w:jc w:val="both"/>
        <w:rPr/>
      </w:pPr>
      <w:r>
        <w:rPr/>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0520"/>
                <wp:effectExtent l="0" t="0" r="0" b="0"/>
                <wp:wrapNone/>
                <wp:docPr id="40" name="Frame3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Sincerely yours,</w:t>
      </w:r>
    </w:p>
    <w:p>
      <w:pPr>
        <w:pStyle w:val="TextBody"/>
        <w:spacing w:before="0" w:after="0"/>
        <w:jc w:val="both"/>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CUMBERLAND PHARMACEUTICALS INC.</w:t>
      </w:r>
    </w:p>
    <w:p>
      <w:pPr>
        <w:pStyle w:val="TextBody"/>
        <w:spacing w:before="0" w:after="0"/>
        <w:jc w:val="center"/>
        <w:rPr/>
      </w:pPr>
      <w:r>
        <w:rPr/>
        <w:drawing>
          <wp:inline distT="0" distB="63500" distL="0" distR="0">
            <wp:extent cx="2057400" cy="876300"/>
            <wp:effectExtent l="0" t="0" r="0" b="0"/>
            <wp:docPr id="4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 descr=""/>
                    <pic:cNvPicPr>
                      <a:picLocks noChangeAspect="1" noChangeArrowheads="1"/>
                    </pic:cNvPicPr>
                  </pic:nvPicPr>
                  <pic:blipFill>
                    <a:blip r:embed="rId4"/>
                    <a:stretch>
                      <a:fillRect/>
                    </a:stretch>
                  </pic:blipFill>
                  <pic:spPr bwMode="auto">
                    <a:xfrm>
                      <a:off x="0" y="0"/>
                      <a:ext cx="2057400" cy="876300"/>
                    </a:xfrm>
                    <a:prstGeom prst="rect">
                      <a:avLst/>
                    </a:prstGeom>
                  </pic:spPr>
                </pic:pic>
              </a:graphicData>
            </a:graphic>
          </wp:inline>
        </w:drawing>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         By:     Stephanie Smith, MBA, HRM</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HR Manager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Accepted as to all terms and conditions</w:t>
      </w:r>
    </w:p>
    <w:p>
      <w:pPr>
        <w:pStyle w:val="TextBody"/>
        <w:spacing w:lineRule="auto" w:line="240" w:before="0" w:after="0"/>
        <w:rPr/>
      </w:pPr>
      <w:r>
        <w:rPr>
          <w:rFonts w:ascii="Times New Roman;sans-serif" w:hAnsi="Times New Roman;sans-serif"/>
          <w:b w:val="false"/>
          <w:color w:val="000000"/>
          <w:sz w:val="24"/>
        </w:rPr>
        <w:t>as of the 7</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March 2022:</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A.J. Kazimi </w:t>
      </w:r>
    </w:p>
    <w:p>
      <w:pPr>
        <w:pStyle w:val="TextBody"/>
        <w:ind w:left="0" w:right="0" w:firstLine="72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2"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March 7, 2022</w:t>
      </w:r>
    </w:p>
    <w:p>
      <w:pPr>
        <w:pStyle w:val="TextBody"/>
        <w:spacing w:before="0" w:after="0"/>
        <w:jc w:val="both"/>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Mr. Leo Pavliv </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2525 West End Avenue, Suite 950</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Nashville, TN 37203</w:t>
      </w:r>
    </w:p>
    <w:p>
      <w:pPr>
        <w:pStyle w:val="TextBody"/>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Re:    Employment of Leo Pavliv as Executive Vice President, Chief Development &amp; Operations Officer by Cumberland Pharmaceuticals Inc.</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Leo,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Effective January 1, 2022, this letter agreement (the “Agreement”) will evidence the terms and conditions under which you will be employed by Cumberland Pharmaceuticals Inc. (the “Company”) In consideration of your appointment as Executive Vice President, Chief Development &amp; Operations Officer of the Company, and other good and valuable consideration, the receipt and sufficiency of which is hereby acknowledged, the parties agree as follows: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Compensation.</w:t>
      </w:r>
      <w:r>
        <w:rPr>
          <w:color w:val="000000"/>
        </w:rPr>
        <w:t xml:space="preserve"> </w:t>
      </w:r>
      <w:r>
        <w:rPr>
          <w:rFonts w:ascii="Times New Roman;sans-serif" w:hAnsi="Times New Roman;sans-serif"/>
          <w:b w:val="false"/>
          <w:color w:val="000000"/>
          <w:sz w:val="24"/>
        </w:rPr>
        <w:t>The Company agrees to compensate you as follows: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(a)    The Company agrees to pay you on a salary basis for services performed based on an annual rate of four hundred and fifty-five thousand dollars ($455,000.00), payable in arrears in equal monthly installments on the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 xml:space="preserve">day of each calendar month of 2022.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    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43" name="Frame4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    Except as set forth in Section 2, the Company shall not be liable to you for any expense incurred by you unless you receive the Company's prior written consent to reimburse you for such expense.</w:t>
      </w:r>
    </w:p>
    <w:p>
      <w:pPr>
        <w:pStyle w:val="TextBody"/>
        <w:spacing w:before="0" w:after="0"/>
        <w:jc w:val="both"/>
        <w:rPr/>
      </w:pPr>
      <w:r>
        <w:rPr/>
      </w:r>
    </w:p>
    <w:p>
      <w:pPr>
        <w:pStyle w:val="TextBody"/>
        <w:spacing w:lineRule="auto" w:line="240" w:before="0" w:after="0"/>
        <w:ind w:left="0" w:right="0" w:firstLine="9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Additional Payments</w:t>
      </w:r>
      <w:r>
        <w:rPr>
          <w:rFonts w:ascii="Times New Roman;sans-serif" w:hAnsi="Times New Roman;sans-serif"/>
          <w:b w:val="false"/>
          <w:color w:val="000000"/>
          <w:sz w:val="24"/>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Employment at Will</w:t>
      </w:r>
      <w:r>
        <w:rPr>
          <w:rFonts w:ascii="Times New Roman;sans-serif" w:hAnsi="Times New Roman;sans-serif"/>
          <w:b w:val="false"/>
          <w:color w:val="000000"/>
          <w:sz w:val="24"/>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Discoveries and Improvements</w:t>
      </w:r>
      <w:r>
        <w:rPr>
          <w:rFonts w:ascii="Times New Roman;sans-serif" w:hAnsi="Times New Roman;sans-serif"/>
          <w:b w:val="false"/>
          <w:color w:val="000000"/>
          <w:sz w:val="24"/>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4"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Publication</w:t>
      </w:r>
      <w:r>
        <w:rPr>
          <w:rFonts w:ascii="Times New Roman;sans-serif" w:hAnsi="Times New Roman;sans-serif"/>
          <w:b w:val="false"/>
          <w:color w:val="000000"/>
          <w:sz w:val="24"/>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Competition</w:t>
      </w:r>
      <w:r>
        <w:rPr>
          <w:rFonts w:ascii="Times New Roman;sans-serif" w:hAnsi="Times New Roman;sans-serif"/>
          <w:b w:val="false"/>
          <w:color w:val="000000"/>
          <w:sz w:val="24"/>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Conflicting Contracts</w:t>
      </w:r>
      <w:r>
        <w:rPr>
          <w:rFonts w:ascii="Times New Roman;sans-serif" w:hAnsi="Times New Roman;sans-serif"/>
          <w:b w:val="false"/>
          <w:color w:val="000000"/>
          <w:sz w:val="24"/>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pStyle w:val="TextBody"/>
        <w:spacing w:before="0" w:after="0"/>
        <w:jc w:val="both"/>
        <w:rPr/>
      </w:pPr>
      <w:r>
        <w:rPr/>
      </w:r>
    </w:p>
    <w:p>
      <w:pPr>
        <w:pStyle w:val="TextBody"/>
        <w:spacing w:lineRule="auto" w:line="24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Solicitation</w:t>
      </w:r>
      <w:r>
        <w:rPr>
          <w:rFonts w:ascii="Times New Roman;sans-serif" w:hAnsi="Times New Roman;sans-serif"/>
          <w:b w:val="false"/>
          <w:color w:val="000000"/>
          <w:sz w:val="24"/>
        </w:rPr>
        <w:t xml:space="preserve">. After you cease to be employed by the Company (or a Company affiliate): </w:t>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5"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agree not to solicit, recruit, hire, or assist in the hiring of any employee of the Company to work for you or another person, firm, corporation, or business.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Return of Documents</w:t>
      </w:r>
      <w:r>
        <w:rPr>
          <w:rFonts w:ascii="Times New Roman;sans-serif" w:hAnsi="Times New Roman;sans-serif"/>
          <w:b w:val="false"/>
          <w:color w:val="000000"/>
          <w:sz w:val="24"/>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Best Efforts and Conflicts of Interest</w:t>
      </w:r>
      <w:r>
        <w:rPr>
          <w:rFonts w:ascii="Times New Roman;sans-serif" w:hAnsi="Times New Roman;sans-serif"/>
          <w:b w:val="false"/>
          <w:color w:val="000000"/>
          <w:sz w:val="24"/>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6"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 xml:space="preserve">14. </w:t>
      </w:r>
      <w:r>
        <w:rPr>
          <w:rFonts w:ascii="Times New Roman;sans-serif" w:hAnsi="Times New Roman;sans-serif"/>
          <w:b w:val="false"/>
          <w:color w:val="000000"/>
          <w:sz w:val="24"/>
          <w:u w:val="single"/>
        </w:rPr>
        <w:t>Standards of Business Conduct and Ethics.</w:t>
      </w:r>
      <w:r>
        <w:rPr>
          <w:color w:val="000000"/>
        </w:rPr>
        <w:t xml:space="preserve"> </w:t>
      </w:r>
      <w:r>
        <w:rPr>
          <w:rFonts w:ascii="Times New Roman;sans-serif" w:hAnsi="Times New Roman;sans-serif"/>
          <w:b w:val="false"/>
          <w:color w:val="000000"/>
          <w:sz w:val="24"/>
        </w:rPr>
        <w:t>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pStyle w:val="TextBody"/>
        <w:spacing w:lineRule="auto" w:line="240" w:before="0" w:after="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Debarment</w:t>
      </w:r>
      <w:r>
        <w:rPr>
          <w:rFonts w:ascii="Times New Roman;sans-serif" w:hAnsi="Times New Roman;sans-serif"/>
          <w:b w:val="false"/>
          <w:color w:val="000000"/>
          <w:sz w:val="24"/>
        </w:rPr>
        <w:t>. You represent and warrant that you have not been debarred and will notify the Company immediately if you are debarred, pursuant to subsection 306(a) or 306(b) of the Federal Food, Drug, and Cosmetic Act.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Any notice required or permitted to be given under this Agreement shall be sufficient if in writing and if sent by registered or certified mail to your residence or to the Company’s principal office in the case of the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xml:space="preserve">. The waiver by either party of any provision of this Agreement shall not operate or be construed as a waiver of any subsequent breach. </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contains the entire agreement of the parties and may not be changed orally, but only by an agreement in writing signed by the party against whom enforcement of any waiver, change, modification, extension, or discharge is sought.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Governance</w:t>
      </w:r>
      <w:r>
        <w:rPr>
          <w:rFonts w:ascii="Times New Roman;sans-serif" w:hAnsi="Times New Roman;sans-serif"/>
          <w:b w:val="false"/>
          <w:color w:val="000000"/>
          <w:sz w:val="24"/>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20.    </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Notwithstanding any termination of your employment, this Agreement shall survive and remain in effect in accordance with its terms.</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letter agreement may be signed in one or more counterparts, each of which shall be an original and all of which will constitute one and the same instrument.</w:t>
      </w:r>
    </w:p>
    <w:p>
      <w:pPr>
        <w:pStyle w:val="TextBody"/>
        <w:spacing w:before="0" w:after="0"/>
        <w:jc w:val="both"/>
        <w:rPr/>
      </w:pPr>
      <w:r>
        <w:rPr/>
      </w:r>
    </w:p>
    <w:p>
      <w:pPr>
        <w:pStyle w:val="TextBody"/>
        <w:spacing w:before="0" w:after="0"/>
        <w:jc w:val="both"/>
        <w:rPr/>
      </w:pPr>
      <w:r>
        <w:rPr/>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0520"/>
                <wp:effectExtent l="0" t="0" r="0" b="0"/>
                <wp:wrapNone/>
                <wp:docPr id="47" name="Frame4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Sincerely yours,</w:t>
      </w:r>
    </w:p>
    <w:p>
      <w:pPr>
        <w:pStyle w:val="TextBody"/>
        <w:spacing w:before="0" w:after="0"/>
        <w:jc w:val="both"/>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CUMBERLAND PHARMACEUTICALS INC.</w:t>
      </w:r>
    </w:p>
    <w:p>
      <w:pPr>
        <w:pStyle w:val="TextBody"/>
        <w:spacing w:before="0" w:after="0"/>
        <w:rPr/>
      </w:pPr>
      <w:r>
        <w:rPr/>
      </w:r>
    </w:p>
    <w:p>
      <w:pPr>
        <w:pStyle w:val="TextBody"/>
        <w:spacing w:before="0" w:after="0"/>
        <w:jc w:val="center"/>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         By:     A.J. Kazimi</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Chief Executive Officer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Accepted as to all terms and conditions</w:t>
      </w:r>
    </w:p>
    <w:p>
      <w:pPr>
        <w:pStyle w:val="TextBody"/>
        <w:spacing w:lineRule="auto" w:line="240" w:before="0" w:after="0"/>
        <w:rPr/>
      </w:pPr>
      <w:r>
        <w:rPr>
          <w:rFonts w:ascii="Times New Roman;sans-serif" w:hAnsi="Times New Roman;sans-serif"/>
          <w:b w:val="false"/>
          <w:color w:val="000000"/>
          <w:sz w:val="24"/>
        </w:rPr>
        <w:t>as of the 7</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of March 2022:</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w:t>
      </w:r>
    </w:p>
    <w:p>
      <w:pPr>
        <w:pStyle w:val="TextBody"/>
        <w:spacing w:lineRule="auto" w:line="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Leo Pavliv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drawing>
          <wp:inline distT="0" distB="63500" distL="0" distR="0">
            <wp:extent cx="3533775" cy="809625"/>
            <wp:effectExtent l="0" t="0" r="0" b="0"/>
            <wp:docPr id="4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 descr=""/>
                    <pic:cNvPicPr>
                      <a:picLocks noChangeAspect="1" noChangeArrowheads="1"/>
                    </pic:cNvPicPr>
                  </pic:nvPicPr>
                  <pic:blipFill>
                    <a:blip r:embed="rId5"/>
                    <a:stretch>
                      <a:fillRect/>
                    </a:stretch>
                  </pic:blipFill>
                  <pic:spPr bwMode="auto">
                    <a:xfrm>
                      <a:off x="0" y="0"/>
                      <a:ext cx="3533775" cy="809625"/>
                    </a:xfrm>
                    <a:prstGeom prst="rect">
                      <a:avLst/>
                    </a:prstGeom>
                  </pic:spPr>
                </pic:pic>
              </a:graphicData>
            </a:graphic>
          </wp:inline>
        </w:drawing>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49"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87.7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March 7, 2022</w:t>
      </w:r>
    </w:p>
    <w:p>
      <w:pPr>
        <w:pStyle w:val="TextBody"/>
        <w:spacing w:before="0" w:after="0"/>
        <w:jc w:val="both"/>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Mr. John Hamm </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2525 West End Avenue, Suite 950</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Nashville, TN 37203</w:t>
      </w:r>
    </w:p>
    <w:p>
      <w:pPr>
        <w:pStyle w:val="TextBody"/>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Re:    Employment of John Hamm as Senior Director of Finance &amp; Accounting &amp; Chief Financial Officer Cumberland Pharmaceuticals Inc.</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John,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Effective January 1, 2022, this letter agreement (the “Agreement”) will evidence the terms and conditions under which you will be employed by Cumberland Pharmaceuticals Inc. (the “Company”) In consideration of your appointment as Senior Director of Finance &amp; Accounting &amp; Chief Financial Officer of the Company, and other good and valuable consideration, the receipt and sufficiency of which is hereby acknowledged, the parties agree as follows: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Compensation.</w:t>
      </w:r>
      <w:r>
        <w:rPr>
          <w:color w:val="000000"/>
        </w:rPr>
        <w:t xml:space="preserve"> </w:t>
      </w:r>
      <w:r>
        <w:rPr>
          <w:rFonts w:ascii="Times New Roman;sans-serif" w:hAnsi="Times New Roman;sans-serif"/>
          <w:b w:val="false"/>
          <w:color w:val="000000"/>
          <w:sz w:val="24"/>
        </w:rPr>
        <w:t>The Company agrees to compensate you as follows: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(a)    The Company agrees to pay you on a salary basis for services performed based on an annual rate of one hundred and ninety-two thousand dollars ($192,000.00), payable in arrears in equal monthly installments on the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 xml:space="preserve">day of each calendar month of 2022.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pStyle w:val="TextBody"/>
        <w:spacing w:before="0" w:after="0"/>
        <w:jc w:val="both"/>
        <w:rPr/>
      </w:pPr>
      <w:r>
        <w:rPr/>
      </w:r>
    </w:p>
    <w:p>
      <w:pPr>
        <w:pStyle w:val="TextBody"/>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You will receive a grant of Cumberland Pharmaceuticals common stock, pursuant to a stock options agreement (SOA). Such shares will be subject to the SOA and the terms set forth in </w:t>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0520"/>
                <wp:effectExtent l="0" t="0" r="0" b="0"/>
                <wp:wrapNone/>
                <wp:docPr id="50" name="Frame4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    Except as set forth in Section 2, the Company shall not be liable to you for any expense incurred by you unless you receive the Company's prior written consent to reimburse you for such expense.</w:t>
      </w:r>
    </w:p>
    <w:p>
      <w:pPr>
        <w:pStyle w:val="TextBody"/>
        <w:spacing w:before="0" w:after="0"/>
        <w:jc w:val="both"/>
        <w:rPr/>
      </w:pPr>
      <w:r>
        <w:rPr/>
      </w:r>
    </w:p>
    <w:p>
      <w:pPr>
        <w:pStyle w:val="TextBody"/>
        <w:spacing w:lineRule="auto" w:line="240" w:before="0" w:after="0"/>
        <w:ind w:left="0" w:right="0" w:firstLine="9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Additional Payments</w:t>
      </w:r>
      <w:r>
        <w:rPr>
          <w:rFonts w:ascii="Times New Roman;sans-serif" w:hAnsi="Times New Roman;sans-serif"/>
          <w:b w:val="false"/>
          <w:color w:val="000000"/>
          <w:sz w:val="24"/>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Employment at Will</w:t>
      </w:r>
      <w:r>
        <w:rPr>
          <w:rFonts w:ascii="Times New Roman;sans-serif" w:hAnsi="Times New Roman;sans-serif"/>
          <w:b w:val="false"/>
          <w:color w:val="000000"/>
          <w:sz w:val="24"/>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pStyle w:val="TextBody"/>
        <w:spacing w:before="0" w:after="0"/>
        <w:jc w:val="both"/>
        <w:rPr/>
      </w:pPr>
      <w:r>
        <w:rPr/>
      </w:r>
    </w:p>
    <w:p>
      <w:pPr>
        <w:pStyle w:val="TextBody"/>
        <w:spacing w:lineRule="auto" w:line="24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Discoveries and Improvements</w:t>
      </w:r>
      <w:r>
        <w:rPr>
          <w:rFonts w:ascii="Times New Roman;sans-serif" w:hAnsi="Times New Roman;sans-serif"/>
          <w:b w:val="false"/>
          <w:color w:val="000000"/>
          <w:sz w:val="24"/>
        </w:rPr>
        <w:t xml:space="preserve">.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w:t>
      </w:r>
      <w:r>
        <w:br w:type="page"/>
      </w: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1"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Publication</w:t>
      </w:r>
      <w:r>
        <w:rPr>
          <w:rFonts w:ascii="Times New Roman;sans-serif" w:hAnsi="Times New Roman;sans-serif"/>
          <w:b w:val="false"/>
          <w:color w:val="000000"/>
          <w:sz w:val="24"/>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pStyle w:val="TextBody"/>
        <w:spacing w:before="0" w:after="0"/>
        <w:jc w:val="both"/>
        <w:rPr/>
      </w:pPr>
      <w:r>
        <w:rPr/>
      </w:r>
    </w:p>
    <w:p>
      <w:pPr>
        <w:pStyle w:val="TextBody"/>
        <w:spacing w:lineRule="auto" w:line="24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Competition</w:t>
      </w:r>
      <w:r>
        <w:rPr>
          <w:rFonts w:ascii="Times New Roman;sans-serif" w:hAnsi="Times New Roman;sans-serif"/>
          <w:b w:val="false"/>
          <w:color w:val="000000"/>
          <w:sz w:val="24"/>
        </w:rPr>
        <w:t xml:space="preserve">.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w:t>
      </w:r>
      <w:r>
        <w:br w:type="page"/>
      </w: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2"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mean the Company and any entity controlling, controlled by, or under common control with the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Conflicting Contracts</w:t>
      </w:r>
      <w:r>
        <w:rPr>
          <w:rFonts w:ascii="Times New Roman;sans-serif" w:hAnsi="Times New Roman;sans-serif"/>
          <w:b w:val="false"/>
          <w:color w:val="000000"/>
          <w:sz w:val="24"/>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Solicitation</w:t>
      </w:r>
      <w:r>
        <w:rPr>
          <w:rFonts w:ascii="Times New Roman;sans-serif" w:hAnsi="Times New Roman;sans-serif"/>
          <w:b w:val="false"/>
          <w:color w:val="000000"/>
          <w:sz w:val="24"/>
        </w:rPr>
        <w:t xml:space="preserve">. After you cease to be employed by the Company (or a Company affiliate):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agree not to solicit, recruit, hire, or assist in the hiring of any employee of the Company to work for you or another person, firm, corporation, or business.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Return of Documents</w:t>
      </w:r>
      <w:r>
        <w:rPr>
          <w:rFonts w:ascii="Times New Roman;sans-serif" w:hAnsi="Times New Roman;sans-serif"/>
          <w:b w:val="false"/>
          <w:color w:val="000000"/>
          <w:sz w:val="24"/>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spacing w:before="0" w:after="0"/>
        <w:jc w:val="both"/>
        <w:rPr/>
      </w:pPr>
      <w:r>
        <w:rPr/>
      </w:r>
    </w:p>
    <w:p>
      <w:pPr>
        <w:pStyle w:val="TextBody"/>
        <w:spacing w:lineRule="auto" w:line="24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Best Efforts and Conflicts of Interest</w:t>
      </w:r>
      <w:r>
        <w:rPr>
          <w:rFonts w:ascii="Times New Roman;sans-serif" w:hAnsi="Times New Roman;sans-serif"/>
          <w:b w:val="false"/>
          <w:color w:val="000000"/>
          <w:sz w:val="24"/>
        </w:rPr>
        <w:t xml:space="preserve">: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w:t>
      </w:r>
      <w:r>
        <w:br w:type="page"/>
      </w: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3"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drawing>
          <wp:inline distT="0" distB="63500" distL="0" distR="0">
            <wp:extent cx="3533775" cy="809625"/>
            <wp:effectExtent l="0" t="0" r="0" b="0"/>
            <wp:docPr id="5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 descr=""/>
                    <pic:cNvPicPr>
                      <a:picLocks noChangeAspect="1" noChangeArrowheads="1"/>
                    </pic:cNvPicPr>
                  </pic:nvPicPr>
                  <pic:blipFill>
                    <a:blip r:embed="rId6"/>
                    <a:stretch>
                      <a:fillRect/>
                    </a:stretch>
                  </pic:blipFill>
                  <pic:spPr bwMode="auto">
                    <a:xfrm>
                      <a:off x="0" y="0"/>
                      <a:ext cx="3533775" cy="809625"/>
                    </a:xfrm>
                    <a:prstGeom prst="rect">
                      <a:avLst/>
                    </a:prstGeom>
                  </pic:spPr>
                </pic:pic>
              </a:graphicData>
            </a:graphic>
          </wp:inline>
        </w:drawing>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5"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87.7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 xml:space="preserve">14. </w:t>
      </w:r>
      <w:r>
        <w:rPr>
          <w:rFonts w:ascii="Times New Roman;sans-serif" w:hAnsi="Times New Roman;sans-serif"/>
          <w:b w:val="false"/>
          <w:color w:val="000000"/>
          <w:sz w:val="24"/>
          <w:u w:val="single"/>
        </w:rPr>
        <w:t>Standards of Business Conduct and Ethics.</w:t>
      </w:r>
      <w:r>
        <w:rPr>
          <w:color w:val="000000"/>
        </w:rPr>
        <w:t xml:space="preserve"> </w:t>
      </w:r>
      <w:r>
        <w:rPr>
          <w:rFonts w:ascii="Times New Roman;sans-serif" w:hAnsi="Times New Roman;sans-serif"/>
          <w:b w:val="false"/>
          <w:color w:val="000000"/>
          <w:sz w:val="24"/>
        </w:rPr>
        <w:t>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pStyle w:val="TextBody"/>
        <w:spacing w:lineRule="auto" w:line="240" w:before="0" w:after="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Debarment</w:t>
      </w:r>
      <w:r>
        <w:rPr>
          <w:rFonts w:ascii="Times New Roman;sans-serif" w:hAnsi="Times New Roman;sans-serif"/>
          <w:b w:val="false"/>
          <w:color w:val="000000"/>
          <w:sz w:val="24"/>
        </w:rPr>
        <w:t>. You represent and warrant that you have not been debarred and will notify the Company immediately if you are debarred, pursuant to subsection 306(a) or 306(b) of the Federal Food, Drug, and Cosmetic Act.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Any notice required or permitted to be given under this Agreement shall be sufficient if in writing and if sent by registered or certified mail to your residence or to the Company’s principal office in the case of the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xml:space="preserve">. The waiver by either party of any provision of this Agreement shall not operate or be construed as a waiver of any subsequent breach. </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contains the entire agreement of the parties and may not be changed orally, but only by an agreement in writing signed by the party against whom enforcement of any waiver, change, modification, extension, or discharge is sought.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Governance</w:t>
      </w:r>
      <w:r>
        <w:rPr>
          <w:rFonts w:ascii="Times New Roman;sans-serif" w:hAnsi="Times New Roman;sans-serif"/>
          <w:b w:val="false"/>
          <w:color w:val="000000"/>
          <w:sz w:val="24"/>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20.    </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Notwithstanding any termination of your employment, this Agreement shall survive and remain in effect in accordance with its terms.</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letter agreement may be signed in one or more counterparts, each of which shall be an original and all of which will constitute one and the same instrument.</w:t>
      </w:r>
    </w:p>
    <w:p>
      <w:pPr>
        <w:pStyle w:val="TextBody"/>
        <w:spacing w:before="0" w:after="0"/>
        <w:jc w:val="both"/>
        <w:rPr/>
      </w:pPr>
      <w:r>
        <w:rPr/>
      </w:r>
    </w:p>
    <w:p>
      <w:pPr>
        <w:pStyle w:val="TextBody"/>
        <w:spacing w:before="0" w:after="0"/>
        <w:jc w:val="both"/>
        <w:rPr/>
      </w:pPr>
      <w:r>
        <w:rPr/>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56" name="Frame5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Sincerely yours,</w:t>
      </w:r>
    </w:p>
    <w:p>
      <w:pPr>
        <w:pStyle w:val="TextBody"/>
        <w:spacing w:before="0" w:after="0"/>
        <w:jc w:val="both"/>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CUMBERLAND PHARMACEUTICALS INC.</w:t>
      </w:r>
    </w:p>
    <w:p>
      <w:pPr>
        <w:pStyle w:val="TextBody"/>
        <w:spacing w:before="0" w:after="0"/>
        <w:rPr/>
      </w:pPr>
      <w:r>
        <w:rPr/>
      </w:r>
    </w:p>
    <w:p>
      <w:pPr>
        <w:pStyle w:val="TextBody"/>
        <w:spacing w:before="0" w:after="0"/>
        <w:jc w:val="center"/>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         By:     A.J. Kazimi</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Chief Executive Officer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Accepted as to all terms and conditions</w:t>
      </w:r>
    </w:p>
    <w:p>
      <w:pPr>
        <w:pStyle w:val="TextBody"/>
        <w:spacing w:lineRule="auto" w:line="240" w:before="0" w:after="0"/>
        <w:rPr/>
      </w:pPr>
      <w:r>
        <w:rPr>
          <w:rFonts w:ascii="Times New Roman;sans-serif" w:hAnsi="Times New Roman;sans-serif"/>
          <w:b w:val="false"/>
          <w:color w:val="000000"/>
          <w:sz w:val="24"/>
        </w:rPr>
        <w:t>as of the 7</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of March 2022:</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w:t>
      </w:r>
    </w:p>
    <w:p>
      <w:pPr>
        <w:pStyle w:val="TextBody"/>
        <w:spacing w:lineRule="auto" w:line="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John Hamm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7"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March 7, 2022</w:t>
      </w:r>
    </w:p>
    <w:p>
      <w:pPr>
        <w:pStyle w:val="TextBody"/>
        <w:spacing w:before="0" w:after="0"/>
        <w:jc w:val="both"/>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Mr. James Herman </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2525 West End Avenue, Suite 950</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Nashville, TN 37203</w:t>
      </w:r>
    </w:p>
    <w:p>
      <w:pPr>
        <w:pStyle w:val="TextBody"/>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Re:    Employment of James Herman as Executive Vice President, National Accounts and Chief Compliance Officer Cumberland Pharmaceuticals Inc.</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John,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Effective January 1, 2022, this letter agreement (the “Agreement”) will evidence the terms and conditions under which you will be employed by Cumberland Pharmaceuticals Inc. (the “Company”) In consideration of your appointment as Executive Vice President, National Accounts and Chief Compliance Officer of the Company, and other good and valuable consideration, the receipt and sufficiency of which is hereby acknowledged, the parties agree as follows: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Compensation.</w:t>
      </w:r>
      <w:r>
        <w:rPr>
          <w:color w:val="000000"/>
        </w:rPr>
        <w:t xml:space="preserve"> </w:t>
      </w:r>
      <w:r>
        <w:rPr>
          <w:rFonts w:ascii="Times New Roman;sans-serif" w:hAnsi="Times New Roman;sans-serif"/>
          <w:b w:val="false"/>
          <w:color w:val="000000"/>
          <w:sz w:val="24"/>
        </w:rPr>
        <w:t>The Company agrees to compensate you as follows: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(a)    The Company agrees to pay you on a salary basis for services performed based on an annual rate of two hundred and ninety-two thousand dollars ($292,000.00), payable in arrears in equal monthly installments on the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 xml:space="preserve">day of each calendar month of 2022.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pStyle w:val="TextBody"/>
        <w:spacing w:before="0" w:after="0"/>
        <w:jc w:val="both"/>
        <w:rPr/>
      </w:pPr>
      <w:r>
        <w:rPr/>
      </w:r>
    </w:p>
    <w:p>
      <w:pPr>
        <w:pStyle w:val="TextBody"/>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(d)    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r>
        <w:br w:type="page"/>
      </w: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58" name="Frame5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    Except as set forth in Section 2, the Company shall not be liable to you for any expense incurred by you unless you receive the Company's prior written consent to reimburse you for such expense.</w:t>
      </w:r>
    </w:p>
    <w:p>
      <w:pPr>
        <w:pStyle w:val="TextBody"/>
        <w:spacing w:before="0" w:after="0"/>
        <w:jc w:val="both"/>
        <w:rPr/>
      </w:pPr>
      <w:r>
        <w:rPr/>
      </w:r>
    </w:p>
    <w:p>
      <w:pPr>
        <w:pStyle w:val="TextBody"/>
        <w:spacing w:lineRule="auto" w:line="240" w:before="0" w:after="0"/>
        <w:ind w:left="0" w:right="0" w:firstLine="9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Additional Payments</w:t>
      </w:r>
      <w:r>
        <w:rPr>
          <w:rFonts w:ascii="Times New Roman;sans-serif" w:hAnsi="Times New Roman;sans-serif"/>
          <w:b w:val="false"/>
          <w:color w:val="000000"/>
          <w:sz w:val="24"/>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Employment at Will</w:t>
      </w:r>
      <w:r>
        <w:rPr>
          <w:rFonts w:ascii="Times New Roman;sans-serif" w:hAnsi="Times New Roman;sans-serif"/>
          <w:b w:val="false"/>
          <w:color w:val="000000"/>
          <w:sz w:val="24"/>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Discoveries and Improvements</w:t>
      </w:r>
      <w:r>
        <w:rPr>
          <w:rFonts w:ascii="Times New Roman;sans-serif" w:hAnsi="Times New Roman;sans-serif"/>
          <w:b w:val="false"/>
          <w:color w:val="000000"/>
          <w:sz w:val="24"/>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9"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Publication</w:t>
      </w:r>
      <w:r>
        <w:rPr>
          <w:rFonts w:ascii="Times New Roman;sans-serif" w:hAnsi="Times New Roman;sans-serif"/>
          <w:b w:val="false"/>
          <w:color w:val="000000"/>
          <w:sz w:val="24"/>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Competition</w:t>
      </w:r>
      <w:r>
        <w:rPr>
          <w:rFonts w:ascii="Times New Roman;sans-serif" w:hAnsi="Times New Roman;sans-serif"/>
          <w:b w:val="false"/>
          <w:color w:val="000000"/>
          <w:sz w:val="24"/>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Conflicting Contracts</w:t>
      </w:r>
      <w:r>
        <w:rPr>
          <w:rFonts w:ascii="Times New Roman;sans-serif" w:hAnsi="Times New Roman;sans-serif"/>
          <w:b w:val="false"/>
          <w:color w:val="000000"/>
          <w:sz w:val="24"/>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pStyle w:val="TextBody"/>
        <w:spacing w:before="0" w:after="0"/>
        <w:jc w:val="both"/>
        <w:rPr/>
      </w:pPr>
      <w:r>
        <w:rPr/>
      </w:r>
    </w:p>
    <w:p>
      <w:pPr>
        <w:pStyle w:val="TextBody"/>
        <w:spacing w:lineRule="auto" w:line="24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Solicitation</w:t>
      </w:r>
      <w:r>
        <w:rPr>
          <w:rFonts w:ascii="Times New Roman;sans-serif" w:hAnsi="Times New Roman;sans-serif"/>
          <w:b w:val="false"/>
          <w:color w:val="000000"/>
          <w:sz w:val="24"/>
        </w:rPr>
        <w:t xml:space="preserve">. After you cease to be employed by the Company (or a Company affiliate): </w:t>
      </w:r>
      <w:r>
        <w:br w:type="page"/>
      </w: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0"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agree not to solicit, recruit, hire, or assist in the hiring of any employee of the Company to work for you or another person, firm, corporation, or business.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Return of Documents</w:t>
      </w:r>
      <w:r>
        <w:rPr>
          <w:rFonts w:ascii="Times New Roman;sans-serif" w:hAnsi="Times New Roman;sans-serif"/>
          <w:b w:val="false"/>
          <w:color w:val="000000"/>
          <w:sz w:val="24"/>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Best Efforts and Conflicts of Interest</w:t>
      </w:r>
      <w:r>
        <w:rPr>
          <w:rFonts w:ascii="Times New Roman;sans-serif" w:hAnsi="Times New Roman;sans-serif"/>
          <w:b w:val="false"/>
          <w:color w:val="000000"/>
          <w:sz w:val="24"/>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1"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 xml:space="preserve">14. </w:t>
      </w:r>
      <w:r>
        <w:rPr>
          <w:rFonts w:ascii="Times New Roman;sans-serif" w:hAnsi="Times New Roman;sans-serif"/>
          <w:b w:val="false"/>
          <w:color w:val="000000"/>
          <w:sz w:val="24"/>
          <w:u w:val="single"/>
        </w:rPr>
        <w:t>Standards of Business Conduct and Ethics.</w:t>
      </w:r>
      <w:r>
        <w:rPr>
          <w:color w:val="000000"/>
        </w:rPr>
        <w:t xml:space="preserve"> </w:t>
      </w:r>
      <w:r>
        <w:rPr>
          <w:rFonts w:ascii="Times New Roman;sans-serif" w:hAnsi="Times New Roman;sans-serif"/>
          <w:b w:val="false"/>
          <w:color w:val="000000"/>
          <w:sz w:val="24"/>
        </w:rPr>
        <w:t>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pStyle w:val="TextBody"/>
        <w:spacing w:lineRule="auto" w:line="240" w:before="0" w:after="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Debarment</w:t>
      </w:r>
      <w:r>
        <w:rPr>
          <w:rFonts w:ascii="Times New Roman;sans-serif" w:hAnsi="Times New Roman;sans-serif"/>
          <w:b w:val="false"/>
          <w:color w:val="000000"/>
          <w:sz w:val="24"/>
        </w:rPr>
        <w:t>. You represent and warrant that you have not been debarred and will notify the Company immediately if you are debarred, pursuant to subsection 306(a) or 306(b) of the Federal Food, Drug, and Cosmetic Act.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Any notice required or permitted to be given under this Agreement shall be sufficient if in writing and if sent by registered or certified mail to your residence or to the Company’s principal office in the case of the Company.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xml:space="preserve">. The waiver by either party of any provision of this Agreement shall not operate or be construed as a waiver of any subsequent breach. </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contains the entire agreement of the parties and may not be changed orally, but only by an agreement in writing signed by the party against whom enforcement of any waiver, change, modification, extension, or discharge is sought.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Governance</w:t>
      </w:r>
      <w:r>
        <w:rPr>
          <w:rFonts w:ascii="Times New Roman;sans-serif" w:hAnsi="Times New Roman;sans-serif"/>
          <w:b w:val="false"/>
          <w:color w:val="000000"/>
          <w:sz w:val="24"/>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20.    </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Notwithstanding any termination of your employment, this Agreement shall survive and remain in effect in accordance with its terms.</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spacing w:before="0" w:after="0"/>
        <w:jc w:val="center"/>
        <w:rPr/>
      </w:pPr>
      <w:r>
        <w:rPr/>
      </w:r>
    </w:p>
    <w:p>
      <w:pPr>
        <w:pStyle w:val="TextBody"/>
        <w:spacing w:before="0" w:after="0"/>
        <w:ind w:left="0" w:right="0" w:firstLine="72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letter agreement may be signed in one or more counterparts, each of which shall be an original and all of which will constitute one and the same instrument.</w:t>
      </w:r>
    </w:p>
    <w:p>
      <w:pPr>
        <w:pStyle w:val="TextBody"/>
        <w:spacing w:before="0" w:after="0"/>
        <w:jc w:val="both"/>
        <w:rPr/>
      </w:pPr>
      <w:r>
        <w:rPr/>
      </w:r>
    </w:p>
    <w:p>
      <w:pPr>
        <w:pStyle w:val="TextBody"/>
        <w:spacing w:before="0" w:after="0"/>
        <w:jc w:val="both"/>
        <w:rPr/>
      </w:pPr>
      <w:r>
        <w:rPr/>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0520"/>
                <wp:effectExtent l="0" t="0" r="0" b="0"/>
                <wp:wrapNone/>
                <wp:docPr id="62" name="Frame5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Sincerely yours,</w:t>
      </w:r>
    </w:p>
    <w:p>
      <w:pPr>
        <w:pStyle w:val="TextBody"/>
        <w:spacing w:before="0" w:after="0"/>
        <w:jc w:val="both"/>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CUMBERLAND PHARMACEUTICALS INC.</w:t>
      </w:r>
    </w:p>
    <w:p>
      <w:pPr>
        <w:pStyle w:val="TextBody"/>
        <w:spacing w:before="0" w:after="0"/>
        <w:rPr/>
      </w:pPr>
      <w:r>
        <w:rPr/>
      </w:r>
    </w:p>
    <w:p>
      <w:pPr>
        <w:pStyle w:val="TextBody"/>
        <w:spacing w:before="0" w:after="0"/>
        <w:jc w:val="center"/>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         By:     A.J. Kazimi</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Chief Executive Officer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Accepted as to all terms and conditions</w:t>
      </w:r>
    </w:p>
    <w:p>
      <w:pPr>
        <w:pStyle w:val="TextBody"/>
        <w:spacing w:lineRule="auto" w:line="240" w:before="0" w:after="0"/>
        <w:rPr/>
      </w:pPr>
      <w:r>
        <w:rPr>
          <w:rFonts w:ascii="Times New Roman;sans-serif" w:hAnsi="Times New Roman;sans-serif"/>
          <w:b w:val="false"/>
          <w:color w:val="000000"/>
          <w:sz w:val="24"/>
        </w:rPr>
        <w:t>as of the 7</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of March 2022:</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w:t>
      </w:r>
    </w:p>
    <w:p>
      <w:pPr>
        <w:pStyle w:val="TextBody"/>
        <w:spacing w:lineRule="auto" w:line="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James Herman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3"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4" w:after="283"/>
        <w:rPr/>
      </w:pPr>
      <w:r>
        <w:rPr/>
      </w:r>
    </w:p>
    <w:p>
      <w:pPr>
        <w:pStyle w:val="TextBody"/>
        <w:spacing w:lineRule="auto" w:line="240" w:before="74" w:after="283"/>
        <w:jc w:val="center"/>
        <w:rPr>
          <w:rFonts w:ascii="Times New Roman;sans-serif" w:hAnsi="Times New Roman;sans-serif"/>
          <w:b/>
          <w:color w:val="000000"/>
          <w:sz w:val="20"/>
        </w:rPr>
      </w:pPr>
      <w:r>
        <w:rPr>
          <w:rFonts w:ascii="Times New Roman;sans-serif" w:hAnsi="Times New Roman;sans-serif"/>
          <w:b/>
          <w:color w:val="000000"/>
          <w:sz w:val="20"/>
        </w:rPr>
        <w:t>SEVENTH AMENDMENT TO REVOLVING CREDIT LOAN AGREEMENT</w:t>
      </w:r>
    </w:p>
    <w:p>
      <w:pPr>
        <w:pStyle w:val="TextBody"/>
        <w:spacing w:before="0" w:after="0"/>
        <w:rPr/>
      </w:pPr>
      <w:r>
        <w:rPr/>
      </w:r>
    </w:p>
    <w:p>
      <w:pPr>
        <w:pStyle w:val="TextBody"/>
        <w:spacing w:lineRule="auto" w:line="240" w:before="117" w:after="283"/>
        <w:rPr>
          <w:rFonts w:ascii="Times New Roman;sans-serif" w:hAnsi="Times New Roman;sans-serif"/>
          <w:b w:val="false"/>
          <w:color w:val="000000"/>
          <w:sz w:val="21"/>
        </w:rPr>
      </w:pPr>
      <w:r>
        <w:rPr>
          <w:rFonts w:ascii="Times New Roman;sans-serif" w:hAnsi="Times New Roman;sans-serif"/>
          <w:b w:val="false"/>
          <w:color w:val="000000"/>
          <w:sz w:val="21"/>
        </w:rPr>
        <w:t>THIS SEVENTH AMENDMENT TO REVOLVING CREDIT LOAN AGREEMENT (this</w:t>
      </w:r>
    </w:p>
    <w:p>
      <w:pPr>
        <w:pStyle w:val="TextBody"/>
        <w:spacing w:lineRule="auto" w:line="278" w:before="2" w:after="283"/>
        <w:jc w:val="both"/>
        <w:rPr/>
      </w:pPr>
      <w:r>
        <w:rPr>
          <w:rFonts w:ascii="Times New Roman;sans-serif" w:hAnsi="Times New Roman;sans-serif"/>
          <w:b/>
          <w:color w:val="000000"/>
          <w:sz w:val="20"/>
        </w:rPr>
        <w:t xml:space="preserve">"Amendment") </w:t>
      </w:r>
      <w:r>
        <w:rPr>
          <w:rFonts w:ascii="Times New Roman;sans-serif" w:hAnsi="Times New Roman;sans-serif"/>
          <w:b w:val="false"/>
          <w:color w:val="000000"/>
          <w:sz w:val="21"/>
        </w:rPr>
        <w:t xml:space="preserve">is entered into as of March 31, 2022 by and between CUMBERLAND PHARMACEUTICALS INC., a Tennessee corporation </w:t>
      </w:r>
      <w:r>
        <w:rPr>
          <w:rFonts w:ascii="Times New Roman;sans-serif" w:hAnsi="Times New Roman;sans-serif"/>
          <w:b/>
          <w:color w:val="000000"/>
          <w:sz w:val="20"/>
        </w:rPr>
        <w:t xml:space="preserve">("Borrower"), </w:t>
      </w:r>
      <w:r>
        <w:rPr>
          <w:rFonts w:ascii="Times New Roman;sans-serif" w:hAnsi="Times New Roman;sans-serif"/>
          <w:b w:val="false"/>
          <w:color w:val="000000"/>
          <w:sz w:val="21"/>
        </w:rPr>
        <w:t xml:space="preserve">and PINNACLE BANK, a Tennessee banking corporation (the </w:t>
      </w:r>
      <w:r>
        <w:rPr>
          <w:rFonts w:ascii="Times New Roman;sans-serif" w:hAnsi="Times New Roman;sans-serif"/>
          <w:b/>
          <w:color w:val="000000"/>
          <w:sz w:val="20"/>
        </w:rPr>
        <w:t>"Lender").</w:t>
      </w:r>
    </w:p>
    <w:p>
      <w:pPr>
        <w:pStyle w:val="TextBody"/>
        <w:spacing w:before="8" w:after="283"/>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RECITALS:</w:t>
      </w:r>
    </w:p>
    <w:p>
      <w:pPr>
        <w:pStyle w:val="TextBody"/>
        <w:spacing w:before="10" w:after="283"/>
        <w:rPr/>
      </w:pPr>
      <w:r>
        <w:rPr/>
      </w:r>
    </w:p>
    <w:p>
      <w:pPr>
        <w:pStyle w:val="TextBody"/>
        <w:spacing w:lineRule="auto" w:line="278" w:before="0" w:after="0"/>
        <w:ind w:left="0" w:right="0" w:firstLine="494"/>
        <w:jc w:val="both"/>
        <w:rPr/>
      </w:pPr>
      <w:r>
        <w:rPr>
          <w:rFonts w:ascii="Times New Roman;sans-serif" w:hAnsi="Times New Roman;sans-serif"/>
          <w:b w:val="false"/>
          <w:color w:val="000000"/>
          <w:sz w:val="21"/>
        </w:rPr>
        <w:t xml:space="preserve">A.Borrower and the Lender entered into that certain Revolving Credit Loan Agreement dated as of July 31, 2017, as amended by that certain First Amendment to Revolving Credit Loan Agreement dated August 14, 2018, as amended by that ce1iain First Amendment to Revolving Credit Note and Second Amendment to Revolving Credit Loan Agreement dated October 17, 2018, as amended by that certain Second Amendment to Revolving Credit Note and Third Amendment to Revolving Credit Loan Agreement dated May 10, 2019, as amended by that certain Third Amendment to Revolving Credit Note and Fourth Amendment to Revolving Credit Loan Agreement dated October 7, 2020, as amended by that certain Fourth Amendment to Revolving Credit Note and Fifth Amendment to Revolving Credit Loan Agreement dated as of October 28, 2021, and as amended by that certain Fifth Amendment to Revolving Credit Note and Sixth Amendment to Revolving Credit Loan Agreement dated as of December 31, 2021 (the </w:t>
      </w:r>
      <w:r>
        <w:rPr>
          <w:rFonts w:ascii="Times New Roman;sans-serif" w:hAnsi="Times New Roman;sans-serif"/>
          <w:b/>
          <w:color w:val="000000"/>
          <w:sz w:val="20"/>
        </w:rPr>
        <w:t xml:space="preserve">"Loan Agreement"). </w:t>
      </w:r>
      <w:r>
        <w:rPr>
          <w:rFonts w:ascii="Times New Roman;sans-serif" w:hAnsi="Times New Roman;sans-serif"/>
          <w:b w:val="false"/>
          <w:color w:val="000000"/>
          <w:sz w:val="21"/>
        </w:rPr>
        <w:t>Capitalized terms not otherwise defined therein have the same meaning as set fo1ih in the Loan Agreement.</w:t>
      </w:r>
    </w:p>
    <w:p>
      <w:pPr>
        <w:pStyle w:val="TextBody"/>
        <w:spacing w:before="6" w:after="283"/>
        <w:rPr/>
      </w:pPr>
      <w:r>
        <w:rPr/>
      </w:r>
    </w:p>
    <w:p>
      <w:pPr>
        <w:pStyle w:val="TextBody"/>
        <w:spacing w:lineRule="auto" w:line="240" w:before="0" w:after="0"/>
        <w:ind w:left="0" w:right="0" w:hanging="879"/>
        <w:rPr>
          <w:rFonts w:ascii="Times New Roman;sans-serif" w:hAnsi="Times New Roman;sans-serif"/>
          <w:b w:val="false"/>
          <w:color w:val="000000"/>
          <w:sz w:val="21"/>
        </w:rPr>
      </w:pPr>
      <w:r>
        <w:rPr>
          <w:rFonts w:ascii="Times New Roman;sans-serif" w:hAnsi="Times New Roman;sans-serif"/>
          <w:b w:val="false"/>
          <w:color w:val="000000"/>
          <w:sz w:val="21"/>
        </w:rPr>
        <w:t>B.Borrower and the Lender desire to amend the Loan Agreement as provided herein.</w:t>
      </w:r>
    </w:p>
    <w:p>
      <w:pPr>
        <w:pStyle w:val="TextBody"/>
        <w:spacing w:before="1" w:after="283"/>
        <w:rPr/>
      </w:pPr>
      <w:r>
        <w:rPr/>
      </w:r>
    </w:p>
    <w:p>
      <w:pPr>
        <w:pStyle w:val="TextBody"/>
        <w:spacing w:lineRule="auto" w:line="240" w:before="0" w:after="0"/>
        <w:ind w:left="0" w:right="0" w:firstLine="679"/>
        <w:jc w:val="both"/>
        <w:rPr>
          <w:rFonts w:ascii="Times New Roman;sans-serif" w:hAnsi="Times New Roman;sans-serif"/>
          <w:b w:val="false"/>
          <w:color w:val="000000"/>
          <w:sz w:val="21"/>
        </w:rPr>
      </w:pPr>
      <w:r>
        <w:rPr>
          <w:rFonts w:ascii="Times New Roman;sans-serif" w:hAnsi="Times New Roman;sans-serif"/>
          <w:b w:val="false"/>
          <w:color w:val="000000"/>
          <w:sz w:val="21"/>
        </w:rPr>
        <w:t>NOW, THEREFORE, in consideration of the premises and for other good and valuable consideration, the receipt and adequacy of which is hereby acknowledged, the parties hereto agree as follows:</w:t>
      </w:r>
    </w:p>
    <w:p>
      <w:pPr>
        <w:pStyle w:val="TextBody"/>
        <w:spacing w:before="1" w:after="283"/>
        <w:rPr/>
      </w:pPr>
      <w:r>
        <w:rPr/>
      </w:r>
    </w:p>
    <w:p>
      <w:pPr>
        <w:pStyle w:val="TextBody"/>
        <w:spacing w:lineRule="auto" w:line="240" w:before="0" w:after="0"/>
        <w:ind w:left="0" w:right="0" w:hanging="675"/>
        <w:rPr/>
      </w:pPr>
      <w:r>
        <w:rPr>
          <w:rFonts w:ascii="Arial;sans-serif" w:hAnsi="Arial;sans-serif"/>
          <w:b w:val="false"/>
          <w:color w:val="000000"/>
          <w:sz w:val="18"/>
        </w:rPr>
        <w:t>1.</w:t>
      </w:r>
      <w:r>
        <w:rPr>
          <w:rFonts w:ascii="Times New Roman;sans-serif" w:hAnsi="Times New Roman;sans-serif"/>
          <w:b w:val="false"/>
          <w:color w:val="000000"/>
          <w:sz w:val="21"/>
          <w:u w:val="single"/>
        </w:rPr>
        <w:t xml:space="preserve">Section 6.7 </w:t>
      </w:r>
      <w:r>
        <w:rPr>
          <w:rFonts w:ascii="Times New Roman;sans-serif" w:hAnsi="Times New Roman;sans-serif"/>
          <w:b w:val="false"/>
          <w:color w:val="000000"/>
          <w:sz w:val="21"/>
        </w:rPr>
        <w:t>of the Loan Agreement is hereby amended and restated as follows:</w:t>
      </w:r>
    </w:p>
    <w:p>
      <w:pPr>
        <w:pStyle w:val="TextBody"/>
        <w:spacing w:before="8" w:after="283"/>
        <w:rPr/>
      </w:pPr>
      <w:r>
        <w:rPr/>
      </w:r>
    </w:p>
    <w:p>
      <w:pPr>
        <w:pStyle w:val="TextBody"/>
        <w:spacing w:lineRule="auto" w:line="240" w:before="0" w:after="0"/>
        <w:ind w:left="0" w:right="0" w:firstLine="689"/>
        <w:jc w:val="both"/>
        <w:rPr/>
      </w:pPr>
      <w:r>
        <w:rPr>
          <w:rFonts w:ascii="Times New Roman;sans-serif" w:hAnsi="Times New Roman;sans-serif"/>
          <w:b w:val="false"/>
          <w:color w:val="000000"/>
          <w:sz w:val="21"/>
        </w:rPr>
        <w:t xml:space="preserve">6.7 </w:t>
      </w:r>
      <w:r>
        <w:rPr>
          <w:rFonts w:ascii="Times New Roman;sans-serif" w:hAnsi="Times New Roman;sans-serif"/>
          <w:b w:val="false"/>
          <w:color w:val="000000"/>
          <w:sz w:val="21"/>
          <w:u w:val="single"/>
        </w:rPr>
        <w:t>Maximum Funded Debt R</w:t>
      </w:r>
      <w:r>
        <w:rPr>
          <w:rFonts w:ascii="Times New Roman;sans-serif" w:hAnsi="Times New Roman;sans-serif"/>
          <w:b w:val="false"/>
          <w:color w:val="000000"/>
          <w:sz w:val="21"/>
        </w:rPr>
        <w:t>atio. Permit the Funded Debt Ratio of Borrower as calculated for Borrower and its Subsidiaries at the end of each fiscal quarter on a rolling four quaiier basis to exceed 2.50 to 1.00.</w:t>
      </w:r>
    </w:p>
    <w:p>
      <w:pPr>
        <w:pStyle w:val="TextBody"/>
        <w:spacing w:before="1" w:after="283"/>
        <w:rPr/>
      </w:pPr>
      <w:r>
        <w:rPr/>
      </w:r>
    </w:p>
    <w:p>
      <w:pPr>
        <w:pStyle w:val="TextBody"/>
        <w:spacing w:lineRule="auto" w:line="240" w:before="0" w:after="0"/>
        <w:ind w:left="0" w:right="0" w:firstLine="681"/>
        <w:rPr/>
      </w:pPr>
      <w:r>
        <w:rPr>
          <w:rFonts w:ascii="Times New Roman;sans-serif" w:hAnsi="Times New Roman;sans-serif"/>
          <w:b w:val="false"/>
          <w:color w:val="000000"/>
          <w:sz w:val="21"/>
        </w:rPr>
        <w:t xml:space="preserve">2.In connection with item </w:t>
      </w:r>
      <w:r>
        <w:rPr>
          <w:rFonts w:ascii="Arial;sans-serif" w:hAnsi="Arial;sans-serif"/>
          <w:b w:val="false"/>
          <w:color w:val="000000"/>
          <w:sz w:val="19"/>
        </w:rPr>
        <w:t xml:space="preserve">1 </w:t>
      </w:r>
      <w:r>
        <w:rPr>
          <w:rFonts w:ascii="Times New Roman;sans-serif" w:hAnsi="Times New Roman;sans-serif"/>
          <w:b w:val="false"/>
          <w:color w:val="000000"/>
          <w:sz w:val="21"/>
        </w:rPr>
        <w:t>above, any and all provisions or definitions related to the</w:t>
      </w:r>
    </w:p>
    <w:p>
      <w:pPr>
        <w:pStyle w:val="TextBody"/>
        <w:spacing w:lineRule="auto" w:line="240" w:before="2" w:after="283"/>
        <w:jc w:val="both"/>
        <w:rPr/>
      </w:pPr>
      <w:r>
        <w:rPr>
          <w:rFonts w:ascii="Times New Roman;sans-serif" w:hAnsi="Times New Roman;sans-serif"/>
          <w:b/>
          <w:color w:val="000000"/>
          <w:sz w:val="20"/>
        </w:rPr>
        <w:t xml:space="preserve">"Funded Debt to Tangible Capital Ratio" </w:t>
      </w:r>
      <w:r>
        <w:rPr>
          <w:rFonts w:ascii="Times New Roman;sans-serif" w:hAnsi="Times New Roman;sans-serif"/>
          <w:b w:val="false"/>
          <w:color w:val="000000"/>
          <w:sz w:val="21"/>
        </w:rPr>
        <w:t>set forth in the Loan Agreement ai·e hereby deleted.</w:t>
      </w:r>
    </w:p>
    <w:p>
      <w:pPr>
        <w:pStyle w:val="TextBody"/>
        <w:spacing w:before="4" w:after="283"/>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1"/>
        </w:rPr>
      </w:pPr>
      <w:r>
        <w:rPr>
          <w:rFonts w:ascii="Times New Roman;sans-serif" w:hAnsi="Times New Roman;sans-serif"/>
          <w:b w:val="false"/>
          <w:color w:val="000000"/>
          <w:sz w:val="21"/>
        </w:rPr>
        <w:t>follows:</w:t>
      </w:r>
    </w:p>
    <w:p>
      <w:pPr>
        <w:pStyle w:val="TextBody"/>
        <w:spacing w:lineRule="auto" w:line="240" w:before="73" w:after="283"/>
        <w:ind w:left="0" w:right="0" w:hanging="689"/>
        <w:rPr>
          <w:rFonts w:ascii="Times New Roman;sans-serif" w:hAnsi="Times New Roman;sans-serif"/>
          <w:b w:val="false"/>
          <w:color w:val="000000"/>
          <w:sz w:val="21"/>
        </w:rPr>
      </w:pPr>
      <w:r>
        <w:rPr>
          <w:rFonts w:ascii="Times New Roman;sans-serif" w:hAnsi="Times New Roman;sans-serif"/>
          <w:b w:val="false"/>
          <w:color w:val="000000"/>
          <w:sz w:val="21"/>
        </w:rPr>
        <w:t>3.</w:t>
      </w:r>
    </w:p>
    <w:p>
      <w:pPr>
        <w:pStyle w:val="TextBody"/>
        <w:spacing w:lineRule="auto" w:line="240" w:before="0" w:after="0"/>
        <w:rPr/>
      </w:pPr>
      <w:r>
        <w:rPr>
          <w:rFonts w:ascii="Times New Roman;sans-serif" w:hAnsi="Times New Roman;sans-serif"/>
          <w:b w:val="false"/>
          <w:color w:val="000000"/>
          <w:sz w:val="21"/>
        </w:rPr>
        <w:t xml:space="preserve">3.The definition of </w:t>
      </w:r>
      <w:r>
        <w:rPr>
          <w:rFonts w:ascii="Times New Roman;sans-serif" w:hAnsi="Times New Roman;sans-serif"/>
          <w:b/>
          <w:color w:val="000000"/>
          <w:sz w:val="20"/>
        </w:rPr>
        <w:t xml:space="preserve">"EBITDA" </w:t>
      </w:r>
      <w:r>
        <w:rPr>
          <w:rFonts w:ascii="Times New Roman;sans-serif" w:hAnsi="Times New Roman;sans-serif"/>
          <w:b w:val="false"/>
          <w:color w:val="000000"/>
          <w:sz w:val="21"/>
        </w:rPr>
        <w:t xml:space="preserve">contained in </w:t>
      </w:r>
      <w:r>
        <w:rPr>
          <w:rFonts w:ascii="Times New Roman;sans-serif" w:hAnsi="Times New Roman;sans-serif"/>
          <w:b w:val="false"/>
          <w:color w:val="000000"/>
          <w:sz w:val="21"/>
          <w:u w:val="single"/>
        </w:rPr>
        <w:t>Section 9</w:t>
      </w:r>
      <w:r>
        <w:rPr>
          <w:rFonts w:ascii="Times New Roman;sans-serif" w:hAnsi="Times New Roman;sans-serif"/>
          <w:b w:val="false"/>
          <w:color w:val="000000"/>
          <w:sz w:val="20"/>
          <w:u w:val="single"/>
        </w:rPr>
        <w:t xml:space="preserve">.1 </w:t>
      </w:r>
      <w:r>
        <w:rPr>
          <w:rFonts w:ascii="Times New Roman;sans-serif" w:hAnsi="Times New Roman;sans-serif"/>
          <w:b w:val="false"/>
          <w:color w:val="000000"/>
          <w:sz w:val="21"/>
        </w:rPr>
        <w:t>is hereby amended and restated as</w:t>
      </w:r>
    </w:p>
    <w:p>
      <w:pPr>
        <w:pStyle w:val="TextBody"/>
        <w:spacing w:before="8" w:after="283"/>
        <w:rPr/>
      </w:pPr>
      <w:r>
        <w:rPr/>
      </w:r>
    </w:p>
    <w:p>
      <w:pPr>
        <w:pStyle w:val="TextBody"/>
        <w:spacing w:lineRule="auto" w:line="240" w:before="73" w:after="283"/>
        <w:ind w:left="0" w:right="0" w:firstLine="703"/>
        <w:jc w:val="both"/>
        <w:rPr/>
      </w:pPr>
      <w:r>
        <w:rPr>
          <w:rFonts w:ascii="Times New Roman;sans-serif" w:hAnsi="Times New Roman;sans-serif"/>
          <w:b/>
          <w:color w:val="000000"/>
          <w:sz w:val="20"/>
        </w:rPr>
        <w:t xml:space="preserve">"EBITDA" </w:t>
      </w:r>
      <w:r>
        <w:rPr>
          <w:rFonts w:ascii="Times New Roman;sans-serif" w:hAnsi="Times New Roman;sans-serif"/>
          <w:b w:val="false"/>
          <w:color w:val="000000"/>
          <w:sz w:val="21"/>
        </w:rPr>
        <w:t xml:space="preserve">means (a) Net Income Attributable to Borrower's Shareholders, </w:t>
      </w:r>
      <w:r>
        <w:rPr>
          <w:rFonts w:ascii="Times New Roman;sans-serif" w:hAnsi="Times New Roman;sans-serif"/>
          <w:b w:val="false"/>
          <w:i/>
          <w:color w:val="000000"/>
          <w:sz w:val="20"/>
        </w:rPr>
        <w:t xml:space="preserve">plus </w:t>
      </w:r>
      <w:r>
        <w:rPr>
          <w:rFonts w:ascii="Times New Roman;sans-serif" w:hAnsi="Times New Roman;sans-serif"/>
          <w:b w:val="false"/>
          <w:color w:val="000000"/>
          <w:sz w:val="21"/>
        </w:rPr>
        <w:t>(b) to the extent deducted in determining Net Income Attributable to Borrower's Shareholders, and without duplication, the sum of (i) Interest Expense, (ii) income tax expense, (iii) depreciation expense, (iv) amortization expense, (v) Non-Cash Compensation Expense, (vi) cost of products sold associated with the Vibativ Acquisition provided that (x) the inventory was acquired on the acquisition date, and (y) the aggregate amount of such cost of products sold shall not exceed 30% of EBITDA in any measurement period, (vii) the one-time write down of Vibativ inventory recognized in the quarter ending December 31, 2021 in the amount of $1,100,000, and, as reasonably agreed to by Lender, any additional one-time non-cash adjustments as reported by the Borrower on the Borrower's quarterly "Reconciliation of Net Income (loss) Attributable to Common Shareholders to Adjusted Earnings (loss) ...", and (viii) cost of products sold associated</w:t>
      </w:r>
    </w:p>
    <w:p>
      <w:pPr>
        <w:pStyle w:val="TextBody"/>
        <w:spacing w:before="1" w:after="283"/>
        <w:rPr/>
      </w:pPr>
      <w:r>
        <w:rPr/>
      </w:r>
    </w:p>
    <w:p>
      <w:pPr>
        <w:pStyle w:val="TextBody"/>
        <w:spacing w:lineRule="auto" w:line="240" w:before="0" w:after="0"/>
        <w:rPr>
          <w:rFonts w:ascii="Times New Roman;sans-serif" w:hAnsi="Times New Roman;sans-serif"/>
          <w:b w:val="false"/>
          <w:color w:val="000000"/>
          <w:sz w:val="15"/>
        </w:rPr>
      </w:pPr>
      <w:r>
        <w:rPr>
          <w:rFonts w:ascii="Times New Roman;sans-serif" w:hAnsi="Times New Roman;sans-serif"/>
          <w:b w:val="false"/>
          <w:color w:val="000000"/>
          <w:sz w:val="15"/>
        </w:rPr>
        <w:t>105639-301010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4"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10" w:after="283"/>
        <w:rPr/>
      </w:pPr>
      <w:r>
        <w:rPr/>
      </w:r>
    </w:p>
    <w:p>
      <w:pPr>
        <w:pStyle w:val="TextBody"/>
        <w:spacing w:lineRule="auto" w:line="278" w:before="73" w:after="283"/>
        <w:jc w:val="both"/>
        <w:rPr>
          <w:rFonts w:ascii="Times New Roman;sans-serif" w:hAnsi="Times New Roman;sans-serif"/>
          <w:b w:val="false"/>
          <w:color w:val="000000"/>
          <w:sz w:val="21"/>
        </w:rPr>
      </w:pPr>
      <w:r>
        <w:rPr>
          <w:rFonts w:ascii="Times New Roman;sans-serif" w:hAnsi="Times New Roman;sans-serif"/>
          <w:b w:val="false"/>
          <w:color w:val="000000"/>
          <w:sz w:val="21"/>
        </w:rPr>
        <w:t>with the Sancuso Acquisition provided that (x) the work in process and finished goods inventory was acquired on the acquisition date, and (y) the aggregate amount of such cost of products sold shall not exceed 30% of EBITDA in any measurement period. For purposes of calculating EBITDA, EBITDA shall only include EBITDA arising from a permitted Acquisition if Lender is provided with a quality of earnings report related to any such Acquisition reasonably acceptable to Lender. Notwithstanding the foregoing, EBITDA shall include the following amounts for the specified periods related to the Sancuso Acquisition:</w:t>
      </w:r>
    </w:p>
    <w:p>
      <w:pPr>
        <w:pStyle w:val="TextBody"/>
        <w:spacing w:before="10" w:after="283"/>
        <w:rPr/>
      </w:pPr>
      <w:r>
        <w:rPr/>
      </w:r>
    </w:p>
    <w:tbl>
      <w:tblPr>
        <w:tblW w:w="3661" w:type="dxa"/>
        <w:jc w:val="left"/>
        <w:tblInd w:w="0" w:type="dxa"/>
        <w:tblCellMar>
          <w:top w:w="28" w:type="dxa"/>
          <w:left w:w="28" w:type="dxa"/>
          <w:bottom w:w="28" w:type="dxa"/>
          <w:right w:w="28" w:type="dxa"/>
        </w:tblCellMar>
      </w:tblPr>
      <w:tblGrid>
        <w:gridCol w:w="922"/>
        <w:gridCol w:w="807"/>
        <w:gridCol w:w="821"/>
        <w:gridCol w:w="325"/>
        <w:gridCol w:w="325"/>
        <w:gridCol w:w="461"/>
      </w:tblGrid>
      <w:tr>
        <w:trPr/>
        <w:tc>
          <w:tcPr>
            <w:tcW w:w="922"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47" w:after="283"/>
              <w:jc w:val="center"/>
              <w:rPr>
                <w:rFonts w:ascii="Times New Roman;sans-serif" w:hAnsi="Times New Roman;sans-serif"/>
                <w:b/>
                <w:color w:val="000000"/>
                <w:sz w:val="21"/>
              </w:rPr>
            </w:pPr>
            <w:r>
              <w:rPr>
                <w:rFonts w:ascii="Times New Roman;sans-serif" w:hAnsi="Times New Roman;sans-serif"/>
                <w:b/>
                <w:color w:val="000000"/>
                <w:sz w:val="21"/>
              </w:rPr>
              <w:t>Period</w:t>
            </w:r>
          </w:p>
        </w:tc>
        <w:tc>
          <w:tcPr>
            <w:tcW w:w="1111" w:type="dxa"/>
            <w:gridSpan w:val="3"/>
            <w:tcBorders>
              <w:top w:val="single" w:sz="4" w:space="0" w:color="000000"/>
              <w:left w:val="single" w:sz="4" w:space="0" w:color="000000"/>
              <w:right w:val="single" w:sz="6" w:space="0" w:color="000000"/>
            </w:tcBorders>
            <w:shd w:fill="auto" w:val="clear"/>
            <w:tcMar>
              <w:top w:w="30" w:type="dxa"/>
              <w:left w:w="691" w:type="dxa"/>
              <w:bottom w:w="0" w:type="dxa"/>
            </w:tcMar>
            <w:vAlign w:val="center"/>
          </w:tcPr>
          <w:p>
            <w:pPr>
              <w:pStyle w:val="TableContents"/>
              <w:spacing w:lineRule="auto" w:line="240" w:before="0" w:after="283"/>
              <w:jc w:val="left"/>
              <w:rPr>
                <w:rFonts w:ascii="Times New Roman;sans-serif" w:hAnsi="Times New Roman;sans-serif"/>
                <w:b/>
                <w:color w:val="000000"/>
                <w:sz w:val="21"/>
              </w:rPr>
            </w:pPr>
            <w:r>
              <w:rPr>
                <w:rFonts w:ascii="Times New Roman;sans-serif" w:hAnsi="Times New Roman;sans-serif"/>
                <w:b/>
                <w:color w:val="000000"/>
                <w:sz w:val="21"/>
              </w:rPr>
              <w:t>Amount</w:t>
            </w:r>
          </w:p>
        </w:tc>
      </w:tr>
      <w:tr>
        <w:trPr/>
        <w:tc>
          <w:tcPr>
            <w:tcW w:w="255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1"/>
              </w:rPr>
            </w:pPr>
            <w:r>
              <w:rPr>
                <w:rFonts w:ascii="Times New Roman;sans-serif" w:hAnsi="Times New Roman;sans-serif"/>
                <w:b w:val="false"/>
                <w:color w:val="000000"/>
                <w:sz w:val="21"/>
              </w:rPr>
              <w:t>3 months ending 6/30/2021</w:t>
            </w:r>
          </w:p>
        </w:tc>
        <w:tc>
          <w:tcPr>
            <w:tcW w:w="1111" w:type="dxa"/>
            <w:gridSpan w:val="3"/>
            <w:tcBorders>
              <w:top w:val="single" w:sz="4" w:space="0" w:color="000000"/>
              <w:left w:val="single" w:sz="4" w:space="0" w:color="000000"/>
              <w:right w:val="single" w:sz="6" w:space="0" w:color="000000"/>
            </w:tcBorders>
            <w:shd w:fill="auto" w:val="clear"/>
            <w:tcMar>
              <w:top w:w="30" w:type="dxa"/>
              <w:left w:w="591" w:type="dxa"/>
              <w:bottom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$2,001,365</w:t>
            </w:r>
          </w:p>
        </w:tc>
      </w:tr>
      <w:tr>
        <w:trPr/>
        <w:tc>
          <w:tcPr>
            <w:tcW w:w="255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2" w:after="283"/>
              <w:jc w:val="left"/>
              <w:rPr>
                <w:rFonts w:ascii="Times New Roman;sans-serif" w:hAnsi="Times New Roman;sans-serif"/>
                <w:b w:val="false"/>
                <w:color w:val="000000"/>
                <w:sz w:val="21"/>
              </w:rPr>
            </w:pPr>
            <w:r>
              <w:rPr>
                <w:rFonts w:ascii="Times New Roman;sans-serif" w:hAnsi="Times New Roman;sans-serif"/>
                <w:b w:val="false"/>
                <w:color w:val="000000"/>
                <w:sz w:val="21"/>
              </w:rPr>
              <w:t>3 months ending 9/30/2021</w:t>
            </w:r>
          </w:p>
        </w:tc>
        <w:tc>
          <w:tcPr>
            <w:tcW w:w="1111" w:type="dxa"/>
            <w:gridSpan w:val="3"/>
            <w:tcBorders>
              <w:top w:val="single" w:sz="4" w:space="0" w:color="000000"/>
              <w:left w:val="single" w:sz="4" w:space="0" w:color="000000"/>
              <w:right w:val="single" w:sz="6" w:space="0" w:color="000000"/>
            </w:tcBorders>
            <w:shd w:fill="auto" w:val="clear"/>
            <w:tcMar>
              <w:top w:w="30" w:type="dxa"/>
              <w:left w:w="591" w:type="dxa"/>
              <w:bottom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$2,001,365</w:t>
            </w:r>
          </w:p>
        </w:tc>
      </w:tr>
      <w:tr>
        <w:trPr/>
        <w:tc>
          <w:tcPr>
            <w:tcW w:w="2550" w:type="dxa"/>
            <w:gridSpan w:val="3"/>
            <w:tcBorders>
              <w:top w:val="single" w:sz="6"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3 months ending 12/31/2021</w:t>
            </w:r>
          </w:p>
        </w:tc>
        <w:tc>
          <w:tcPr>
            <w:tcW w:w="1111" w:type="dxa"/>
            <w:gridSpan w:val="3"/>
            <w:tcBorders>
              <w:top w:val="single" w:sz="6" w:space="0" w:color="000000"/>
              <w:left w:val="single" w:sz="4" w:space="0" w:color="000000"/>
              <w:bottom w:val="single" w:sz="2" w:space="0" w:color="000000"/>
              <w:right w:val="single" w:sz="6" w:space="0" w:color="000000"/>
            </w:tcBorders>
            <w:shd w:fill="auto" w:val="clear"/>
            <w:tcMar>
              <w:top w:w="30" w:type="dxa"/>
              <w:left w:w="591" w:type="dxa"/>
              <w:bottom w:w="3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$2,001,365</w:t>
            </w:r>
          </w:p>
        </w:tc>
      </w:tr>
    </w:tbl>
    <w:p>
      <w:pPr>
        <w:pStyle w:val="TextBody"/>
        <w:spacing w:before="0" w:after="0"/>
        <w:rPr/>
      </w:pPr>
      <w:r>
        <w:rPr/>
      </w:r>
    </w:p>
    <w:p>
      <w:pPr>
        <w:pStyle w:val="TextBody"/>
        <w:spacing w:before="8" w:after="283"/>
        <w:rPr/>
      </w:pPr>
      <w:r>
        <w:rPr/>
      </w:r>
    </w:p>
    <w:p>
      <w:pPr>
        <w:pStyle w:val="TextBody"/>
        <w:spacing w:lineRule="auto" w:line="285" w:before="0" w:after="0"/>
        <w:ind w:left="0" w:right="0" w:firstLine="696"/>
        <w:jc w:val="both"/>
        <w:rPr/>
      </w:pPr>
      <w:r>
        <w:rPr>
          <w:rFonts w:ascii="Times New Roman;sans-serif" w:hAnsi="Times New Roman;sans-serif"/>
          <w:b w:val="false"/>
          <w:color w:val="000000"/>
          <w:sz w:val="21"/>
        </w:rPr>
        <w:t xml:space="preserve">1.The following is hereby added as a new definition under </w:t>
      </w:r>
      <w:r>
        <w:rPr>
          <w:rFonts w:ascii="Times New Roman;sans-serif" w:hAnsi="Times New Roman;sans-serif"/>
          <w:b w:val="false"/>
          <w:color w:val="000000"/>
          <w:sz w:val="21"/>
          <w:u w:val="single"/>
        </w:rPr>
        <w:t xml:space="preserve">Section 9.1 </w:t>
      </w:r>
      <w:r>
        <w:rPr>
          <w:rFonts w:ascii="Times New Roman;sans-serif" w:hAnsi="Times New Roman;sans-serif"/>
          <w:b w:val="false"/>
          <w:color w:val="000000"/>
          <w:sz w:val="21"/>
        </w:rPr>
        <w:t>of the Loan Agreement:</w:t>
      </w:r>
    </w:p>
    <w:p>
      <w:pPr>
        <w:pStyle w:val="TextBody"/>
        <w:spacing w:before="2" w:after="283"/>
        <w:rPr/>
      </w:pPr>
      <w:r>
        <w:rPr/>
      </w:r>
    </w:p>
    <w:p>
      <w:pPr>
        <w:pStyle w:val="TextBody"/>
        <w:spacing w:lineRule="auto" w:line="280" w:before="0" w:after="0"/>
        <w:ind w:left="0" w:right="0" w:firstLine="690"/>
        <w:jc w:val="both"/>
        <w:rPr/>
      </w:pPr>
      <w:r>
        <w:rPr>
          <w:rFonts w:ascii="Times New Roman;sans-serif" w:hAnsi="Times New Roman;sans-serif"/>
          <w:b/>
          <w:color w:val="000000"/>
          <w:sz w:val="21"/>
        </w:rPr>
        <w:t xml:space="preserve">"Sancuso Acquisition" </w:t>
      </w:r>
      <w:r>
        <w:rPr>
          <w:rFonts w:ascii="Times New Roman;sans-serif" w:hAnsi="Times New Roman;sans-serif"/>
          <w:b w:val="false"/>
          <w:color w:val="000000"/>
          <w:sz w:val="21"/>
        </w:rPr>
        <w:t>means Borrower's purchase of certain assets related to the manufacture, marketing and sale of the proprietary oncology-supportive care medicine, Sancuso, from Kyowa Kirin, Inc.</w:t>
      </w:r>
    </w:p>
    <w:p>
      <w:pPr>
        <w:pStyle w:val="TextBody"/>
        <w:spacing w:before="11" w:after="283"/>
        <w:rPr/>
      </w:pPr>
      <w:r>
        <w:rPr/>
      </w:r>
    </w:p>
    <w:p>
      <w:pPr>
        <w:pStyle w:val="TextBody"/>
        <w:spacing w:lineRule="auto" w:line="240" w:before="0" w:after="0"/>
        <w:ind w:left="0" w:right="0" w:hanging="686"/>
        <w:rPr>
          <w:rFonts w:ascii="Times New Roman;sans-serif" w:hAnsi="Times New Roman;sans-serif"/>
          <w:b w:val="false"/>
          <w:color w:val="000000"/>
          <w:sz w:val="21"/>
        </w:rPr>
      </w:pPr>
      <w:r>
        <w:rPr>
          <w:rFonts w:ascii="Times New Roman;sans-serif" w:hAnsi="Times New Roman;sans-serif"/>
          <w:b w:val="false"/>
          <w:color w:val="000000"/>
          <w:sz w:val="21"/>
        </w:rPr>
        <w:t>2.The Loan Agreement are not amended in any other respect.</w:t>
      </w:r>
    </w:p>
    <w:p>
      <w:pPr>
        <w:pStyle w:val="TextBody"/>
        <w:spacing w:before="8" w:after="283"/>
        <w:rPr/>
      </w:pPr>
      <w:r>
        <w:rPr/>
      </w:r>
    </w:p>
    <w:p>
      <w:pPr>
        <w:pStyle w:val="TextBody"/>
        <w:spacing w:lineRule="auto" w:line="280" w:before="0" w:after="0"/>
        <w:ind w:left="0" w:right="0" w:firstLine="700"/>
        <w:jc w:val="both"/>
        <w:rPr>
          <w:rFonts w:ascii="Times New Roman;sans-serif" w:hAnsi="Times New Roman;sans-serif"/>
          <w:b w:val="false"/>
          <w:color w:val="000000"/>
          <w:sz w:val="21"/>
        </w:rPr>
      </w:pPr>
      <w:r>
        <w:rPr>
          <w:rFonts w:ascii="Times New Roman;sans-serif" w:hAnsi="Times New Roman;sans-serif"/>
          <w:b w:val="false"/>
          <w:color w:val="000000"/>
          <w:sz w:val="21"/>
        </w:rPr>
        <w:t>3.Borrower reaffirms the terms and provisions of the Loan Documents and agrees that such terms and provisions are valid and binding, enforceable in accordance with its terms and provisions, subject to no defense, counterclaim, or objection.</w:t>
      </w:r>
    </w:p>
    <w:p>
      <w:pPr>
        <w:pStyle w:val="TextBody"/>
        <w:spacing w:before="11" w:after="283"/>
        <w:rPr/>
      </w:pPr>
      <w:r>
        <w:rPr/>
      </w:r>
    </w:p>
    <w:p>
      <w:pPr>
        <w:pStyle w:val="TextBody"/>
        <w:spacing w:lineRule="auto" w:line="240" w:before="0" w:after="0"/>
        <w:rPr>
          <w:rFonts w:ascii="Times New Roman;sans-serif" w:hAnsi="Times New Roman;sans-serif"/>
          <w:b w:val="false"/>
          <w:color w:val="000000"/>
          <w:sz w:val="21"/>
        </w:rPr>
      </w:pPr>
      <w:r>
        <w:rPr>
          <w:rFonts w:ascii="Times New Roman;sans-serif" w:hAnsi="Times New Roman;sans-serif"/>
          <w:b w:val="false"/>
          <w:color w:val="000000"/>
          <w:sz w:val="21"/>
        </w:rPr>
        <w:t>[signatures commence on following page]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5"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4" w:after="283"/>
        <w:rPr/>
      </w:pPr>
      <w:r>
        <w:rPr/>
      </w:r>
    </w:p>
    <w:p>
      <w:pPr>
        <w:pStyle w:val="TextBody"/>
        <w:spacing w:lineRule="auto" w:line="240" w:before="74" w:after="283"/>
        <w:rPr>
          <w:rFonts w:ascii="Times New Roman;sans-serif" w:hAnsi="Times New Roman;sans-serif"/>
          <w:b w:val="false"/>
          <w:color w:val="000000"/>
          <w:sz w:val="20"/>
        </w:rPr>
      </w:pPr>
      <w:r>
        <w:rPr>
          <w:rFonts w:ascii="Times New Roman;sans-serif" w:hAnsi="Times New Roman;sans-serif"/>
          <w:b w:val="false"/>
          <w:color w:val="000000"/>
          <w:sz w:val="20"/>
        </w:rPr>
        <w:t>ENTERED INTO as of the date first written above.</w:t>
      </w:r>
    </w:p>
    <w:p>
      <w:pPr>
        <w:pStyle w:val="TextBody"/>
        <w:spacing w:before="1" w:after="283"/>
        <w:rPr/>
      </w:pPr>
      <w:r>
        <w:rPr/>
      </w:r>
    </w:p>
    <w:p>
      <w:pPr>
        <w:pStyle w:val="TextBody"/>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BORROWER:</w:t>
      </w:r>
    </w:p>
    <w:p>
      <w:pPr>
        <w:pStyle w:val="TextBody"/>
        <w:spacing w:before="2"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w:t>
      </w:r>
    </w:p>
    <w:p>
      <w:pPr>
        <w:pStyle w:val="TextBody"/>
        <w:spacing w:before="10" w:after="283"/>
        <w:rPr/>
      </w:pPr>
      <w:r>
        <w:rPr/>
      </w:r>
    </w:p>
    <w:p>
      <w:pPr>
        <w:pStyle w:val="TextBody"/>
        <w:spacing w:lineRule="auto" w:line="240" w:before="0" w:after="0"/>
        <w:jc w:val="right"/>
        <w:rPr/>
      </w:pPr>
      <w:r>
        <w:rPr>
          <w:rFonts w:ascii="Times New Roman;sans-serif" w:hAnsi="Times New Roman;sans-serif"/>
          <w:b w:val="false"/>
          <w:color w:val="000000"/>
          <w:sz w:val="20"/>
        </w:rPr>
        <w:t xml:space="preserve">By: </w:t>
      </w:r>
      <w:r>
        <w:rPr>
          <w:rFonts w:ascii="Times New Roman;sans-serif" w:hAnsi="Times New Roman;sans-serif"/>
          <w:b w:val="false"/>
          <w:i/>
          <w:color w:val="000000"/>
          <w:sz w:val="28"/>
        </w:rPr>
        <w:t>--</w:t>
      </w:r>
    </w:p>
    <w:p>
      <w:pPr>
        <w:pStyle w:val="TextBody"/>
        <w:spacing w:before="5" w:after="283"/>
        <w:rPr/>
      </w:pPr>
      <w:r>
        <w:rPr/>
      </w:r>
    </w:p>
    <w:p>
      <w:pPr>
        <w:pStyle w:val="TextBody"/>
        <w:spacing w:before="0" w:after="0"/>
        <w:rPr/>
      </w:pPr>
      <w:r>
        <w:rPr/>
      </w:r>
    </w:p>
    <w:p>
      <w:pPr>
        <w:pStyle w:val="TextBody"/>
        <w:spacing w:lineRule="auto" w:line="240" w:before="0" w:after="0"/>
        <w:rPr/>
      </w:pPr>
      <w:r>
        <w:rPr/>
        <w:drawing>
          <wp:inline distT="0" distB="63500" distL="0" distR="0">
            <wp:extent cx="552450" cy="314325"/>
            <wp:effectExtent l="0" t="0" r="0" b="0"/>
            <wp:docPr id="6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 descr=""/>
                    <pic:cNvPicPr>
                      <a:picLocks noChangeAspect="1" noChangeArrowheads="1"/>
                    </pic:cNvPicPr>
                  </pic:nvPicPr>
                  <pic:blipFill>
                    <a:blip r:embed="rId7"/>
                    <a:stretch>
                      <a:fillRect/>
                    </a:stretch>
                  </pic:blipFill>
                  <pic:spPr bwMode="auto">
                    <a:xfrm>
                      <a:off x="0" y="0"/>
                      <a:ext cx="552450" cy="314325"/>
                    </a:xfrm>
                    <a:prstGeom prst="rect">
                      <a:avLst/>
                    </a:prstGeom>
                  </pic:spPr>
                </pic:pic>
              </a:graphicData>
            </a:graphic>
          </wp:inline>
        </w:drawing>
      </w:r>
      <w:r>
        <w:rPr>
          <w:rFonts w:ascii="Times New Roman;sans-serif" w:hAnsi="Times New Roman;sans-serif"/>
          <w:b w:val="false"/>
          <w:color w:val="000000"/>
          <w:sz w:val="11"/>
        </w:rPr>
        <w:t xml:space="preserve">Digitally </w:t>
      </w:r>
      <w:r>
        <w:rPr>
          <w:rFonts w:ascii="Arial;sans-serif" w:hAnsi="Arial;sans-serif"/>
          <w:b w:val="false"/>
          <w:color w:val="000000"/>
          <w:sz w:val="9"/>
        </w:rPr>
        <w:t xml:space="preserve">signed </w:t>
      </w:r>
      <w:r>
        <w:rPr>
          <w:rFonts w:ascii="Times New Roman;sans-serif" w:hAnsi="Times New Roman;sans-serif"/>
          <w:b w:val="false"/>
          <w:color w:val="000000"/>
          <w:sz w:val="11"/>
        </w:rPr>
        <w:t xml:space="preserve">by AJ. </w:t>
      </w:r>
      <w:r>
        <w:rPr>
          <w:rFonts w:ascii="Arial;sans-serif" w:hAnsi="Arial;sans-serif"/>
          <w:b w:val="false"/>
          <w:color w:val="000000"/>
          <w:sz w:val="9"/>
        </w:rPr>
        <w:t>Kazimi</w:t>
      </w:r>
    </w:p>
    <w:p>
      <w:pPr>
        <w:pStyle w:val="TextBody"/>
        <w:spacing w:lineRule="auto" w:line="312" w:before="16" w:after="283"/>
        <w:rPr/>
      </w:pPr>
      <w:r>
        <w:rPr/>
        <w:drawing>
          <wp:inline distT="0" distB="63500" distL="0" distR="0">
            <wp:extent cx="200025" cy="171450"/>
            <wp:effectExtent l="0" t="0" r="0" b="0"/>
            <wp:docPr id="6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7" descr=""/>
                    <pic:cNvPicPr>
                      <a:picLocks noChangeAspect="1" noChangeArrowheads="1"/>
                    </pic:cNvPicPr>
                  </pic:nvPicPr>
                  <pic:blipFill>
                    <a:blip r:embed="rId8"/>
                    <a:stretch>
                      <a:fillRect/>
                    </a:stretch>
                  </pic:blipFill>
                  <pic:spPr bwMode="auto">
                    <a:xfrm>
                      <a:off x="0" y="0"/>
                      <a:ext cx="200025" cy="171450"/>
                    </a:xfrm>
                    <a:prstGeom prst="rect">
                      <a:avLst/>
                    </a:prstGeom>
                  </pic:spPr>
                </pic:pic>
              </a:graphicData>
            </a:graphic>
          </wp:inline>
        </w:drawing>
      </w:r>
      <w:r>
        <w:rPr>
          <w:rFonts w:ascii="Arial;sans-serif" w:hAnsi="Arial;sans-serif"/>
          <w:b w:val="false"/>
          <w:color w:val="000000"/>
          <w:sz w:val="9"/>
        </w:rPr>
        <w:t xml:space="preserve">DN: cn=A.J. Kazimi, o=Cumberland </w:t>
      </w:r>
      <w:r>
        <w:rPr>
          <w:rFonts w:ascii="Times New Roman;sans-serif" w:hAnsi="Times New Roman;sans-serif"/>
          <w:b w:val="false"/>
          <w:color w:val="000000"/>
          <w:sz w:val="11"/>
        </w:rPr>
        <w:t xml:space="preserve">Pharmaceuticals Inc., ou=CPI, </w:t>
      </w:r>
      <w:r>
        <w:rPr>
          <w:rFonts w:ascii="Times New Roman;sans-serif" w:hAnsi="Times New Roman;sans-serif"/>
          <w:b w:val="false"/>
          <w:color w:val="000000"/>
          <w:sz w:val="10"/>
        </w:rPr>
        <w:t>email=tmajor@cumberlandpharma.</w:t>
      </w:r>
    </w:p>
    <w:p>
      <w:pPr>
        <w:pStyle w:val="TextBody"/>
        <w:spacing w:lineRule="auto" w:line="240" w:before="7" w:after="283"/>
        <w:ind w:left="0" w:right="0" w:hanging="302"/>
        <w:rPr>
          <w:rFonts w:ascii="Times New Roman;sans-serif" w:hAnsi="Times New Roman;sans-serif"/>
          <w:b w:val="false"/>
          <w:color w:val="000000"/>
          <w:sz w:val="20"/>
        </w:rPr>
      </w:pPr>
      <w:r>
        <w:rPr>
          <w:rFonts w:ascii="Times New Roman;sans-serif" w:hAnsi="Times New Roman;sans-serif"/>
          <w:b w:val="false"/>
          <w:color w:val="000000"/>
          <w:sz w:val="20"/>
        </w:rPr>
        <w:t>A.. Kazimi, Chief.    'eootv.e=iicer</w:t>
      </w:r>
    </w:p>
    <w:p>
      <w:pPr>
        <w:pStyle w:val="TextBody"/>
        <w:spacing w:before="9" w:after="283"/>
        <w:rPr/>
      </w:pPr>
      <w:r>
        <w:rPr/>
      </w:r>
    </w:p>
    <w:p>
      <w:pPr>
        <w:pStyle w:val="TextBody"/>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LENDER:</w:t>
      </w:r>
    </w:p>
    <w:p>
      <w:pPr>
        <w:pStyle w:val="TextBody"/>
        <w:spacing w:before="11" w:after="283"/>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PINNACLE BANK</w:t>
      </w:r>
    </w:p>
    <w:p>
      <w:pPr>
        <w:pStyle w:val="TextBody"/>
        <w:spacing w:before="9" w:after="283"/>
        <w:rPr/>
      </w:pPr>
      <w:r>
        <w:rPr/>
      </w:r>
    </w:p>
    <w:p>
      <w:pPr>
        <w:pStyle w:val="TextBody"/>
        <w:spacing w:before="0" w:after="0"/>
        <w:rPr/>
      </w:pPr>
      <w:r>
        <w:rPr/>
        <w:drawing>
          <wp:inline distT="0" distB="63500" distL="0" distR="0">
            <wp:extent cx="2886075" cy="504825"/>
            <wp:effectExtent l="0" t="0" r="0" b="0"/>
            <wp:docPr id="6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8" descr=""/>
                    <pic:cNvPicPr>
                      <a:picLocks noChangeAspect="1" noChangeArrowheads="1"/>
                    </pic:cNvPicPr>
                  </pic:nvPicPr>
                  <pic:blipFill>
                    <a:blip r:embed="rId9"/>
                    <a:stretch>
                      <a:fillRect/>
                    </a:stretch>
                  </pic:blipFill>
                  <pic:spPr bwMode="auto">
                    <a:xfrm>
                      <a:off x="0" y="0"/>
                      <a:ext cx="2886075" cy="504825"/>
                    </a:xfrm>
                    <a:prstGeom prst="rect">
                      <a:avLst/>
                    </a:prstGeom>
                  </pic:spPr>
                </pic:pic>
              </a:graphicData>
            </a:graphic>
          </wp:inline>
        </w:drawing>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40"/>
        <w:rPr>
          <w:rFonts w:ascii="Times New Roman;sans-serif" w:hAnsi="Times New Roman;sans-serif"/>
          <w:b w:val="false"/>
          <w:color w:val="000000"/>
          <w:sz w:val="20"/>
        </w:rPr>
      </w:pPr>
      <w:r>
        <w:rPr>
          <w:rFonts w:ascii="Times New Roman;sans-serif" w:hAnsi="Times New Roman;sans-serif"/>
          <w:b w:val="false"/>
          <w:color w:val="000000"/>
          <w:sz w:val="20"/>
        </w:rPr>
        <w:t>[Signature Page to Seventh Amendment to Revolving Credit Loan Agreement]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A.J. Kazimi, certify that:</w:t>
      </w:r>
    </w:p>
    <w:tbl>
      <w:tblPr>
        <w:tblW w:w="6056" w:type="dxa"/>
        <w:jc w:val="left"/>
        <w:tblInd w:w="0" w:type="dxa"/>
        <w:tblCellMar>
          <w:top w:w="28" w:type="dxa"/>
          <w:left w:w="28" w:type="dxa"/>
          <w:bottom w:w="28" w:type="dxa"/>
          <w:right w:w="28" w:type="dxa"/>
        </w:tblCellMar>
      </w:tblPr>
      <w:tblGrid>
        <w:gridCol w:w="124"/>
        <w:gridCol w:w="109"/>
        <w:gridCol w:w="109"/>
        <w:gridCol w:w="1674"/>
        <w:gridCol w:w="1674"/>
        <w:gridCol w:w="23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4" w:type="dxa"/>
            <w:tcBorders/>
            <w:shd w:fill="auto" w:val="clear"/>
            <w:vAlign w:val="center"/>
          </w:tcPr>
          <w:p>
            <w:pPr>
              <w:pStyle w:val="TableContents"/>
              <w:spacing w:before="0" w:after="283"/>
              <w:rPr>
                <w:sz w:val="4"/>
                <w:szCs w:val="4"/>
              </w:rPr>
            </w:pPr>
            <w:r>
              <w:rPr>
                <w:sz w:val="4"/>
                <w:szCs w:val="4"/>
              </w:rPr>
            </w:r>
          </w:p>
        </w:tc>
        <w:tc>
          <w:tcPr>
            <w:tcW w:w="1674" w:type="dxa"/>
            <w:tcBorders/>
            <w:shd w:fill="auto" w:val="clear"/>
            <w:vAlign w:val="center"/>
          </w:tcPr>
          <w:p>
            <w:pPr>
              <w:pStyle w:val="TableContents"/>
              <w:spacing w:before="0" w:after="283"/>
              <w:rPr>
                <w:sz w:val="4"/>
                <w:szCs w:val="4"/>
              </w:rPr>
            </w:pPr>
            <w:r>
              <w:rPr>
                <w:sz w:val="4"/>
                <w:szCs w:val="4"/>
              </w:rPr>
            </w:r>
          </w:p>
        </w:tc>
        <w:tc>
          <w:tcPr>
            <w:tcW w:w="23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7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Form 10-Q of Cumberland Pharmaceuticals Inc.;</w:t>
            </w:r>
          </w:p>
        </w:tc>
      </w:tr>
    </w:tbl>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CellMar>
          <w:top w:w="28" w:type="dxa"/>
          <w:left w:w="28" w:type="dxa"/>
          <w:bottom w:w="28" w:type="dxa"/>
          <w:right w:w="28" w:type="dxa"/>
        </w:tblCellMar>
      </w:tblPr>
      <w:tblGrid>
        <w:gridCol w:w="124"/>
        <w:gridCol w:w="109"/>
        <w:gridCol w:w="109"/>
        <w:gridCol w:w="2881"/>
        <w:gridCol w:w="2881"/>
        <w:gridCol w:w="41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41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061" w:type="dxa"/>
        <w:jc w:val="left"/>
        <w:tblInd w:w="0" w:type="dxa"/>
        <w:tblCellMar>
          <w:top w:w="28" w:type="dxa"/>
          <w:left w:w="28" w:type="dxa"/>
          <w:bottom w:w="28" w:type="dxa"/>
          <w:right w:w="28" w:type="dxa"/>
        </w:tblCellMar>
      </w:tblPr>
      <w:tblGrid>
        <w:gridCol w:w="455"/>
        <w:gridCol w:w="401"/>
        <w:gridCol w:w="404"/>
        <w:gridCol w:w="134"/>
        <w:gridCol w:w="134"/>
        <w:gridCol w:w="136"/>
        <w:gridCol w:w="109"/>
        <w:gridCol w:w="109"/>
        <w:gridCol w:w="109"/>
        <w:gridCol w:w="604"/>
        <w:gridCol w:w="604"/>
        <w:gridCol w:w="862"/>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13,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A.J. Kazimi</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 Kazimi</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ind w:left="0" w:right="0" w:hanging="3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John Hamm, certify that:</w:t>
      </w:r>
    </w:p>
    <w:tbl>
      <w:tblPr>
        <w:tblW w:w="6056" w:type="dxa"/>
        <w:jc w:val="left"/>
        <w:tblInd w:w="0" w:type="dxa"/>
        <w:tblCellMar>
          <w:top w:w="28" w:type="dxa"/>
          <w:left w:w="28" w:type="dxa"/>
          <w:bottom w:w="28" w:type="dxa"/>
          <w:right w:w="28" w:type="dxa"/>
        </w:tblCellMar>
      </w:tblPr>
      <w:tblGrid>
        <w:gridCol w:w="124"/>
        <w:gridCol w:w="109"/>
        <w:gridCol w:w="109"/>
        <w:gridCol w:w="1674"/>
        <w:gridCol w:w="1674"/>
        <w:gridCol w:w="23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4" w:type="dxa"/>
            <w:tcBorders/>
            <w:shd w:fill="auto" w:val="clear"/>
            <w:vAlign w:val="center"/>
          </w:tcPr>
          <w:p>
            <w:pPr>
              <w:pStyle w:val="TableContents"/>
              <w:spacing w:before="0" w:after="283"/>
              <w:rPr>
                <w:sz w:val="4"/>
                <w:szCs w:val="4"/>
              </w:rPr>
            </w:pPr>
            <w:r>
              <w:rPr>
                <w:sz w:val="4"/>
                <w:szCs w:val="4"/>
              </w:rPr>
            </w:r>
          </w:p>
        </w:tc>
        <w:tc>
          <w:tcPr>
            <w:tcW w:w="1674" w:type="dxa"/>
            <w:tcBorders/>
            <w:shd w:fill="auto" w:val="clear"/>
            <w:vAlign w:val="center"/>
          </w:tcPr>
          <w:p>
            <w:pPr>
              <w:pStyle w:val="TableContents"/>
              <w:spacing w:before="0" w:after="283"/>
              <w:rPr>
                <w:sz w:val="4"/>
                <w:szCs w:val="4"/>
              </w:rPr>
            </w:pPr>
            <w:r>
              <w:rPr>
                <w:sz w:val="4"/>
                <w:szCs w:val="4"/>
              </w:rPr>
            </w:r>
          </w:p>
        </w:tc>
        <w:tc>
          <w:tcPr>
            <w:tcW w:w="23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7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Form 10-Q of Cumberland Pharmaceuticals Inc.;</w:t>
            </w:r>
          </w:p>
        </w:tc>
      </w:tr>
    </w:tbl>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CellMar>
          <w:top w:w="28" w:type="dxa"/>
          <w:left w:w="28" w:type="dxa"/>
          <w:bottom w:w="28" w:type="dxa"/>
          <w:right w:w="28" w:type="dxa"/>
        </w:tblCellMar>
      </w:tblPr>
      <w:tblGrid>
        <w:gridCol w:w="124"/>
        <w:gridCol w:w="109"/>
        <w:gridCol w:w="109"/>
        <w:gridCol w:w="2881"/>
        <w:gridCol w:w="2881"/>
        <w:gridCol w:w="41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41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000" w:type="dxa"/>
        <w:jc w:val="left"/>
        <w:tblInd w:w="0" w:type="dxa"/>
        <w:tblCellMar>
          <w:top w:w="28" w:type="dxa"/>
          <w:left w:w="28" w:type="dxa"/>
          <w:bottom w:w="28" w:type="dxa"/>
          <w:right w:w="28" w:type="dxa"/>
        </w:tblCellMar>
      </w:tblPr>
      <w:tblGrid>
        <w:gridCol w:w="455"/>
        <w:gridCol w:w="401"/>
        <w:gridCol w:w="404"/>
        <w:gridCol w:w="134"/>
        <w:gridCol w:w="134"/>
        <w:gridCol w:w="136"/>
        <w:gridCol w:w="109"/>
        <w:gridCol w:w="109"/>
        <w:gridCol w:w="109"/>
        <w:gridCol w:w="588"/>
        <w:gridCol w:w="588"/>
        <w:gridCol w:w="833"/>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13,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Hamm</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Hamm</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ind w:left="0" w:right="0" w:hanging="3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AND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for the fiscal quarter ended March 31, 2022 of Cumberland Pharmaceuticals Inc. (the “Company”), as filed with the Securities and Exchange Commission on the date hereof (the “Report”), I, A.J. Kazimi, Chief Executive Officer and John Hamm, Chief Financial Officer of the Company, certify, pursuant to Section 906 of the Sarbanes-Oxley Act of 2002 (18 U.S.C. section 1350), that:</w:t>
      </w:r>
    </w:p>
    <w:tbl>
      <w:tblPr>
        <w:tblW w:w="10062" w:type="dxa"/>
        <w:jc w:val="left"/>
        <w:tblInd w:w="0" w:type="dxa"/>
        <w:tblCellMar>
          <w:top w:w="28" w:type="dxa"/>
          <w:left w:w="28" w:type="dxa"/>
          <w:bottom w:w="28" w:type="dxa"/>
          <w:right w:w="28" w:type="dxa"/>
        </w:tblCellMar>
      </w:tblPr>
      <w:tblGrid>
        <w:gridCol w:w="124"/>
        <w:gridCol w:w="109"/>
        <w:gridCol w:w="109"/>
        <w:gridCol w:w="2841"/>
        <w:gridCol w:w="2841"/>
        <w:gridCol w:w="403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1" w:type="dxa"/>
            <w:tcBorders/>
            <w:shd w:fill="auto" w:val="clear"/>
            <w:vAlign w:val="center"/>
          </w:tcPr>
          <w:p>
            <w:pPr>
              <w:pStyle w:val="TableContents"/>
              <w:spacing w:before="0" w:after="283"/>
              <w:rPr>
                <w:sz w:val="4"/>
                <w:szCs w:val="4"/>
              </w:rPr>
            </w:pPr>
            <w:r>
              <w:rPr>
                <w:sz w:val="4"/>
                <w:szCs w:val="4"/>
              </w:rPr>
            </w:r>
          </w:p>
        </w:tc>
        <w:tc>
          <w:tcPr>
            <w:tcW w:w="2841" w:type="dxa"/>
            <w:tcBorders/>
            <w:shd w:fill="auto" w:val="clear"/>
            <w:vAlign w:val="center"/>
          </w:tcPr>
          <w:p>
            <w:pPr>
              <w:pStyle w:val="TableContents"/>
              <w:spacing w:before="0" w:after="283"/>
              <w:rPr>
                <w:sz w:val="4"/>
                <w:szCs w:val="4"/>
              </w:rPr>
            </w:pPr>
            <w:r>
              <w:rPr>
                <w:sz w:val="4"/>
                <w:szCs w:val="4"/>
              </w:rPr>
            </w:r>
          </w:p>
        </w:tc>
        <w:tc>
          <w:tcPr>
            <w:tcW w:w="403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7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spacing w:lineRule="auto" w:line="288" w:before="0" w:after="0"/>
        <w:rPr>
          <w:color w:val="000000"/>
        </w:rPr>
      </w:pPr>
      <w:r>
        <w:rPr>
          <w:color w:val="000000"/>
        </w:rPr>
        <w:t> </w:t>
      </w:r>
    </w:p>
    <w:tbl>
      <w:tblPr>
        <w:tblW w:w="2084" w:type="dxa"/>
        <w:jc w:val="left"/>
        <w:tblInd w:w="0" w:type="dxa"/>
        <w:tblCellMar>
          <w:top w:w="28" w:type="dxa"/>
          <w:left w:w="28" w:type="dxa"/>
          <w:bottom w:w="28" w:type="dxa"/>
          <w:right w:w="28" w:type="dxa"/>
        </w:tblCellMar>
      </w:tblPr>
      <w:tblGrid>
        <w:gridCol w:w="666"/>
        <w:gridCol w:w="586"/>
        <w:gridCol w:w="832"/>
      </w:tblGrid>
      <w:tr>
        <w:trPr/>
        <w:tc>
          <w:tcPr>
            <w:tcW w:w="66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 J. Kazimi</w:t>
            </w:r>
          </w:p>
        </w:tc>
      </w:tr>
      <w:tr>
        <w:trPr/>
        <w:tc>
          <w:tcPr>
            <w:tcW w:w="20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 Kazimi</w:t>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13, 2022</w:t>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Hamm</w:t>
            </w:r>
          </w:p>
        </w:tc>
      </w:tr>
      <w:tr>
        <w:trPr/>
        <w:tc>
          <w:tcPr>
            <w:tcW w:w="20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Hamm</w:t>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13, 2022</w:t>
            </w:r>
          </w:p>
        </w:tc>
      </w:tr>
    </w:tbl>
    <w:p>
      <w:pPr>
        <w:pStyle w:val="TextBody"/>
        <w:spacing w:lineRule="auto" w:line="288" w:before="0" w:after="0"/>
        <w:rPr>
          <w:color w:val="000000"/>
        </w:rPr>
      </w:pPr>
      <w:r>
        <w:rPr>
          <w:color w:val="000000"/>
        </w:rPr>
        <w:t> </w:t>
      </w:r>
    </w:p>
    <w:p>
      <w:pPr>
        <w:pStyle w:val="TextBody"/>
        <w:jc w:val="right"/>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35</Pages>
  <Words>25308</Words>
  <CharactersWithSpaces>164143</CharactersWithSpaces>
  <Paragraphs>1495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