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9330d1_8k.htm"/>
      <w:bookmarkStart w:id="1" w:name="kstm2619330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3_edei--DocumentType_c202606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June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CUMBERLAND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Tennessee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629"/>
            <w:bookmarkEnd w:id="6"/>
            <w:r>
              <w:rPr>
                <w:rFonts w:ascii="Times New Roman;Times;Serif" w:hAnsi="Times New Roman;Times;Serif"/>
                <w:b/>
                <w:sz w:val="20"/>
              </w:rPr>
              <w:t>001-33637</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62-1765329</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1600 West End Avenue, </w:t>
      </w:r>
      <w:bookmarkStart w:id="9" w:name="xdx_90A_edei--EntityAddressCityOrTown_c2"/>
      <w:bookmarkEnd w:id="9"/>
      <w:r>
        <w:rPr>
          <w:rFonts w:ascii="Times New Roman;Times;Serif" w:hAnsi="Times New Roman;Times;Serif"/>
          <w:b/>
          <w:i w:val="false"/>
          <w:caps w:val="false"/>
          <w:smallCaps w:val="false"/>
          <w:sz w:val="20"/>
        </w:rPr>
        <w:t xml:space="preserve">Suite 1300 Nashville, </w:t>
      </w:r>
      <w:bookmarkStart w:id="10" w:name="xdx_900_edei--EntityAddressStateOrProvin"/>
      <w:bookmarkEnd w:id="10"/>
      <w:r>
        <w:rPr>
          <w:rFonts w:ascii="Times New Roman;Times;Serif" w:hAnsi="Times New Roman;Times;Serif"/>
          <w:b/>
          <w:i w:val="false"/>
          <w:caps w:val="false"/>
          <w:smallCaps w:val="false"/>
          <w:sz w:val="20"/>
        </w:rPr>
        <w:t xml:space="preserve">Tennessee </w:t>
      </w:r>
      <w:bookmarkStart w:id="11" w:name="xdx_90B_edei--EntityAddressPostalZipCode"/>
      <w:bookmarkEnd w:id="11"/>
      <w:r>
        <w:rPr>
          <w:rFonts w:ascii="Times New Roman;Times;Serif" w:hAnsi="Times New Roman;Times;Serif"/>
          <w:b/>
          <w:i w:val="false"/>
          <w:caps w:val="false"/>
          <w:smallCaps w:val="false"/>
          <w:sz w:val="20"/>
        </w:rPr>
        <w:t>37203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0629__20"/>
      <w:bookmarkEnd w:id="12"/>
      <w:r>
        <w:rPr>
          <w:rFonts w:ascii="Times New Roman;Times;Serif" w:hAnsi="Times New Roman;Times;Serif"/>
          <w:b/>
          <w:i w:val="false"/>
          <w:caps w:val="false"/>
          <w:smallCaps w:val="false"/>
          <w:sz w:val="20"/>
        </w:rPr>
        <w:t xml:space="preserve">615) </w:t>
      </w:r>
      <w:bookmarkStart w:id="13" w:name="xdx_903_edei--LocalPhoneNumber_c20260629"/>
      <w:bookmarkEnd w:id="13"/>
      <w:r>
        <w:rPr>
          <w:rFonts w:ascii="Times New Roman;Times;Serif" w:hAnsi="Times New Roman;Times;Serif"/>
          <w:b/>
          <w:i w:val="false"/>
          <w:caps w:val="false"/>
          <w:smallCaps w:val="false"/>
          <w:sz w:val="20"/>
        </w:rPr>
        <w:t>255-0068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4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0_edei--SolicitingMaterial_c202606"/>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D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9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10" w:type="dxa"/>
        <w:tblLayout w:type="fixed"/>
        <w:tblCellMar>
          <w:top w:w="28" w:type="dxa"/>
          <w:left w:w="53" w:type="dxa"/>
          <w:bottom w:w="28" w:type="dxa"/>
          <w:right w:w="0" w:type="dxa"/>
        </w:tblCellMar>
      </w:tblPr>
      <w:tblGrid>
        <w:gridCol w:w="2390"/>
        <w:gridCol w:w="1535"/>
        <w:gridCol w:w="3590"/>
      </w:tblGrid>
      <w:tr>
        <w:trPr/>
        <w:tc>
          <w:tcPr>
            <w:tcW w:w="239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left w:val="single" w:sz="8" w:space="0" w:color="000000"/>
              <w:bottom w:val="single" w:sz="8" w:space="0" w:color="000000"/>
              <w:right w:val="single" w:sz="8" w:space="0" w:color="000000"/>
            </w:tcBorders>
            <w:tcMar>
              <w:right w:w="5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39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8" w:name="xdx_90B_edei--Security12bTitle_c20260629"/>
            <w:bookmarkEnd w:id="18"/>
            <w:r>
              <w:rPr>
                <w:rFonts w:ascii="Times New Roman;Times;Serif" w:hAnsi="Times New Roman;Times;Serif"/>
                <w:sz w:val="20"/>
              </w:rPr>
              <w:t>Common Stock, no par value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1_edei--TradingSymbol_c20260629__2"/>
            <w:bookmarkEnd w:id="19"/>
            <w:r>
              <w:rPr>
                <w:rFonts w:ascii="Times New Roman;Times;Serif" w:hAnsi="Times New Roman;Times;Serif"/>
                <w:sz w:val="20"/>
              </w:rPr>
              <w:t>CPIX</w:t>
            </w:r>
          </w:p>
        </w:tc>
        <w:tc>
          <w:tcPr>
            <w:tcW w:w="3590" w:type="dxa"/>
            <w:tcBorders>
              <w:left w:val="single" w:sz="8" w:space="0" w:color="000000"/>
              <w:bottom w:val="single" w:sz="8" w:space="0" w:color="000000"/>
              <w:right w:val="single" w:sz="8" w:space="0" w:color="000000"/>
            </w:tcBorders>
            <w:tcMar>
              <w:top w:w="0" w:type="dxa"/>
              <w:right w:w="53" w:type="dxa"/>
            </w:tcMar>
            <w:vAlign w:val="center"/>
          </w:tcPr>
          <w:p>
            <w:pPr>
              <w:pStyle w:val="TableContents"/>
              <w:bidi w:val="0"/>
              <w:spacing w:before="0" w:after="283"/>
              <w:jc w:val="center"/>
              <w:rPr>
                <w:rFonts w:ascii="Times New Roman;Times;Serif" w:hAnsi="Times New Roman;Times;Serif"/>
                <w:sz w:val="20"/>
              </w:rPr>
            </w:pPr>
            <w:bookmarkStart w:id="20" w:name="xdx_907_edei--SecurityExchangeName_c2026"/>
            <w:bookmarkEnd w:id="20"/>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being filed in connection with the closing on July 1, 2026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of the previously announced strategic transaction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to integrate the commercial products of Cumberland Pharmaceuticals Inc. (the “</w:t>
      </w:r>
      <w:r>
        <w:rPr>
          <w:rFonts w:ascii="Times New Roman;Times;Serif" w:hAnsi="Times New Roman;Times;Serif"/>
          <w:b/>
          <w:i w:val="false"/>
          <w:caps w:val="false"/>
          <w:smallCaps w:val="false"/>
          <w:sz w:val="20"/>
          <w:shd w:fill="FFFFFF" w:val="clear"/>
        </w:rPr>
        <w:t>Company</w:t>
      </w:r>
      <w:r>
        <w:rPr>
          <w:rFonts w:ascii="Times New Roman;Times;Serif" w:hAnsi="Times New Roman;Times;Serif"/>
          <w:b w:val="false"/>
          <w:i w:val="false"/>
          <w:caps w:val="false"/>
          <w:smallCaps w:val="false"/>
          <w:sz w:val="20"/>
          <w:shd w:fill="FFFFFF" w:val="clear"/>
        </w:rPr>
        <w:t>” or “</w:t>
      </w:r>
      <w:r>
        <w:rPr>
          <w:rFonts w:ascii="Times New Roman;Times;Serif" w:hAnsi="Times New Roman;Times;Serif"/>
          <w:b/>
          <w:i w:val="false"/>
          <w:caps w:val="false"/>
          <w:smallCaps w:val="false"/>
          <w:sz w:val="20"/>
          <w:shd w:fill="FFFFFF" w:val="clear"/>
        </w:rPr>
        <w:t>Cumberland</w:t>
      </w:r>
      <w:r>
        <w:rPr>
          <w:rFonts w:ascii="Times New Roman;Times;Serif" w:hAnsi="Times New Roman;Times;Serif"/>
          <w:b w:val="false"/>
          <w:i w:val="false"/>
          <w:caps w:val="false"/>
          <w:smallCaps w:val="false"/>
          <w:sz w:val="20"/>
          <w:shd w:fill="FFFFFF" w:val="clear"/>
        </w:rPr>
        <w:t>”) with the U.S. branded business of an affiliate of Apotex Inc., a corporation incorporated under the laws of the Province of Ontario (“</w:t>
      </w:r>
      <w:r>
        <w:rPr>
          <w:rFonts w:ascii="Times New Roman;Times;Serif" w:hAnsi="Times New Roman;Times;Serif"/>
          <w:b/>
          <w:i w:val="false"/>
          <w:caps w:val="false"/>
          <w:smallCaps w:val="false"/>
          <w:sz w:val="20"/>
          <w:shd w:fill="FFFFFF" w:val="clear"/>
        </w:rPr>
        <w:t>Apotex</w:t>
      </w:r>
      <w:r>
        <w:rPr>
          <w:rFonts w:ascii="Times New Roman;Times;Serif" w:hAnsi="Times New Roman;Times;Serif"/>
          <w:b w:val="false"/>
          <w:i w:val="false"/>
          <w:caps w:val="false"/>
          <w:smallCaps w:val="false"/>
          <w:sz w:val="20"/>
          <w:shd w:fill="FFFFFF" w:val="clear"/>
        </w:rPr>
        <w:t>”). The Transaction was effected through the Asset Purchase Agreement (the “</w:t>
      </w:r>
      <w:r>
        <w:rPr>
          <w:rFonts w:ascii="Times New Roman;Times;Serif" w:hAnsi="Times New Roman;Times;Serif"/>
          <w:b/>
          <w:i w:val="false"/>
          <w:caps w:val="false"/>
          <w:smallCaps w:val="false"/>
          <w:sz w:val="20"/>
          <w:shd w:fill="FFFFFF" w:val="clear"/>
        </w:rPr>
        <w:t>Agreement</w:t>
      </w:r>
      <w:r>
        <w:rPr>
          <w:rFonts w:ascii="Times New Roman;Times;Serif" w:hAnsi="Times New Roman;Times;Serif"/>
          <w:b w:val="false"/>
          <w:i w:val="false"/>
          <w:caps w:val="false"/>
          <w:smallCaps w:val="false"/>
          <w:sz w:val="20"/>
          <w:shd w:fill="FFFFFF" w:val="clear"/>
        </w:rPr>
        <w:t>”), dated as of April 22, 2026, by and among Nuvo Pharmaceuticals (Ireland) DAC (“</w:t>
      </w:r>
      <w:r>
        <w:rPr>
          <w:rFonts w:ascii="Times New Roman;Times;Serif" w:hAnsi="Times New Roman;Times;Serif"/>
          <w:b/>
          <w:i w:val="false"/>
          <w:caps w:val="false"/>
          <w:smallCaps w:val="false"/>
          <w:sz w:val="20"/>
          <w:shd w:fill="FFFFFF" w:val="clear"/>
        </w:rPr>
        <w:t>Nuvo</w:t>
      </w:r>
      <w:r>
        <w:rPr>
          <w:rFonts w:ascii="Times New Roman;Times;Serif" w:hAnsi="Times New Roman;Times;Serif"/>
          <w:b w:val="false"/>
          <w:i w:val="false"/>
          <w:caps w:val="false"/>
          <w:smallCaps w:val="false"/>
          <w:sz w:val="20"/>
          <w:shd w:fill="FFFFFF" w:val="clear"/>
        </w:rPr>
        <w:t>”), Apotex and the Company, whereby Nuvo and certain affiliates of Apotex acquired the Company’s FDA-approved products, consisting of Acetadote</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Caldolor</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Kristalose</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Sancuso</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Vaprisol</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Vibativ</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as well as the Company’s certain product related equity interests (collectively, the “</w:t>
      </w:r>
      <w:r>
        <w:rPr>
          <w:rFonts w:ascii="Times New Roman;Times;Serif" w:hAnsi="Times New Roman;Times;Serif"/>
          <w:b/>
          <w:i w:val="false"/>
          <w:caps w:val="false"/>
          <w:smallCaps w:val="false"/>
          <w:sz w:val="20"/>
          <w:shd w:fill="FFFFFF" w:val="clear"/>
        </w:rPr>
        <w:t>Assets</w:t>
      </w:r>
      <w:r>
        <w:rPr>
          <w:rFonts w:ascii="Times New Roman;Times;Serif" w:hAnsi="Times New Roman;Times;Serif"/>
          <w:b w:val="false"/>
          <w:i w:val="false"/>
          <w:caps w:val="false"/>
          <w:smallCaps w:val="false"/>
          <w:sz w:val="20"/>
          <w:shd w:fill="FFFFFF" w:val="clear"/>
        </w:rPr>
        <w:t>”). Cumberland has retained the assets associated with the Company’s ifetroban product candidates and Cumberland Emerging Technologies, Inc. (the “</w:t>
      </w:r>
      <w:r>
        <w:rPr>
          <w:rFonts w:ascii="Times New Roman;Times;Serif" w:hAnsi="Times New Roman;Times;Serif"/>
          <w:b/>
          <w:i w:val="false"/>
          <w:caps w:val="false"/>
          <w:smallCaps w:val="false"/>
          <w:sz w:val="20"/>
          <w:shd w:fill="FFFFFF" w:val="clear"/>
        </w:rPr>
        <w:t>Retained Programs</w:t>
      </w:r>
      <w:r>
        <w:rPr>
          <w:rFonts w:ascii="Times New Roman;Times;Serif" w:hAnsi="Times New Roman;Times;Serif"/>
          <w:b w:val="false"/>
          <w:i w:val="false"/>
          <w:caps w:val="false"/>
          <w:smallCaps w:val="false"/>
          <w:sz w:val="20"/>
          <w:shd w:fill="FFFFFF" w:val="clear"/>
        </w:rPr>
        <w:t>”), which the Company intends to continue to develop.</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Cumberland and Nuvo entered into Amendment No. 1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the Agreement to exclude certain contracts from the Assets being transferred to Nuvo in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does not purport to be complete and is qualified in its entirety by reference to the full text of the Amendment filed herewith as </w:t>
      </w:r>
      <w:r>
        <w:rPr>
          <w:rFonts w:ascii="Times New Roman;Times;Serif" w:hAnsi="Times New Roman;Times;Serif"/>
          <w:b w:val="false"/>
          <w:i w:val="false"/>
          <w:caps w:val="false"/>
          <w:smallCaps w:val="false"/>
          <w:sz w:val="20"/>
          <w:u w:val="single"/>
        </w:rPr>
        <w:t>Exhibit 2.2</w:t>
      </w:r>
      <w:r>
        <w:rPr>
          <w:rFonts w:ascii="Times New Roman;Times;Serif" w:hAnsi="Times New Roman;Times;Serif"/>
          <w:b w:val="false"/>
          <w:i w:val="false"/>
          <w:caps w:val="false"/>
          <w:smallCaps w:val="false"/>
          <w:sz w:val="20"/>
        </w:rPr>
        <w:t>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980"/>
        <w:gridCol w:w="4955"/>
      </w:tblGrid>
      <w:tr>
        <w:trPr/>
        <w:tc>
          <w:tcPr>
            <w:tcW w:w="980" w:type="dxa"/>
            <w:tcBorders/>
            <w:vAlign w:val="center"/>
          </w:tcPr>
          <w:p>
            <w:pPr>
              <w:pStyle w:val="TableContents"/>
              <w:bidi w:val="0"/>
              <w:spacing w:before="0" w:after="283"/>
              <w:jc w:val="left"/>
              <w:rPr>
                <w:b/>
              </w:rPr>
            </w:pPr>
            <w:r>
              <w:rPr>
                <w:b/>
              </w:rPr>
              <w:t>Item 1.02</w:t>
            </w:r>
          </w:p>
        </w:tc>
        <w:tc>
          <w:tcPr>
            <w:tcW w:w="4955" w:type="dxa"/>
            <w:tcBorders/>
            <w:vAlign w:val="center"/>
          </w:tcPr>
          <w:p>
            <w:pPr>
              <w:pStyle w:val="TableContents"/>
              <w:bidi w:val="0"/>
              <w:spacing w:before="0" w:after="283"/>
              <w:jc w:val="left"/>
              <w:rPr>
                <w:b/>
              </w:rPr>
            </w:pPr>
            <w:r>
              <w:rPr>
                <w:b/>
              </w:rPr>
              <w:t>Termination of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in connection with the closing of the Transaction, Cumberland terminated and repaid in full all outstanding obligations (approximately $5.3 million) due under that certain Revolving Credit Loan Agreement, dated as of September 5, 2023, by and between Pinnacle Bank and the Company (as amended,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 In connection with the termination and repayment in full of all outstanding obligations under the Loan Agreement, all related liens and security interests were terminated, discharged and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is more fully described in the Company’s Quarterly Report on Form 10-Q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May 8, 2026, which description is incorporated herein by reference. The description of the Loan Agreement incorporated by reference is not complete and is subject to and entirely qualified by reference to the full text of the Loan Agreement.</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980"/>
        <w:gridCol w:w="5165"/>
      </w:tblGrid>
      <w:tr>
        <w:trPr/>
        <w:tc>
          <w:tcPr>
            <w:tcW w:w="980" w:type="dxa"/>
            <w:tcBorders/>
            <w:vAlign w:val="center"/>
          </w:tcPr>
          <w:p>
            <w:pPr>
              <w:pStyle w:val="TableContents"/>
              <w:bidi w:val="0"/>
              <w:spacing w:before="0" w:after="283"/>
              <w:jc w:val="left"/>
              <w:rPr>
                <w:b/>
              </w:rPr>
            </w:pPr>
            <w:r>
              <w:rPr>
                <w:b/>
              </w:rPr>
              <w:t>Item 2.01</w:t>
            </w:r>
          </w:p>
        </w:tc>
        <w:tc>
          <w:tcPr>
            <w:tcW w:w="5165" w:type="dxa"/>
            <w:tcBorders/>
            <w:vAlign w:val="center"/>
          </w:tcPr>
          <w:p>
            <w:pPr>
              <w:pStyle w:val="TableContents"/>
              <w:bidi w:val="0"/>
              <w:spacing w:before="0" w:after="283"/>
              <w:jc w:val="left"/>
              <w:rPr>
                <w:b/>
              </w:rPr>
            </w:pPr>
            <w:r>
              <w:rPr>
                <w:b/>
              </w:rPr>
              <w:t>Completion of Acquisition or Disposition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Cumberland completed the sale of the Assets to Nuvo and certain affiliates of Apotex for aggregate cash consideration to the Company of $100 million pursuant to the terms of the Agreement. The Transaction was approved by the shareholders of the Company at the special meeting of the Company’s shareholders held on June 24, 2026, as described in the definitive proxy statement filed by the Company with the SEC on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as Exhibit 99.2, and incorporated herein by reference, is unaudited pro forma financial information of the Company as of March 31, 2026, consisting of the unaudited pro forma condensed balance sheet as of March 31, 2026, and the unaudited pro forma condensed statements of operations for the years ended December 31, 2025 and 2024, and the three months ended March 31, 2026, giving effect to the Transaction. The unaudited pro forma financial information included as an exhibit to this Current Report on Form 8-K is presented for illustrative purposes only and is not necessarily indicative of what the Company’s actual financial position or results of operations would have been had the Transaction been completed on the dates indicated. The unaudited pro forma financial information reflects adjustments, which are based upon estimates. The information upon which these adjustments and assumptions have been made is preliminary, and these kinds of adjustments and assumptions are difficult to make with complete accuracy. Moreover, the pro forma financial information does not reflect all costs that are expected to be incurred by the Company. Accordingly, the final accounting adjustments may differ materially from the pro forma information included as an exhibit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8"/>
        <w:gridCol w:w="9427"/>
      </w:tblGrid>
      <w:tr>
        <w:trPr/>
        <w:tc>
          <w:tcPr>
            <w:tcW w:w="778" w:type="dxa"/>
            <w:tcBorders/>
            <w:vAlign w:val="center"/>
          </w:tcPr>
          <w:p>
            <w:pPr>
              <w:pStyle w:val="TableContents"/>
              <w:bidi w:val="0"/>
              <w:spacing w:before="0" w:after="283"/>
              <w:jc w:val="left"/>
              <w:rPr>
                <w:b/>
              </w:rPr>
            </w:pPr>
            <w:r>
              <w:rPr>
                <w:b/>
              </w:rPr>
              <w:t>Item 5.02</w:t>
            </w:r>
          </w:p>
        </w:tc>
        <w:tc>
          <w:tcPr>
            <w:tcW w:w="9427"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31, 2026, in connection with the closing of the Transaction, Chris T. Bitterman, Vice President Sales &amp; Marketing, and James L. Herman, Vice President Trade &amp; Distribution and Corporate Compliance Officer, will resign from the Company and will be hired by an affiliate of Apotex. As of July 1, 2026, both officers signed offer letters for employment with an affiliate of Apotex.</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both"/>
              <w:rPr/>
            </w:pPr>
            <w:r>
              <w:rPr>
                <w:b/>
              </w:rPr>
              <w:t>Other Events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2026, the Company issued a press release announcing the closing of the Transaction. A copy of the press release is furnished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attached exhibits contain “forward-looking statements” within the meaning of the federal securities laws. These forward-looking statements include statements concerning the Company’s outlook for the future, as well as other statements of beliefs, future plans and strategies or anticipated events, and similar expressions concerning matters that are not historical facts. These statements can be identified by the use of forward-looking terminology such as “believes,” “continues,” “estimates,” “anticipates,” “expects,” “plans,” “intends,” “may,” “could,” “might,” “will,” “should,” or the negative thereof or other variations thereon or other comparable terminology. The forward-looking statements included in this Current Report on Form 8-K or the attached exhibits are based on management’s current expectations and assumptions about future events, which are inherently subject to uncertainties, risks and changes in circumstances that are difficult to predict and could cause actual results to differ materially from those expressed in, or implied by, the forward-looking statements. These risks and uncertainties include, but are not limited to, the following: an increase in the anticipated amount of costs, fees, expenses and other charges related to the Transaction; risks arising from the diversion of management’s attention from the Company’s ongoing business operations; risks associated with the use of proceeds from the Transaction and the Company’s ability to identify and realize business opportunities following the Transaction; risks of losing key personnel, customers, distributors, or suppliers; protection of the Company’s intellectual property; government policies and regulations, including, but not limited to those affecting the Company’s industry; and the matters discussed under “Item 1A. Risk Factors” of the Company’s Annual Report on Form 10-K for the fiscal year ended December 31, 2025, as amended and updated from time to time in the Company’s subsequent filings with the SEC. Readers are cautioned not to place undue reliance on forward-looking statements. Any forward-looking statement speaks only as of the date that it was made and the Company undertakes no obligation to update any forward-looking statement, whether as a result of new information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980"/>
        <w:gridCol w:w="3500"/>
      </w:tblGrid>
      <w:tr>
        <w:trPr/>
        <w:tc>
          <w:tcPr>
            <w:tcW w:w="980"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Filed herewith as Exhibit 99.2 are the unaudited pro forma condensed balance sheet as of March 31, 2026, and the unaudited pro forma condensed statements of operations for the years ended December 31, 2025 and 2024, and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7"/>
        <w:gridCol w:w="60"/>
        <w:gridCol w:w="9378"/>
      </w:tblGrid>
      <w:tr>
        <w:trPr/>
        <w:tc>
          <w:tcPr>
            <w:tcW w:w="767"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78"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hyperlink r:id="rId2">
              <w:r>
                <w:rPr>
                  <w:rStyle w:val="InternetLink"/>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hyperlink r:id="rId3">
              <w:r>
                <w:rPr>
                  <w:rStyle w:val="InternetLink"/>
                  <w:sz w:val="20"/>
                </w:rPr>
                <w:t>Asset Purchase Agreement, dated as of April 22, 2026, by and among Cumberland Pharmaceuticals Inc., Nuvo Pharmaceuticals (Ireland) DAC, and Apotex Inc. (incorporated by reference to Exhibit 2.1 to the Company’s Current Report on Form 8-K filed with the SEC on April 23, 2026)</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hyperlink w:anchor="tm2619330d1_ex2-2.htm">
              <w:r>
                <w:rPr>
                  <w:rStyle w:val="InternetLink"/>
                  <w:sz w:val="20"/>
                </w:rPr>
                <w:t>2.2*</w:t>
              </w:r>
            </w:hyperlink>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hyperlink w:anchor="tm2619330d1_ex2-2.htm">
              <w:r>
                <w:rPr>
                  <w:rStyle w:val="InternetLink"/>
                  <w:sz w:val="20"/>
                </w:rPr>
                <w:t>Amendment No. 1 to the Asset Purchase Agreement, dated as of July 1, 2026, by and between Cumberland Pharmaceuticals Inc. and Nuvo Pharmaceuticals (Ireland) DAC</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hyperlink w:anchor="tm2619330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hyperlink w:anchor="tm2619330d1_ex99-1.htm">
              <w:r>
                <w:rPr>
                  <w:rStyle w:val="InternetLink"/>
                  <w:sz w:val="20"/>
                </w:rPr>
                <w:t>Press Release, dated as of July 1, 2026, announcing the closing of the Transaction</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hyperlink w:anchor="tm2619330d1_ex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hyperlink w:anchor="tm2619330d1_ex99-2.htm">
              <w:r>
                <w:rPr>
                  <w:rStyle w:val="InternetLink"/>
                  <w:sz w:val="20"/>
                </w:rPr>
                <w:t>Unaudited condensed pro forma financial statements of Cumberland Pharmaceuticals Inc., consisting of the unaudited pro forma condensed balance sheet as of March 31, 2026, and the unaudited pro forma condensed statements of operations for the years ended December 31, 2025 and 2024, and the three months ended March 31, 2026</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sz w:val="20"/>
              </w:rPr>
            </w:pPr>
            <w:r>
              <w:rPr>
                <w:sz w:val="20"/>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and exhibits have been omitted pursuant to Item 601(a)(5) of Regulation S-K. The Company hereby undertakes to furnish supplemental copies of any of the omitted schedules or exhibits upon request by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74" w:type="dxa"/>
        <w:jc w:val="left"/>
        <w:tblInd w:w="0" w:type="dxa"/>
        <w:tblLayout w:type="fixed"/>
        <w:tblCellMar>
          <w:top w:w="0" w:type="dxa"/>
          <w:left w:w="0" w:type="dxa"/>
          <w:bottom w:w="0" w:type="dxa"/>
          <w:right w:w="0" w:type="dxa"/>
        </w:tblCellMar>
      </w:tblPr>
      <w:tblGrid>
        <w:gridCol w:w="1625"/>
        <w:gridCol w:w="386"/>
        <w:gridCol w:w="2363"/>
      </w:tblGrid>
      <w:tr>
        <w:trPr/>
        <w:tc>
          <w:tcPr>
            <w:tcW w:w="162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Cumberland Pharmaceuticals Inc.</w:t>
            </w:r>
          </w:p>
        </w:tc>
      </w:tr>
      <w:tr>
        <w:trPr/>
        <w:tc>
          <w:tcPr>
            <w:tcW w:w="162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1, 2026</w:t>
            </w:r>
          </w:p>
        </w:tc>
        <w:tc>
          <w:tcPr>
            <w:tcW w:w="3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 J. Kazimi</w:t>
            </w:r>
          </w:p>
        </w:tc>
      </w:tr>
      <w:tr>
        <w:trPr/>
        <w:tc>
          <w:tcPr>
            <w:tcW w:w="162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J. Kazimi</w:t>
            </w:r>
          </w:p>
        </w:tc>
      </w:tr>
      <w:tr>
        <w:trPr/>
        <w:tc>
          <w:tcPr>
            <w:tcW w:w="162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tm2619330d1_ex2-2.htm"/>
      <w:bookmarkStart w:id="23" w:name="kstm2619330d1_ex22"/>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the Asset Purchase Agreement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made and entered into as of July 1, 2026, by and between Nuvo Pharmaceuticals (Ireland) DAC, an Ireland designated activity company (“</w:t>
      </w:r>
      <w:r>
        <w:rPr>
          <w:rFonts w:ascii="Times New Roman;Times;Serif" w:hAnsi="Times New Roman;Times;Serif"/>
          <w:b w:val="false"/>
          <w:i w:val="false"/>
          <w:caps w:val="false"/>
          <w:smallCaps w:val="false"/>
          <w:sz w:val="20"/>
          <w:u w:val="single"/>
        </w:rPr>
        <w:t>Apotex</w:t>
      </w:r>
      <w:r>
        <w:rPr>
          <w:rFonts w:ascii="Times New Roman;Times;Serif" w:hAnsi="Times New Roman;Times;Serif"/>
          <w:b w:val="false"/>
          <w:i w:val="false"/>
          <w:caps w:val="false"/>
          <w:smallCaps w:val="false"/>
          <w:sz w:val="20"/>
        </w:rPr>
        <w:t>”), and and Cumberland Pharmaceuticals Inc., a corporation organized under the laws of Tennessee (“</w:t>
      </w:r>
      <w:r>
        <w:rPr>
          <w:rFonts w:ascii="Times New Roman;Times;Serif" w:hAnsi="Times New Roman;Times;Serif"/>
          <w:b w:val="false"/>
          <w:i w:val="false"/>
          <w:caps w:val="false"/>
          <w:smallCaps w:val="false"/>
          <w:sz w:val="20"/>
          <w:u w:val="single"/>
        </w:rPr>
        <w:t>Cumberland</w:t>
      </w:r>
      <w:r>
        <w:rPr>
          <w:rFonts w:ascii="Times New Roman;Times;Serif" w:hAnsi="Times New Roman;Times;Serif"/>
          <w:b w:val="false"/>
          <w:i w:val="false"/>
          <w:caps w:val="false"/>
          <w:smallCaps w:val="false"/>
          <w:sz w:val="20"/>
        </w:rPr>
        <w:t>”). Apotex and Cumberland are referred to herein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together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Apotex, Apotex Inc., a corporation incorporated under the laws of the Province of Ontario, and Cumberland entered into that certain Asset Purchase Agreement, effective as of the 22nd day of April, 2026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11.4 of the Purchase Agreement, the Purchase Agreement may not be amended except by an instrument in writing signed by authorized signatories on behalf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amend certain terms of the Purchase Agreement, in each case as more fully set forth in this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capitalized terms used in this Amendment and not otherwise defined herein have the respective meanings given to them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promises set forth in this Amendment, and other good and valuable consideration, the receipt and sufficiency of which are hereby acknowledged, the Parties hereby agree as follows:</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15"/>
        <w:gridCol w:w="1355"/>
      </w:tblGrid>
      <w:tr>
        <w:trPr/>
        <w:tc>
          <w:tcPr>
            <w:tcW w:w="215" w:type="dxa"/>
            <w:tcBorders/>
            <w:vAlign w:val="center"/>
          </w:tcPr>
          <w:p>
            <w:pPr>
              <w:pStyle w:val="TableContents"/>
              <w:bidi w:val="0"/>
              <w:spacing w:before="0" w:after="283"/>
              <w:jc w:val="left"/>
              <w:rPr/>
            </w:pPr>
            <w:r>
              <w:rPr/>
              <w:t>1.</w:t>
            </w:r>
          </w:p>
        </w:tc>
        <w:tc>
          <w:tcPr>
            <w:tcW w:w="1355" w:type="dxa"/>
            <w:tcBorders/>
            <w:vAlign w:val="center"/>
          </w:tcPr>
          <w:p>
            <w:pPr>
              <w:pStyle w:val="TableContents"/>
              <w:bidi w:val="0"/>
              <w:spacing w:before="0" w:after="283"/>
              <w:jc w:val="both"/>
              <w:rPr/>
            </w:pPr>
            <w:r>
              <w:rPr>
                <w:u w:val="single"/>
              </w:rPr>
              <w:t>Amendments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u w:val="single"/>
              </w:rPr>
              <w:t>Amendment to the Definition of “Transferred Contract(s)”</w:t>
            </w:r>
            <w:r>
              <w:rPr/>
              <w:t>. The definition of “Transferred Contract(s)” contained in Section 1.1 of the Purchase Agreement is hereby amended and restated in its entirety to read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Contract(s)</w:t>
      </w:r>
      <w:r>
        <w:rPr>
          <w:rFonts w:ascii="Times New Roman;Times;Serif" w:hAnsi="Times New Roman;Times;Serif"/>
          <w:b w:val="false"/>
          <w:i w:val="false"/>
          <w:caps w:val="false"/>
          <w:smallCaps w:val="false"/>
          <w:sz w:val="20"/>
        </w:rPr>
        <w:t xml:space="preserve">’ means all Contracts exclusively or primarily related to the Business, including the Material Contracts required to be set forth on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of the Disclosure Schedules;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Transferred Contracts shall exclude those Contracts listed on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u w:val="single"/>
              </w:rPr>
              <w:t>Addition of Exhibit E</w:t>
            </w:r>
            <w:r>
              <w:rPr/>
              <w:t xml:space="preserve">. </w:t>
            </w:r>
            <w:r>
              <w:rPr>
                <w:u w:val="single"/>
              </w:rPr>
              <w:t>Exhibit E</w:t>
            </w:r>
            <w:r>
              <w:rPr/>
              <w:t xml:space="preserve"> attached hereto shall be deemed added and attached as Exhibit E to the Purchase Agreement. The Contracts set forth on </w:t>
            </w:r>
            <w:r>
              <w:rPr>
                <w:u w:val="single"/>
              </w:rPr>
              <w:t>Exhibit E</w:t>
            </w:r>
            <w:r>
              <w:rPr/>
              <w:t xml:space="preserve"> attached hereto shall be excluded from the Transferred Contracts and, for the avoidance of doubt, shall not constitute Acquired Assets, and the Assumed Liabilities shall not include any obligations under such excluded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2.</w:t>
            </w:r>
          </w:p>
        </w:tc>
        <w:tc>
          <w:tcPr>
            <w:tcW w:w="10032" w:type="dxa"/>
            <w:tcBorders/>
            <w:vAlign w:val="center"/>
          </w:tcPr>
          <w:p>
            <w:pPr>
              <w:pStyle w:val="TableContents"/>
              <w:bidi w:val="0"/>
              <w:spacing w:before="0" w:after="283"/>
              <w:jc w:val="both"/>
              <w:rPr/>
            </w:pPr>
            <w:r>
              <w:rPr>
                <w:u w:val="single"/>
              </w:rPr>
              <w:t>Ratification</w:t>
            </w:r>
            <w:r>
              <w:rPr/>
              <w:t>. Except as amended hereby, the terms and provisions of the Purchase Agreement shall remain unchanged and in full force and effect. In the event of any conflict between the terms of the Purchase Agreement and the terms of this Amendment, the terms of this Amendment shall govern and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3.</w:t>
            </w:r>
          </w:p>
        </w:tc>
        <w:tc>
          <w:tcPr>
            <w:tcW w:w="10037" w:type="dxa"/>
            <w:tcBorders/>
            <w:vAlign w:val="center"/>
          </w:tcPr>
          <w:p>
            <w:pPr>
              <w:pStyle w:val="TableContents"/>
              <w:bidi w:val="0"/>
              <w:spacing w:before="0" w:after="283"/>
              <w:jc w:val="both"/>
              <w:rPr/>
            </w:pPr>
            <w:r>
              <w:rPr>
                <w:u w:val="single"/>
              </w:rPr>
              <w:t>Complete Agreement</w:t>
            </w:r>
            <w:r>
              <w:rPr/>
              <w:t>. This Amendment and the Purchase Agreement, together with the schedules and exhibits referred to therein (including the Disclosure Schedules and Exhibit E hereto), contain the complete agreement among the Parties and supersede any prior understandings, agreements or representations by or among the Parties, written or oral, which may have related to the subject matter hereof in any way.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4.</w:t>
            </w:r>
          </w:p>
        </w:tc>
        <w:tc>
          <w:tcPr>
            <w:tcW w:w="10031" w:type="dxa"/>
            <w:tcBorders/>
            <w:vAlign w:val="center"/>
          </w:tcPr>
          <w:p>
            <w:pPr>
              <w:pStyle w:val="TableContents"/>
              <w:bidi w:val="0"/>
              <w:spacing w:before="0" w:after="283"/>
              <w:jc w:val="both"/>
              <w:rPr/>
            </w:pPr>
            <w:r>
              <w:rPr>
                <w:u w:val="single"/>
              </w:rPr>
              <w:t>Miscellaneous</w:t>
            </w:r>
            <w:r>
              <w:rPr/>
              <w:t>. Sections 11.4 (</w:t>
            </w:r>
            <w:r>
              <w:rPr>
                <w:i/>
              </w:rPr>
              <w:t>Amendments and Waivers</w:t>
            </w:r>
            <w:r>
              <w:rPr/>
              <w:t>), 11.5 (</w:t>
            </w:r>
            <w:r>
              <w:rPr>
                <w:i/>
              </w:rPr>
              <w:t>Notices</w:t>
            </w:r>
            <w:r>
              <w:rPr/>
              <w:t>), 11.6 (</w:t>
            </w:r>
            <w:r>
              <w:rPr>
                <w:i/>
              </w:rPr>
              <w:t>Headings</w:t>
            </w:r>
            <w:r>
              <w:rPr/>
              <w:t>), 11.7 (</w:t>
            </w:r>
            <w:r>
              <w:rPr>
                <w:i/>
              </w:rPr>
              <w:t>Severability</w:t>
            </w:r>
            <w:r>
              <w:rPr/>
              <w:t>), 11.8 (</w:t>
            </w:r>
            <w:r>
              <w:rPr>
                <w:i/>
              </w:rPr>
              <w:t>Counterparts</w:t>
            </w:r>
            <w:r>
              <w:rPr/>
              <w:t>), 11.11 (</w:t>
            </w:r>
            <w:r>
              <w:rPr>
                <w:i/>
              </w:rPr>
              <w:t>Governing Law; Choice of Law</w:t>
            </w:r>
            <w:r>
              <w:rPr/>
              <w:t>) and 11.13 (</w:t>
            </w:r>
            <w:r>
              <w:rPr>
                <w:i/>
              </w:rPr>
              <w:t>Dispute Resolution; Waiver of Jury Trial</w:t>
            </w:r>
            <w:r>
              <w:rPr/>
              <w:t xml:space="preserve">) of the Purchase Agreement apply to this Amendment </w:t>
            </w:r>
            <w:r>
              <w:rPr>
                <w:i/>
              </w:rPr>
              <w:t>mutatis mutandis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executed this Amendment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039" w:type="dxa"/>
        <w:jc w:val="left"/>
        <w:tblInd w:w="0" w:type="dxa"/>
        <w:tblLayout w:type="fixed"/>
        <w:tblCellMar>
          <w:top w:w="0" w:type="dxa"/>
          <w:left w:w="0" w:type="dxa"/>
          <w:bottom w:w="0" w:type="dxa"/>
          <w:right w:w="0" w:type="dxa"/>
        </w:tblCellMar>
      </w:tblPr>
      <w:tblGrid>
        <w:gridCol w:w="888"/>
        <w:gridCol w:w="3076"/>
        <w:gridCol w:w="75"/>
      </w:tblGrid>
      <w:tr>
        <w:trPr/>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NUVO PHARMACEUTICALS (IRELAND) DAC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Gary McCloskey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McCloskey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CUMBERLAND PHARMACEUTICALS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A.J. Kazimi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A.J. Kazimi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1 to Asset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Excluded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4" w:name="tm2619330d1_ex99-1.htm"/>
      <w:bookmarkStart w:id="25" w:name="kstm2619330d1_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35718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3571875" cy="8477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Cumberland Pharmaceuticals Closes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Transaction with Apotex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$100 million Transaction Follows Cumberland Shareholder Approval</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Strengthens Cumberland’s Focus on Rare Disease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NASHVILLE, Tenn. (July 1, 2026) - Cumberland Pharmaceuticals Inc. (Nasdaq: CPIX)</w:t>
      </w:r>
      <w:r>
        <w:rPr>
          <w:rFonts w:ascii="Times New Roman;Times;Serif" w:hAnsi="Times New Roman;Times;Serif"/>
          <w:b w:val="false"/>
          <w:i w:val="false"/>
          <w:caps w:val="false"/>
          <w:smallCaps w:val="false"/>
          <w:sz w:val="20"/>
        </w:rPr>
        <w:t xml:space="preserve">, a U.S. biopharmaceutical company, today announced the closing on an agreement with subsidiary of Apotex Health Corp. (“Apotex”), the largest Canadian-based pharmaceutical company, to integrate their branded U.S. businesses. Under the terms of the agreement, Apotex has acquired Cumberland’s line of branded pharmaceuticals for cash consideration of $100 million funded at closing, which followed approval by Cumberland’s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complete this value-creating transaction, which was strongly supported by our shareholders with over 99% of the votes cast in favor of the transaction,” said A.J. Kazimi, CEO of Cumberland. “This milestone significantly strengthens our financial position, enabling us to focus on the large market opportunities associated with our pipeline programs. Our goals are to deliver innovative new products to improve patient care, while continuing to build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Cumberland has retained its robust portfolio of innovative product candidates and its majority ownership position in </w:t>
      </w:r>
      <w:r>
        <w:rPr>
          <w:rFonts w:ascii="Times New Roman;Times;Serif" w:hAnsi="Times New Roman;Times;Serif"/>
          <w:b w:val="false"/>
          <w:i/>
          <w:caps w:val="false"/>
          <w:smallCaps w:val="false"/>
          <w:sz w:val="20"/>
        </w:rPr>
        <w:t>Cumberland Emerging Technologies Inc</w:t>
      </w:r>
      <w:r>
        <w:rPr>
          <w:rFonts w:ascii="Times New Roman;Times;Serif" w:hAnsi="Times New Roman;Times;Serif"/>
          <w:b w:val="false"/>
          <w:i w:val="false"/>
          <w:caps w:val="false"/>
          <w:smallCaps w:val="false"/>
          <w:sz w:val="20"/>
        </w:rPr>
        <w:t>. Following the closing, Cumberland will focus its resources on developing ifetroban, a potent thromboxane antagonist currently being studied across clinical programs targeting serious rare and progressive diseases:</w:t>
      </w:r>
    </w:p>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40"/>
        <w:gridCol w:w="5180"/>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5180" w:type="dxa"/>
            <w:tcBorders/>
            <w:vAlign w:val="center"/>
          </w:tcPr>
          <w:p>
            <w:pPr>
              <w:pStyle w:val="TableContents"/>
              <w:bidi w:val="0"/>
              <w:spacing w:before="0" w:after="283"/>
              <w:jc w:val="both"/>
              <w:rPr>
                <w:b/>
              </w:rPr>
            </w:pPr>
            <w:r>
              <w:rPr>
                <w:b/>
              </w:rPr>
              <w:t xml:space="preserve">Duchenne Muscular Dystrophy Cardiomyopathy: </w:t>
            </w:r>
          </w:p>
        </w:tc>
      </w:tr>
    </w:tbl>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Cumberland announced breakthrough results in a Phase II clinical study of ifetroban in patients with cardiomyopathy associated with this rare, fatal genetic neuromuscular disease. Interactions with the FDA have been underway regarding study results and requirements for approval. The program has received FDA Orphan Drug, Rare Pediatric Disease and Fast Track designations.</w:t>
      </w:r>
    </w:p>
    <w:p>
      <w:pPr>
        <w:pStyle w:val="TextBody"/>
        <w:pBdr/>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140"/>
        <w:gridCol w:w="198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985" w:type="dxa"/>
            <w:tcBorders/>
            <w:vAlign w:val="center"/>
          </w:tcPr>
          <w:p>
            <w:pPr>
              <w:pStyle w:val="TableContents"/>
              <w:bidi w:val="0"/>
              <w:spacing w:before="0" w:after="283"/>
              <w:jc w:val="both"/>
              <w:rPr>
                <w:b/>
              </w:rPr>
            </w:pPr>
            <w:r>
              <w:rPr>
                <w:b/>
              </w:rPr>
              <w:t xml:space="preserve">Systemic Sclerosis: </w:t>
            </w:r>
          </w:p>
        </w:tc>
      </w:tr>
    </w:tbl>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Cumberland has conducted a Phase II clinical study evaluating the safety of ifetroban in patients with this debilitating autoimmune disorder. Evaluation of the study data is underway with top-line results anticipated as the next milestone.</w:t>
      </w:r>
    </w:p>
    <w:p>
      <w:pPr>
        <w:pStyle w:val="TextBody"/>
        <w:pBdr/>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3275" w:type="dxa"/>
            <w:tcBorders/>
            <w:vAlign w:val="center"/>
          </w:tcPr>
          <w:p>
            <w:pPr>
              <w:pStyle w:val="TableContents"/>
              <w:bidi w:val="0"/>
              <w:spacing w:before="0" w:after="283"/>
              <w:jc w:val="both"/>
              <w:rPr>
                <w:b/>
              </w:rPr>
            </w:pPr>
            <w:r>
              <w:rPr>
                <w:b/>
              </w:rPr>
              <w:t xml:space="preserve">Idiopathic Pulmonary Fibrosis: </w:t>
            </w:r>
          </w:p>
        </w:tc>
      </w:tr>
    </w:tbl>
    <w:p>
      <w:pPr>
        <w:pStyle w:val="TextBody"/>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II study evaluating ifetroban in patients with the most common form of progressive fibrosing interstitial lung disease is actively enrolling at medical centers across the U.S.. Favorable interim safety findings have been announced and the next milestone is the announcement of the efficacy results.</w:t>
      </w:r>
    </w:p>
    <w:p>
      <w:pPr>
        <w:pStyle w:val="TextBody"/>
        <w:pBdr/>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140"/>
        <w:gridCol w:w="2030"/>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2030" w:type="dxa"/>
            <w:tcBorders/>
            <w:vAlign w:val="center"/>
          </w:tcPr>
          <w:p>
            <w:pPr>
              <w:pStyle w:val="TableContents"/>
              <w:bidi w:val="0"/>
              <w:spacing w:before="0" w:after="283"/>
              <w:jc w:val="both"/>
              <w:rPr>
                <w:b/>
              </w:rPr>
            </w:pPr>
            <w:r>
              <w:rPr>
                <w:b/>
              </w:rPr>
              <w:t xml:space="preserve">Cancer Metastasis: </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Cumberland, in collaboration with Vanderbilt Health, recently announced the results of a Pilot Study of ifetroban in patients with high-risk solid tumors. The findings suggests the potential to block cancer metastasis, as a favorable trend was identified with fewer deaths due to metastatic disease in those receiving ifetroban rather than a placebo. The Phase 2 clinical trial also found ifetroban to be safe and well tolerated in the oncology patients, supporting further development of the drug to prevent cancer metastasis.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Apotex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Apotex (APTX.TO), is a Canadian-based global health company. We improve everyday access to affordable, innovative medicines and health products for millions of people around the world, with a broad portfolio of generic, biosimilar, and innovative branded pharmaceuticals, and consumer health products. Headquartered in Toronto, with regional offices globally, including in the United States, Mexico, and India, we are the largest Canadian-based pharmaceutical company and a health partner of choice for the Americas for pharmaceutical licensing and product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Learn more at </w:t>
      </w:r>
      <w:r>
        <w:rPr>
          <w:rFonts w:ascii="Times New Roman;Times;Serif" w:hAnsi="Times New Roman;Times;Serif"/>
          <w:b/>
          <w:i w:val="false"/>
          <w:caps w:val="false"/>
          <w:smallCaps w:val="false"/>
          <w:sz w:val="20"/>
          <w:u w:val="single"/>
        </w:rPr>
        <w:t>www.apotex.com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Cumberland Pharmaceuticals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Cumberland Pharmaceuticals Inc. is a Nashville-based biopharmaceutical company focused on developing new therapies for rare diseases. The company is advancing a late-stage pipeline of product candidates through a series of late stage clinical studies. The treatments are being developed across multiple therapeutic areas to address serious patient conditions that represent unmet medical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Cumberland's Phase 2 clinical programs are evaluating ifetroban in patients with Duchenne Muscular Dystrophy, Systemic Sclerosis, Idiopathic Pulmonary Fibrosis and Cancer Metastasis.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t>
      </w:r>
      <w:r>
        <w:rPr>
          <w:rFonts w:ascii="Times New Roman;Times;Serif" w:hAnsi="Times New Roman;Times;Serif"/>
          <w:b w:val="false"/>
          <w:i w:val="false"/>
          <w:caps w:val="false"/>
          <w:smallCaps w:val="false"/>
          <w:sz w:val="20"/>
          <w:u w:val="single"/>
        </w:rPr>
        <w:t>www.cumberlandpharma.com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meet FDA standards or supply Cumberland’s products on a timely basis,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Cumberland Pharmaceuticals Inc.</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750"/>
        <w:gridCol w:w="1730"/>
      </w:tblGrid>
      <w:tr>
        <w:trPr/>
        <w:tc>
          <w:tcPr>
            <w:tcW w:w="2750" w:type="dxa"/>
            <w:tcBorders/>
            <w:vAlign w:val="center"/>
          </w:tcPr>
          <w:p>
            <w:pPr>
              <w:pStyle w:val="TableContents"/>
              <w:bidi w:val="0"/>
              <w:spacing w:before="0" w:after="283"/>
              <w:jc w:val="left"/>
              <w:rPr>
                <w:b/>
              </w:rPr>
            </w:pPr>
            <w:r>
              <w:rPr>
                <w:b/>
              </w:rPr>
              <w:t>Investor Contact:</w:t>
            </w:r>
          </w:p>
        </w:tc>
        <w:tc>
          <w:tcPr>
            <w:tcW w:w="1730" w:type="dxa"/>
            <w:tcBorders/>
            <w:vAlign w:val="center"/>
          </w:tcPr>
          <w:p>
            <w:pPr>
              <w:pStyle w:val="TableContents"/>
              <w:bidi w:val="0"/>
              <w:spacing w:before="0" w:after="283"/>
              <w:jc w:val="left"/>
              <w:rPr>
                <w:b/>
              </w:rPr>
            </w:pPr>
            <w:r>
              <w:rPr>
                <w:b/>
              </w:rPr>
              <w:t>Medica Contact:</w:t>
            </w:r>
          </w:p>
        </w:tc>
      </w:tr>
      <w:tr>
        <w:trPr/>
        <w:tc>
          <w:tcPr>
            <w:tcW w:w="2750" w:type="dxa"/>
            <w:tcBorders/>
            <w:vAlign w:val="center"/>
          </w:tcPr>
          <w:p>
            <w:pPr>
              <w:pStyle w:val="TableContents"/>
              <w:bidi w:val="0"/>
              <w:spacing w:before="0" w:after="283"/>
              <w:jc w:val="left"/>
              <w:rPr/>
            </w:pPr>
            <w:r>
              <w:rPr/>
              <w:t>Shayla Simpson</w:t>
            </w:r>
          </w:p>
        </w:tc>
        <w:tc>
          <w:tcPr>
            <w:tcW w:w="1730" w:type="dxa"/>
            <w:tcBorders/>
            <w:vAlign w:val="center"/>
          </w:tcPr>
          <w:p>
            <w:pPr>
              <w:pStyle w:val="TableContents"/>
              <w:bidi w:val="0"/>
              <w:spacing w:before="0" w:after="283"/>
              <w:jc w:val="left"/>
              <w:rPr/>
            </w:pPr>
            <w:r>
              <w:rPr/>
              <w:t>Emily Kent</w:t>
            </w:r>
          </w:p>
        </w:tc>
      </w:tr>
      <w:tr>
        <w:trPr/>
        <w:tc>
          <w:tcPr>
            <w:tcW w:w="2750" w:type="dxa"/>
            <w:tcBorders/>
            <w:vAlign w:val="center"/>
          </w:tcPr>
          <w:p>
            <w:pPr>
              <w:pStyle w:val="TableContents"/>
              <w:bidi w:val="0"/>
              <w:spacing w:before="0" w:after="283"/>
              <w:jc w:val="left"/>
              <w:rPr>
                <w:sz w:val="20"/>
              </w:rPr>
            </w:pPr>
            <w:r>
              <w:rPr>
                <w:sz w:val="20"/>
              </w:rPr>
              <w:t>Cumberland Pharmaceuticals Inc.</w:t>
            </w:r>
          </w:p>
        </w:tc>
        <w:tc>
          <w:tcPr>
            <w:tcW w:w="1730" w:type="dxa"/>
            <w:tcBorders/>
            <w:vAlign w:val="center"/>
          </w:tcPr>
          <w:p>
            <w:pPr>
              <w:pStyle w:val="TableContents"/>
              <w:bidi w:val="0"/>
              <w:spacing w:before="0" w:after="283"/>
              <w:jc w:val="left"/>
              <w:rPr>
                <w:sz w:val="20"/>
              </w:rPr>
            </w:pPr>
            <w:r>
              <w:rPr>
                <w:sz w:val="20"/>
              </w:rPr>
              <w:t>Dalton Agency</w:t>
            </w:r>
          </w:p>
        </w:tc>
      </w:tr>
      <w:tr>
        <w:trPr/>
        <w:tc>
          <w:tcPr>
            <w:tcW w:w="2750" w:type="dxa"/>
            <w:tcBorders/>
            <w:vAlign w:val="center"/>
          </w:tcPr>
          <w:p>
            <w:pPr>
              <w:pStyle w:val="TableContents"/>
              <w:bidi w:val="0"/>
              <w:spacing w:before="0" w:after="283"/>
              <w:jc w:val="left"/>
              <w:rPr>
                <w:sz w:val="20"/>
              </w:rPr>
            </w:pPr>
            <w:r>
              <w:rPr>
                <w:sz w:val="20"/>
              </w:rPr>
              <w:t>(615) 255-0068</w:t>
            </w:r>
          </w:p>
        </w:tc>
        <w:tc>
          <w:tcPr>
            <w:tcW w:w="1730" w:type="dxa"/>
            <w:tcBorders/>
            <w:vAlign w:val="center"/>
          </w:tcPr>
          <w:p>
            <w:pPr>
              <w:pStyle w:val="TableContents"/>
              <w:bidi w:val="0"/>
              <w:spacing w:before="0" w:after="283"/>
              <w:jc w:val="left"/>
              <w:rPr>
                <w:sz w:val="20"/>
              </w:rPr>
            </w:pPr>
            <w:r>
              <w:rPr>
                <w:sz w:val="20"/>
              </w:rPr>
              <w:t>(540) 621-5448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6" w:name="tm2619330d1_ex99-2.htm"/>
      <w:bookmarkStart w:id="27" w:name="kstm2619330d1_ex992"/>
      <w:bookmarkEnd w:id="26"/>
      <w:bookmarkEnd w:id="27"/>
      <w:r>
        <w:rPr>
          <w:b/>
        </w:rPr>
        <w:t>Exhibit 99.2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consolidated balance sheet data as of March 31, 2026, is presented to show how the Transaction might have affected the historical financial statements of the Company if the Transaction had occurred on March 31, 2026. The following unaudited pro forma condensed consolidated statements of operations data for the year ended December 31, 2024, December 31, 2025, and the three months ended March 31, 2026, are presented as if the Transaction occurred on January 1, 2024. The Transaction is expected to meet the criteria in ASC 205-20 to begin being presented as a discontinued operation in the second quarter of 2026 due to disposal of most of the Company’s revenue-generating operations and the resulting strategic shift toward development-stage activities. As a disposal that meets the criteria for discontinued operations, we are required to present an unaudited pro forma condensed consolidated statement for each historical period presented in the Company’s Annual Report on Form 10-K. The unaudited pro forma condensed consolidated financial statements are derived from, and should be read in conjunction with our historical financial statements and notes thereto, as presented in the Company’s Annual Report on Form 10-K for the year ended December 31, 2025, and in the Company’s Quarterly Report on Form 10-Q for the three months ended March 31, 2026, as previously filed with the SEC. The unaudited pro forma condensed consolidated financial information has been prepared in accordance with Article 11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of Regulation S-X requires that pro forma financial information include pro forma adjustments to the historical financial statements of the registrant that reflect only the application of required accounting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accounting adjustments to reflect the Transaction in the unaudited pro forma condensed consolidated financial statements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rFonts w:ascii="Symbol" w:hAnsi="Symbol"/>
                <w:sz w:val="20"/>
              </w:rPr>
              <w:t>·</w:t>
            </w:r>
            <w:r>
              <w:rPr/>
              <w:t xml:space="preserve"> </w:t>
            </w:r>
          </w:p>
        </w:tc>
        <w:tc>
          <w:tcPr>
            <w:tcW w:w="100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sale of the operations, assets and liabilities of the Company’s Assets involved in the Transaction pursuant to the Agreement, and</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rFonts w:ascii="Symbol" w:hAnsi="Symbol"/>
                <w:sz w:val="20"/>
              </w:rPr>
              <w:t>·</w:t>
            </w:r>
            <w:r>
              <w:rPr/>
              <w:t xml:space="preserve"> </w:t>
            </w:r>
          </w:p>
        </w:tc>
        <w:tc>
          <w:tcPr>
            <w:tcW w:w="100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required to record the estimated impact of the proceeds received in connection with the Transaction, net of transaction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Regulation S-X permits registrants to reflect adjustments that depict synergies and dis-synergies of the disposition for which pro forma effect is being given. The unaudited pro forma condensed consolidated financial statements do not reflect any such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execute a transition services agreement at closing of the Transaction, which will include services to be provided to Apotex for up to 12 months following the Closing Date. The unaudited pro forma condensed consolidated statements of operations are not required to present the impact of the transition services agreement, as these amounts are not expected to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consolidated financial statement information is presented for informational purposes only and is based upon estimates by the Company’s management, which are based upon available information and certain assumptions that Company’s management believes are reasonable as of the date of this proxy statement. The unaudited pro forma condensed consolidated financial statements are not intended to be indicative of the actual financial position or results of operations that would have been achieved had the Transaction been consummated as of the dates and for the periods indicated above, nor does it purport to indicate results which may be attained in the future. Actual amounts could differ materially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consolidated balance sheet as of March 31, 2026, and the unaudited pro forma condensed consolidated statements of operations for the three months ended March 31, 2026, and years ended December 31, 2025, and December 31, 2024, should be read in conjunction with the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Cumberland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CONSOLIDATED BALANCE SHEET</w:t>
        <w:br/>
        <w:t>AS OF MARCH 31, 2026</w:t>
      </w:r>
    </w:p>
    <w:p>
      <w:pPr>
        <w:pStyle w:val="TextBody"/>
        <w:bidi w:val="0"/>
        <w:spacing w:before="0" w:after="0"/>
        <w:ind w:left="0" w:right="0" w:hanging="0"/>
        <w:jc w:val="left"/>
        <w:rPr>
          <w:caps w:val="false"/>
          <w:smallCaps w:val="false"/>
        </w:rPr>
      </w:pPr>
      <w:r>
        <w:rPr>
          <w:caps w:val="false"/>
          <w:smallCaps w:val="false"/>
        </w:rPr>
        <w:t> </w:t>
      </w:r>
    </w:p>
    <w:tbl>
      <w:tblPr>
        <w:tblW w:w="9749" w:type="dxa"/>
        <w:jc w:val="left"/>
        <w:tblInd w:w="0" w:type="dxa"/>
        <w:tblLayout w:type="fixed"/>
        <w:tblCellMar>
          <w:top w:w="0" w:type="dxa"/>
          <w:left w:w="0" w:type="dxa"/>
          <w:bottom w:w="0" w:type="dxa"/>
          <w:right w:w="0" w:type="dxa"/>
        </w:tblCellMar>
      </w:tblPr>
      <w:tblGrid>
        <w:gridCol w:w="4475"/>
        <w:gridCol w:w="60"/>
        <w:gridCol w:w="157"/>
        <w:gridCol w:w="1272"/>
        <w:gridCol w:w="80"/>
        <w:gridCol w:w="60"/>
        <w:gridCol w:w="125"/>
        <w:gridCol w:w="1010"/>
        <w:gridCol w:w="80"/>
        <w:gridCol w:w="60"/>
        <w:gridCol w:w="725"/>
        <w:gridCol w:w="60"/>
        <w:gridCol w:w="157"/>
        <w:gridCol w:w="1333"/>
        <w:gridCol w:w="95"/>
      </w:tblGrid>
      <w:tr>
        <w:trPr/>
        <w:tc>
          <w:tcPr>
            <w:tcW w:w="44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19"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CPIX,</w:t>
              <w:br/>
              <w:t>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Cumberland</w:t>
              <w:br/>
              <w:t>Pharmaceuticals,</w:t>
              <w:br/>
              <w:t>Inc.</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11,007,245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99,241,674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110,248,919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14,261,978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14,261,978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5,453,836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(5,423,901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&amp; (iv)</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29,935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2,066,198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(1,144,950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921,248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32,789,257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92,672,823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125,462,080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237,375</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12,793,249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(12,743,179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50,070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9,875,505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(9,834,626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&amp; (iv)</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40,879</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7,618,720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(1,770,712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5,848,008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(3,840,700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2,926,214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2,926,214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70,995,020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63,569,605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134,564,625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16,537,072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16,537,072</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485,162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485,162</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17,465,817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2,567,863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20,033,680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34,488,051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2,567,863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37,055,914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5,240,733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5,240,733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3,294,607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3,294,607</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4,343,892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4,343,892</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obligations, excluding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5,619,332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(2,028,809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3,590,523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49,692,008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3,833,661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53,525,669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51,730,222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51,730,222</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(30,093,698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59,735,944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29,642,246</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21,636,524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59,735,944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81,372,468</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(333,512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(333,512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70,995,020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63,569,605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134,564,625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Cumberland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PROFORMA CONSOLIDATED STATEMENTS OF OPERATIONS</w:t>
        <w:br/>
        <w:t xml:space="preserve">FOR THE THREE MONTHS ENDED </w:t>
      </w:r>
      <w:r>
        <w:rPr>
          <w:rFonts w:ascii="Times New Roman;Times;Serif" w:hAnsi="Times New Roman;Times;Serif"/>
          <w:b/>
          <w:i w:val="false"/>
          <w:caps/>
          <w:sz w:val="20"/>
        </w:rPr>
        <w:t>March </w:t>
      </w:r>
      <w:r>
        <w:rPr>
          <w:rFonts w:ascii="Times New Roman;Times;Serif" w:hAnsi="Times New Roman;Times;Serif"/>
          <w:b/>
          <w:i w:val="false"/>
          <w:caps w:val="false"/>
          <w:smallCaps w:val="false"/>
          <w:sz w:val="20"/>
        </w:rPr>
        <w:t>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73"/>
        <w:gridCol w:w="60"/>
        <w:gridCol w:w="161"/>
        <w:gridCol w:w="1227"/>
        <w:gridCol w:w="80"/>
        <w:gridCol w:w="60"/>
        <w:gridCol w:w="125"/>
        <w:gridCol w:w="950"/>
        <w:gridCol w:w="80"/>
        <w:gridCol w:w="60"/>
        <w:gridCol w:w="485"/>
        <w:gridCol w:w="60"/>
        <w:gridCol w:w="173"/>
        <w:gridCol w:w="1317"/>
        <w:gridCol w:w="94"/>
      </w:tblGrid>
      <w:tr>
        <w:trPr/>
        <w:tc>
          <w:tcPr>
            <w:tcW w:w="527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78"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CPIX,</w:t>
              <w:br/>
              <w:t>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Cumberland</w:t>
              <w:br/>
              <w:t>Pharmaceuticals,</w:t>
              <w:br/>
              <w:t>Inc.</w:t>
            </w:r>
          </w:p>
        </w:tc>
        <w:tc>
          <w:tcPr>
            <w:tcW w:w="9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product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8,962,467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(8,962,467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168,850</w:t>
            </w:r>
          </w:p>
        </w:tc>
        <w:tc>
          <w:tcPr>
            <w:tcW w:w="9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9,131,317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(8,962,467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168,850</w:t>
            </w:r>
          </w:p>
        </w:tc>
        <w:tc>
          <w:tcPr>
            <w:tcW w:w="9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1,933,889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(1,933,889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5,064,875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(5,064,875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1,458,436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(698,216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760,220</w:t>
            </w:r>
          </w:p>
        </w:tc>
        <w:tc>
          <w:tcPr>
            <w:tcW w:w="9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2,445,944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(248,512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2,197,432</w:t>
            </w:r>
          </w:p>
        </w:tc>
        <w:tc>
          <w:tcPr>
            <w:tcW w:w="9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product license right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1,248,934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(1,248,934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108,531</w:t>
            </w:r>
          </w:p>
        </w:tc>
        <w:tc>
          <w:tcPr>
            <w:tcW w:w="9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12,260,609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(9,194,426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3,066,183</w:t>
            </w:r>
          </w:p>
        </w:tc>
        <w:tc>
          <w:tcPr>
            <w:tcW w:w="9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(3,129,292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(2,897,333</w:t>
            </w:r>
          </w:p>
        </w:tc>
        <w:tc>
          <w:tcPr>
            <w:tcW w:w="9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1,168,750</w:t>
            </w:r>
          </w:p>
        </w:tc>
        <w:tc>
          <w:tcPr>
            <w:tcW w:w="9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(3,283,180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1,554,597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(1,728,583</w:t>
            </w:r>
          </w:p>
        </w:tc>
        <w:tc>
          <w:tcPr>
            <w:tcW w:w="9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(3,287,051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1,558,468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(1,728,583</w:t>
            </w:r>
          </w:p>
        </w:tc>
        <w:tc>
          <w:tcPr>
            <w:tcW w:w="9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 subsidiary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(2,588</w:t>
            </w:r>
          </w:p>
        </w:tc>
        <w:tc>
          <w:tcPr>
            <w:tcW w:w="9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(3,289,639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1,558,468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(1,731,171</w:t>
            </w:r>
          </w:p>
        </w:tc>
        <w:tc>
          <w:tcPr>
            <w:tcW w:w="9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9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14,963,724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14,963,724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14,963,724</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Cumberland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PROFORMA CONSOLIDATED STATEMENT OF OPERATIONS</w:t>
        <w:br/>
        <w:t>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1"/>
        <w:gridCol w:w="60"/>
        <w:gridCol w:w="159"/>
        <w:gridCol w:w="1212"/>
        <w:gridCol w:w="80"/>
        <w:gridCol w:w="60"/>
        <w:gridCol w:w="125"/>
        <w:gridCol w:w="1010"/>
        <w:gridCol w:w="80"/>
        <w:gridCol w:w="60"/>
        <w:gridCol w:w="655"/>
        <w:gridCol w:w="60"/>
        <w:gridCol w:w="164"/>
        <w:gridCol w:w="1326"/>
        <w:gridCol w:w="93"/>
      </w:tblGrid>
      <w:tr>
        <w:trPr/>
        <w:tc>
          <w:tcPr>
            <w:tcW w:w="506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91"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CPIX,</w:t>
              <w:br/>
              <w:t>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Cumberland</w:t>
              <w:br/>
              <w:t>Pharmaceuticals,</w:t>
              <w:br/>
              <w:t>Inc.</w:t>
            </w:r>
          </w:p>
        </w:tc>
        <w:tc>
          <w:tcPr>
            <w:tcW w:w="93"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product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40,396,278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(40,396,278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4,125,153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&amp; (v)</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1,125,153</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44,521,431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(43,396,278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1,125,153</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6,667,207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(6,667,207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19,098,153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(19,098,153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5,566,498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(2,637,979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2,928,519</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11,489,783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10,314,681</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product license right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4,034,657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(4,034,657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457,126</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47,313,424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(33,613,098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13,700,326</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(2,791,993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(9,783,180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(12,575,173</w:t>
            </w:r>
          </w:p>
        </w:tc>
        <w:tc>
          <w:tcPr>
            <w:tcW w:w="9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4,198,252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4,675,000</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(13,220</w:t>
            </w:r>
          </w:p>
        </w:tc>
        <w:tc>
          <w:tcPr>
            <w:tcW w:w="9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(495,990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495,990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(2,824,455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(5,088,938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(7,913,393</w:t>
            </w:r>
          </w:p>
        </w:tc>
        <w:tc>
          <w:tcPr>
            <w:tcW w:w="9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(2,864,711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(5,048,682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(7,913,393</w:t>
            </w:r>
          </w:p>
        </w:tc>
        <w:tc>
          <w:tcPr>
            <w:tcW w:w="9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 subsidiary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28,583</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(2,836,128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(5,048,682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(7,884,810</w:t>
            </w:r>
          </w:p>
        </w:tc>
        <w:tc>
          <w:tcPr>
            <w:tcW w:w="9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w:t>
            </w:r>
          </w:p>
        </w:tc>
        <w:tc>
          <w:tcPr>
            <w:tcW w:w="9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14,854,619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14,854,619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14,854,619</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Cumberland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PROFORMA CONSOLIDATED STATEMENT OF OPERATIONS</w:t>
        <w:br/>
        <w:t>FOR THE YEAR ENDED DECEMBER 31, 2024</w:t>
      </w:r>
    </w:p>
    <w:p>
      <w:pPr>
        <w:pStyle w:val="TextBody"/>
        <w:bidi w:val="0"/>
        <w:spacing w:before="0" w:after="0"/>
        <w:ind w:left="0" w:right="0" w:hanging="0"/>
        <w:jc w:val="left"/>
        <w:rPr>
          <w:caps w:val="false"/>
          <w:smallCaps w:val="false"/>
        </w:rPr>
      </w:pPr>
      <w:r>
        <w:rPr>
          <w:caps w:val="false"/>
          <w:smallCaps w:val="false"/>
        </w:rPr>
        <w:t> </w:t>
      </w:r>
    </w:p>
    <w:tbl>
      <w:tblPr>
        <w:tblW w:w="9914" w:type="dxa"/>
        <w:jc w:val="left"/>
        <w:tblInd w:w="0" w:type="dxa"/>
        <w:tblLayout w:type="fixed"/>
        <w:tblCellMar>
          <w:top w:w="0" w:type="dxa"/>
          <w:left w:w="0" w:type="dxa"/>
          <w:bottom w:w="0" w:type="dxa"/>
          <w:right w:w="0" w:type="dxa"/>
        </w:tblCellMar>
      </w:tblPr>
      <w:tblGrid>
        <w:gridCol w:w="4880"/>
        <w:gridCol w:w="60"/>
        <w:gridCol w:w="166"/>
        <w:gridCol w:w="1263"/>
        <w:gridCol w:w="80"/>
        <w:gridCol w:w="60"/>
        <w:gridCol w:w="125"/>
        <w:gridCol w:w="1010"/>
        <w:gridCol w:w="80"/>
        <w:gridCol w:w="60"/>
        <w:gridCol w:w="485"/>
        <w:gridCol w:w="60"/>
        <w:gridCol w:w="164"/>
        <w:gridCol w:w="1326"/>
        <w:gridCol w:w="95"/>
      </w:tblGrid>
      <w:tr>
        <w:trPr/>
        <w:tc>
          <w:tcPr>
            <w:tcW w:w="488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79"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CPIX,</w:t>
              <w:br/>
              <w:t>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Cumberland</w:t>
              <w:br/>
              <w:t>Pharmaceuticals,</w:t>
              <w:br/>
              <w:t>Inc.</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product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36,537,704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(36,537,704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1,330,241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1,330,241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37,867,945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(36,537,704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1,330,241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6,585,972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(6,585,972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17,023,023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(17,023,023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4,816,206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(2,277,847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2,538,359</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10,722,963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(1,197,527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9,525,436</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product license right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4,748,252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(4,748,252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403,938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403,938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44,300,354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(31,832,621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12,467,733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(6,432,409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(4,705,083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(11,137,492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334,444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4,340,556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4,675,000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237,089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237,089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(605,508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605,508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(6,466,384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240,981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(6,225,403</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(6,443,715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(6,225,403</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 subsidiary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(36,055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(6,479,770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(6,261,458</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(0.45</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14,060,272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14,060,272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14,060,272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Cumberland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CONSOLIDATED FINANCIAL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2026, Cumberland Pharmaceuticals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Cumberland</w:t>
      </w:r>
      <w:r>
        <w:rPr>
          <w:rFonts w:ascii="Times New Roman;Times;Serif" w:hAnsi="Times New Roman;Times;Serif"/>
          <w:b w:val="false"/>
          <w:i w:val="false"/>
          <w:caps w:val="false"/>
          <w:smallCaps w:val="false"/>
          <w:sz w:val="20"/>
        </w:rPr>
        <w:t>”) entered into an Asset Purchase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with an affiliate of Apotex Inc. (such affiliate,”</w:t>
      </w:r>
      <w:r>
        <w:rPr>
          <w:rFonts w:ascii="Times New Roman;Times;Serif" w:hAnsi="Times New Roman;Times;Serif"/>
          <w:b/>
          <w:i w:val="false"/>
          <w:caps w:val="false"/>
          <w:smallCaps w:val="false"/>
          <w:sz w:val="20"/>
        </w:rPr>
        <w:t>Apotex</w:t>
      </w:r>
      <w:r>
        <w:rPr>
          <w:rFonts w:ascii="Times New Roman;Times;Serif" w:hAnsi="Times New Roman;Times;Serif"/>
          <w:b w:val="false"/>
          <w:i w:val="false"/>
          <w:caps w:val="false"/>
          <w:smallCaps w:val="false"/>
          <w:sz w:val="20"/>
        </w:rPr>
        <w:t>”), pursuant to which Apotex will acquire the Company’s right, title and interest in, to and under the assets relating to the Company’s FDA-approved products, which consist of Acetadote®, Caldolor®, Kristalose®, Sancuso®, Vaprisol®, Vibativ®, as well as certain of the Company’s product related equity interests (collectively, the “</w:t>
      </w:r>
      <w:r>
        <w:rPr>
          <w:rFonts w:ascii="Times New Roman;Times;Serif" w:hAnsi="Times New Roman;Times;Serif"/>
          <w:b/>
          <w:i w:val="false"/>
          <w:caps w:val="false"/>
          <w:smallCaps w:val="false"/>
          <w:sz w:val="20"/>
        </w:rPr>
        <w:t>Acquired Assets</w:t>
      </w:r>
      <w:r>
        <w:rPr>
          <w:rFonts w:ascii="Times New Roman;Times;Serif" w:hAnsi="Times New Roman;Times;Serif"/>
          <w:b w:val="false"/>
          <w:i w:val="false"/>
          <w:caps w:val="false"/>
          <w:smallCaps w:val="false"/>
          <w:sz w:val="20"/>
        </w:rPr>
        <w:t>”) in exchange for $100,000,000 payable at the closing of the transaction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The Company will retain the assets associated with Cumberland Emerging Technologies, Inc., its majority-owned subsidiary focused on earlier-stage product development, and the Company’s ifetroban product candidates (the “</w:t>
      </w:r>
      <w:r>
        <w:rPr>
          <w:rFonts w:ascii="Times New Roman;Times;Serif" w:hAnsi="Times New Roman;Times;Serif"/>
          <w:b/>
          <w:i w:val="false"/>
          <w:caps w:val="false"/>
          <w:smallCaps w:val="false"/>
          <w:sz w:val="20"/>
        </w:rPr>
        <w:t>Retained Programs</w:t>
      </w:r>
      <w:r>
        <w:rPr>
          <w:rFonts w:ascii="Times New Roman;Times;Serif" w:hAnsi="Times New Roman;Times;Serif"/>
          <w:b w:val="false"/>
          <w:i w:val="false"/>
          <w:caps w:val="false"/>
          <w:smallCaps w:val="false"/>
          <w:sz w:val="20"/>
        </w:rPr>
        <w:t>”), which the Company intends to continue to develop following the closing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statements reflect the following transaction accounting adjustments to the condensed consolidated balance sheet as of March 31, 2026, and consolidated statements of operations for the three months ended March 31, 2026, and the years ended December 31, 2025, and December 31, 2024, to show how the Transaction might have affected the Company’s historical financial statements if the Transaction had been completed at an earlier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the Proforma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Eliminate the assets and liabilities disposed of in the asset sale transaction, which includes:</w:t>
      </w:r>
    </w:p>
    <w:p>
      <w:pPr>
        <w:pStyle w:val="TextBody"/>
        <w:bidi w:val="0"/>
        <w:spacing w:before="0" w:after="0"/>
        <w:ind w:left="0" w:right="0" w:hanging="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4520"/>
        <w:gridCol w:w="60"/>
        <w:gridCol w:w="125"/>
        <w:gridCol w:w="950"/>
        <w:gridCol w:w="75"/>
      </w:tblGrid>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5,423,901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1,144,950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&amp;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13,657,179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9,834,626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Manufacturing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1,770,712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THI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3,840,700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Milestones &amp; Long Term Contingent Royalty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2,028,809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Eliminate the current accrued liabilities disposed of in the asset sale transaction, and recognize additional transaction related and other reserves.</w:t>
      </w:r>
    </w:p>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4055"/>
        <w:gridCol w:w="60"/>
        <w:gridCol w:w="125"/>
        <w:gridCol w:w="905"/>
        <w:gridCol w:w="95"/>
      </w:tblGrid>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Contingent Royalty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4,487,137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Transaction Related &amp; Other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(2,567,863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Record the expected net consideration received, the expected gain on sale of the acquired assets, and the impact on retained earnings.</w:t>
      </w:r>
    </w:p>
    <w:p>
      <w:pPr>
        <w:pStyle w:val="TextBody"/>
        <w:bidi w:val="0"/>
        <w:spacing w:before="0" w:after="0"/>
        <w:ind w:left="0" w:right="0" w:hanging="0"/>
        <w:jc w:val="left"/>
        <w:rPr>
          <w:caps w:val="false"/>
          <w:smallCaps w:val="false"/>
        </w:rPr>
      </w:pPr>
      <w:r>
        <w:rPr>
          <w:caps w:val="false"/>
          <w:smallCaps w:val="false"/>
        </w:rPr>
        <w:t> </w:t>
      </w:r>
    </w:p>
    <w:tbl>
      <w:tblPr>
        <w:tblW w:w="7190" w:type="dxa"/>
        <w:jc w:val="left"/>
        <w:tblInd w:w="0" w:type="dxa"/>
        <w:tblLayout w:type="fixed"/>
        <w:tblCellMar>
          <w:top w:w="0" w:type="dxa"/>
          <w:left w:w="0" w:type="dxa"/>
          <w:bottom w:w="0" w:type="dxa"/>
          <w:right w:w="0" w:type="dxa"/>
        </w:tblCellMar>
      </w:tblPr>
      <w:tblGrid>
        <w:gridCol w:w="5855"/>
        <w:gridCol w:w="60"/>
        <w:gridCol w:w="125"/>
        <w:gridCol w:w="1055"/>
        <w:gridCol w:w="95"/>
      </w:tblGrid>
      <w:tr>
        <w:trPr/>
        <w:tc>
          <w:tcPr>
            <w:tcW w:w="5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received from Buyer upon closing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Estimated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(758,326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sale of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99,241,674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Assets and Liabilities Transferred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(27,211,123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Additional Transaction &amp; Other Reserves(a)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Gain on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63,030,551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Income Tax (After consideration of tax loss carry forwards)(b)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(3,294,607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Gain after tax impact to 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59,735,944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buyer has agreed to reimburse seller for up to $9 million of existing inventory.</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anticipated liabilities for employee retention bonuses, termination severance costs, agreement termination penalties and additional legal or consulting fees.</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tax liability as stated is an estimate based on current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Cumberland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PROFORMA CONSOLIDATED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the Proforma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eliminate operating activity directly attributable to the Program Assets which includes:</w:t>
      </w:r>
    </w:p>
    <w:p>
      <w:pPr>
        <w:pStyle w:val="TextBody"/>
        <w:bidi w:val="0"/>
        <w:spacing w:before="0" w:after="0"/>
        <w:ind w:left="0" w:right="0" w:hanging="0"/>
        <w:jc w:val="left"/>
        <w:rPr>
          <w:caps w:val="false"/>
          <w:smallCaps w:val="false"/>
        </w:rPr>
      </w:pPr>
      <w:r>
        <w:rPr>
          <w:caps w:val="false"/>
          <w:smallCaps w:val="false"/>
        </w:rPr>
        <w:t> </w:t>
      </w:r>
    </w:p>
    <w:tbl>
      <w:tblPr>
        <w:tblW w:w="7964" w:type="dxa"/>
        <w:jc w:val="left"/>
        <w:tblInd w:w="0" w:type="dxa"/>
        <w:tblLayout w:type="fixed"/>
        <w:tblCellMar>
          <w:top w:w="0" w:type="dxa"/>
          <w:left w:w="0" w:type="dxa"/>
          <w:bottom w:w="0" w:type="dxa"/>
          <w:right w:w="0" w:type="dxa"/>
        </w:tblCellMar>
      </w:tblPr>
      <w:tblGrid>
        <w:gridCol w:w="3050"/>
        <w:gridCol w:w="60"/>
        <w:gridCol w:w="184"/>
        <w:gridCol w:w="1245"/>
        <w:gridCol w:w="60"/>
        <w:gridCol w:w="60"/>
        <w:gridCol w:w="128"/>
        <w:gridCol w:w="927"/>
        <w:gridCol w:w="80"/>
        <w:gridCol w:w="60"/>
        <w:gridCol w:w="485"/>
        <w:gridCol w:w="60"/>
        <w:gridCol w:w="192"/>
        <w:gridCol w:w="1298"/>
        <w:gridCol w:w="75"/>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CPIX,</w:t>
              <w:br/>
              <w:t>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Cumberland</w:t>
              <w:br/>
              <w:t>Pharmaceuticals,</w:t>
              <w:br/>
              <w:t>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(1,933,889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5,064,875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(5,064,875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1,458,436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(698,216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760,220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2,445,944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(248,512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2,197,432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product license right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1,248,934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(1,248,934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(9,194,426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Net Product revenue, product related milestone revenue, cost of goods, sales and marketing and amortization of product license rights pertain to the products acquired by Apotex.</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adjustment to research and development includes FDA fees to be paid by Apotex, the Medical Science Liaison department expenses and the compensation cost associated with select employees transferred to Apotex.</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adjustment to general and administrative includes product related insurance, legal fees, audit and tax preparation services.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average expected return on a cash and debt instrument balance of approximately $85 million at 5.5%.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Other revenue and expense consists of CET sub-lease income and expense.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Other Loss amount pertains to the investment in Talicia Holdings, Inc. to be acquired by Apotex.</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With the significant increase in cash, Cumberland will pay down the line of credit with Pinnacle Bank.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With the divestiture, the Company’s nexus is limited to the state of Tennessee only.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Apotex has agreed to reimburse seller for up to $9 million of existing inventory. We believe these transactions will be recognized on a post closing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87294/000110465926047335/tm2611622d1_ex2-1.htm" TargetMode="External"/><Relationship Id="rId3" Type="http://schemas.openxmlformats.org/officeDocument/2006/relationships/hyperlink" Target="https://www.sec.gov/Archives/edgar/data/1087294/000110465926047335/tm2611622d1_ex2-1.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5298</Words>
  <Characters>31110</Characters>
  <CharactersWithSpaces>36986</CharactersWithSpaces>
  <Paragraphs>2235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