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6, 2024 (November 5,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Cumberland Pharmaceuticals Inc. (“Cumberland” or the “Company”) announced the publication of new real-world outcomes research demonstrating the safety and healthcare resource advantages of its Caldolor (</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xml:space="preserve">) injection over ketorolac in both adult and pediatric populations. The study, published in </w:t>
      </w:r>
      <w:r>
        <w:rPr>
          <w:rFonts w:ascii="Times New Roman" w:cs="Times New Roman" w:eastAsia="Times New Roman" w:hAnsi="Times New Roman"/>
          <w:sz w:val="18"/>
          <w:szCs w:val="18"/>
          <w:i w:val="1"/>
          <w:iCs w:val="1"/>
          <w:color w:val="auto"/>
        </w:rPr>
        <w:t>Frontiers of Pain Research</w:t>
      </w:r>
      <w:r>
        <w:rPr>
          <w:rFonts w:ascii="Times New Roman" w:cs="Times New Roman" w:eastAsia="Times New Roman" w:hAnsi="Times New Roman"/>
          <w:sz w:val="18"/>
          <w:szCs w:val="18"/>
          <w:color w:val="auto"/>
        </w:rPr>
        <w:t>, provides compelling evidence that Caldolor is associated with a significantly reduced incidence of adverse drug reactions (ADRs) and improved healthcare utilizations when compared to ketorolac.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release is furnished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80" w:type="dxa"/>
            <w:vAlign w:val="bottom"/>
          </w:tcPr>
          <w:p>
            <w:pPr>
              <w:spacing w:after="0"/>
              <w:rPr>
                <w:sz w:val="15"/>
                <w:szCs w:val="15"/>
                <w:color w:val="auto"/>
              </w:rPr>
            </w:pPr>
          </w:p>
        </w:tc>
      </w:tr>
      <w:tr>
        <w:trPr>
          <w:trHeight w:val="445"/>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November 5, 2024</w:t>
            </w:r>
          </w:p>
        </w:tc>
      </w:tr>
      <w:tr>
        <w:trPr>
          <w:trHeight w:val="2890"/>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top w:val="single" w:sz="8" w:color="0000FF"/>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7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2024</w:t>
            </w:r>
          </w:p>
        </w:tc>
        <w:tc>
          <w:tcPr>
            <w:tcW w:w="39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663575</wp:posOffset>
            </wp:positionV>
            <wp:extent cx="349758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3"/>
          <w:szCs w:val="23"/>
          <w:b w:val="1"/>
          <w:bCs w:val="1"/>
          <w:color w:val="auto"/>
        </w:rPr>
        <w:t>New Study Compares Caldolor</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23"/>
          <w:szCs w:val="23"/>
          <w:b w:val="1"/>
          <w:bCs w:val="1"/>
          <w:color w:val="auto"/>
        </w:rPr>
        <w:t xml:space="preserve"> (ibuprofen injection) to ketorolac</w:t>
      </w:r>
    </w:p>
    <w:p>
      <w:pPr>
        <w:spacing w:after="0" w:line="92" w:lineRule="exact"/>
        <w:rPr>
          <w:sz w:val="20"/>
          <w:szCs w:val="20"/>
          <w:color w:val="auto"/>
        </w:rPr>
      </w:pPr>
    </w:p>
    <w:p>
      <w:pPr>
        <w:jc w:val="center"/>
        <w:ind w:right="320"/>
        <w:spacing w:after="0" w:line="33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Real World Study Compared Over 150,000 Adult &amp; Pediatric Patients –</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i w:val="1"/>
          <w:iCs w:val="1"/>
          <w:color w:val="auto"/>
        </w:rPr>
        <w:t>Caldolor Associated with Fewer Adverse Drug Reactions –</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i w:val="1"/>
          <w:iCs w:val="1"/>
          <w:color w:val="auto"/>
        </w:rPr>
        <w:t>Caldolor also Improved Healthcare Utilization –</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2"/>
          <w:szCs w:val="22"/>
          <w:b w:val="1"/>
          <w:bCs w:val="1"/>
          <w:color w:val="auto"/>
        </w:rPr>
        <w:t xml:space="preserve">NASHVILLE, Tenn. (November 5, 2024) </w:t>
      </w:r>
      <w:r>
        <w:rPr>
          <w:rFonts w:ascii="Times New Roman" w:cs="Times New Roman" w:eastAsia="Times New Roman" w:hAnsi="Times New Roman"/>
          <w:sz w:val="22"/>
          <w:szCs w:val="22"/>
          <w:color w:val="auto"/>
        </w:rPr>
        <w:t>– Specialty pharmaceutical company Cumberland Pharmaceuticals (Nasdaq: CPIX)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announced the publication of new real-world outcomes research demonstrating the safety and healthcare resource advantages of its Caldolor (</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xml:space="preserve">) injection over ketorolac in both adult and pediatric populations. The study, published in </w:t>
      </w:r>
      <w:r>
        <w:rPr>
          <w:rFonts w:ascii="Times New Roman" w:cs="Times New Roman" w:eastAsia="Times New Roman" w:hAnsi="Times New Roman"/>
          <w:sz w:val="22"/>
          <w:szCs w:val="22"/>
          <w:i w:val="1"/>
          <w:iCs w:val="1"/>
          <w:color w:val="auto"/>
        </w:rPr>
        <w:t>Frontiers of Pain Research</w:t>
      </w:r>
      <w:r>
        <w:rPr>
          <w:rFonts w:ascii="Times New Roman" w:cs="Times New Roman" w:eastAsia="Times New Roman" w:hAnsi="Times New Roman"/>
          <w:sz w:val="22"/>
          <w:szCs w:val="22"/>
          <w:color w:val="auto"/>
        </w:rPr>
        <w:t>, provides compelling evidence that Caldolor is associated with a significantly reduced incidence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adverse drug reactions (ADRs) and improved healthcare utilizations when compared to ketorolac.</w:t>
      </w:r>
    </w:p>
    <w:p>
      <w:pPr>
        <w:spacing w:after="0" w:line="11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This extensive, retrospective, payer database analysis evaluated the records of over 17 million patients who had received either ketorolac or Caldolor. Ultimately, 31,046 Caldolor and 124,184 ketorolac adult patients were selected and compared for ADRs and subsequent healthcare resource utilization, which includes inpatient, outpatient and emergency department visits as well as all procedures and prescriptions during the follow up time of 29 days. An additional 5,579 pediatric patients were identified in each arm and compared in a separate claims analysis.</w:t>
      </w:r>
    </w:p>
    <w:p>
      <w:pPr>
        <w:spacing w:after="0" w:line="11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Key findings reveal that, in adults, Caldolor was associated with a 45% reduction in renal dysfunction (p&lt;0.001) and a 78% decrease in hematuria rates (p&lt;0.001) when compared to ketorolac. Notably, patients also experienced fewer gastrointestinal complications as well as reduced headaches, nausea and abdominal pain. Among pediatric patients, the results showed Caldolor was associated with a 51-65% lower rate of ADRs, including headache and nausea, with 95% confidence intervals supporting clinical significance.</w:t>
      </w:r>
    </w:p>
    <w:p>
      <w:pPr>
        <w:spacing w:after="0" w:line="10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2"/>
          <w:szCs w:val="22"/>
          <w:color w:val="auto"/>
        </w:rPr>
        <w:t>Caldolor also demonstrated a positive impact on healthcare resource utilization (HCRU) when compared to ketorolac, with decreased emergency room and outpatient visits, as well as a shortened hospital length of stay for both adults and children.</w:t>
      </w:r>
    </w:p>
    <w:p>
      <w:pPr>
        <w:spacing w:after="0" w:line="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“These findings underscore Caldolor’s potential to improve patient care by reducing their treatment complications, while also delivering potential saving for healthcare systems through decreased hospital readmissions and shortened treatment times,” said A.J. Kazimi, CEO of Cumberland Pharmaceuticals.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1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 w:cs="Times New Roman" w:eastAsia="Times New Roman" w:hAnsi="Times New Roman"/>
          <w:sz w:val="22"/>
          <w:szCs w:val="22"/>
          <w:u w:val="single" w:color="auto"/>
          <w:color w:val="auto"/>
        </w:rPr>
        <w:t>www.caldolor.com</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Cumberland Pharmaceuticals</w:t>
      </w:r>
    </w:p>
    <w:p>
      <w:pPr>
        <w:spacing w:after="0" w:line="1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Cumberland Pharmaceuticals Inc. is the largest biopharmaceutical company founded and headquartered in Tennessee and is focused on providing unique products that improve the quality of patient care. The company develops, acquires, and commercializes products for the hospital acute care, gastroenterology and oncology market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portfolio of FDA-approved brands includes:</w:t>
      </w:r>
    </w:p>
    <w:p>
      <w:pPr>
        <w:spacing w:after="0" w:line="189" w:lineRule="exact"/>
        <w:rPr>
          <w:sz w:val="20"/>
          <w:szCs w:val="20"/>
          <w:color w:val="auto"/>
        </w:rPr>
      </w:pPr>
    </w:p>
    <w:p>
      <w:pPr>
        <w:ind w:left="240" w:hanging="232"/>
        <w:spacing w:after="0"/>
        <w:tabs>
          <w:tab w:leader="none" w:pos="240" w:val="left"/>
        </w:tabs>
        <w:numPr>
          <w:ilvl w:val="0"/>
          <w:numId w:val="2"/>
        </w:numPr>
        <w:rPr>
          <w:rFonts w:ascii="Cambria" w:cs="Cambria" w:eastAsia="Cambria" w:hAnsi="Cambria"/>
          <w:sz w:val="22"/>
          <w:szCs w:val="22"/>
          <w:b w:val="1"/>
          <w:bCs w:val="1"/>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123" w:lineRule="exact"/>
        <w:rPr>
          <w:rFonts w:ascii="Cambria" w:cs="Cambria" w:eastAsia="Cambria" w:hAnsi="Cambria"/>
          <w:sz w:val="22"/>
          <w:szCs w:val="22"/>
          <w:b w:val="1"/>
          <w:bCs w:val="1"/>
          <w:color w:val="auto"/>
        </w:rPr>
      </w:pPr>
    </w:p>
    <w:p>
      <w:pPr>
        <w:ind w:left="240" w:hanging="232"/>
        <w:spacing w:after="0"/>
        <w:tabs>
          <w:tab w:leader="none" w:pos="240" w:val="left"/>
        </w:tabs>
        <w:numPr>
          <w:ilvl w:val="0"/>
          <w:numId w:val="2"/>
        </w:numPr>
        <w:rPr>
          <w:rFonts w:ascii="Cambria" w:cs="Cambria" w:eastAsia="Cambria" w:hAnsi="Cambria"/>
          <w:sz w:val="22"/>
          <w:szCs w:val="22"/>
          <w:b w:val="1"/>
          <w:bCs w:val="1"/>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119" w:lineRule="exact"/>
        <w:rPr>
          <w:rFonts w:ascii="Cambria" w:cs="Cambria" w:eastAsia="Cambria" w:hAnsi="Cambria"/>
          <w:sz w:val="22"/>
          <w:szCs w:val="22"/>
          <w:b w:val="1"/>
          <w:bCs w:val="1"/>
          <w:color w:val="auto"/>
        </w:rPr>
      </w:pPr>
    </w:p>
    <w:p>
      <w:pPr>
        <w:ind w:left="240" w:hanging="232"/>
        <w:spacing w:after="0"/>
        <w:tabs>
          <w:tab w:leader="none" w:pos="240" w:val="left"/>
        </w:tabs>
        <w:numPr>
          <w:ilvl w:val="0"/>
          <w:numId w:val="2"/>
        </w:numPr>
        <w:rPr>
          <w:rFonts w:ascii="Cambria" w:cs="Cambria" w:eastAsia="Cambria" w:hAnsi="Cambria"/>
          <w:sz w:val="22"/>
          <w:szCs w:val="22"/>
          <w:b w:val="1"/>
          <w:bCs w:val="1"/>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123" w:lineRule="exact"/>
        <w:rPr>
          <w:rFonts w:ascii="Cambria" w:cs="Cambria" w:eastAsia="Cambria" w:hAnsi="Cambria"/>
          <w:sz w:val="22"/>
          <w:szCs w:val="22"/>
          <w:b w:val="1"/>
          <w:bCs w:val="1"/>
          <w:color w:val="auto"/>
        </w:rPr>
      </w:pPr>
    </w:p>
    <w:p>
      <w:pPr>
        <w:ind w:left="260" w:hanging="252"/>
        <w:spacing w:after="0" w:line="251" w:lineRule="auto"/>
        <w:tabs>
          <w:tab w:leader="none" w:pos="248" w:val="left"/>
        </w:tabs>
        <w:numPr>
          <w:ilvl w:val="0"/>
          <w:numId w:val="2"/>
        </w:numPr>
        <w:rPr>
          <w:rFonts w:ascii="Cambria" w:cs="Cambria" w:eastAsia="Cambria" w:hAnsi="Cambria"/>
          <w:sz w:val="22"/>
          <w:szCs w:val="22"/>
          <w:b w:val="1"/>
          <w:bCs w:val="1"/>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141" w:lineRule="exact"/>
        <w:rPr>
          <w:rFonts w:ascii="Cambria" w:cs="Cambria" w:eastAsia="Cambria" w:hAnsi="Cambria"/>
          <w:sz w:val="22"/>
          <w:szCs w:val="22"/>
          <w:b w:val="1"/>
          <w:bCs w:val="1"/>
          <w:color w:val="auto"/>
        </w:rPr>
      </w:pPr>
    </w:p>
    <w:p>
      <w:pPr>
        <w:ind w:left="260" w:hanging="252"/>
        <w:spacing w:after="0" w:line="251" w:lineRule="auto"/>
        <w:tabs>
          <w:tab w:leader="none" w:pos="248" w:val="left"/>
        </w:tabs>
        <w:numPr>
          <w:ilvl w:val="0"/>
          <w:numId w:val="2"/>
        </w:numPr>
        <w:rPr>
          <w:rFonts w:ascii="Cambria" w:cs="Cambria" w:eastAsia="Cambria" w:hAnsi="Cambria"/>
          <w:sz w:val="22"/>
          <w:szCs w:val="22"/>
          <w:b w:val="1"/>
          <w:bCs w:val="1"/>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 hypervolemic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hyponatremia; and</w:t>
      </w:r>
    </w:p>
    <w:p>
      <w:pPr>
        <w:spacing w:after="0" w:line="144" w:lineRule="exact"/>
        <w:rPr>
          <w:rFonts w:ascii="Cambria" w:cs="Cambria" w:eastAsia="Cambria" w:hAnsi="Cambria"/>
          <w:sz w:val="22"/>
          <w:szCs w:val="22"/>
          <w:b w:val="1"/>
          <w:bCs w:val="1"/>
          <w:color w:val="auto"/>
        </w:rPr>
      </w:pPr>
    </w:p>
    <w:p>
      <w:pPr>
        <w:ind w:left="260" w:hanging="252"/>
        <w:spacing w:after="0" w:line="248"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ventilator-associated bacterial pneumonia, as well as complicated skin and skin structure infections.</w:t>
      </w:r>
    </w:p>
    <w:p>
      <w:pPr>
        <w:spacing w:after="0" w:line="152" w:lineRule="exact"/>
        <w:rPr>
          <w:sz w:val="20"/>
          <w:szCs w:val="20"/>
          <w:color w:val="auto"/>
        </w:rPr>
      </w:pPr>
    </w:p>
    <w:p>
      <w:pPr>
        <w:spacing w:after="0" w:line="322"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cardiomyopathy associated with Duchenne Muscular Dystrophy, Systemic Sclerosis and Idiopathic Pulmonary Fibrosis.</w:t>
      </w:r>
    </w:p>
    <w:p>
      <w:pPr>
        <w:spacing w:after="0" w:line="64" w:lineRule="exact"/>
        <w:rPr>
          <w:sz w:val="20"/>
          <w:szCs w:val="20"/>
          <w:color w:val="auto"/>
        </w:rPr>
      </w:pPr>
    </w:p>
    <w:p>
      <w:pPr>
        <w:spacing w:after="0" w:line="322" w:lineRule="auto"/>
        <w:rPr>
          <w:sz w:val="20"/>
          <w:szCs w:val="20"/>
          <w:color w:val="auto"/>
        </w:rPr>
      </w:pPr>
      <w:r>
        <w:rPr>
          <w:rFonts w:ascii="Times New Roman" w:cs="Times New Roman" w:eastAsia="Times New Roman" w:hAnsi="Times New Roman"/>
          <w:sz w:val="22"/>
          <w:szCs w:val="22"/>
          <w:color w:val="auto"/>
        </w:rPr>
        <w:t>For more information on Cumberland’s approved products, including full prescribing information, please visit links to the individual product websites, which can be found on the company’s website www.cumberlandpharma.com.</w:t>
      </w:r>
    </w:p>
    <w:p>
      <w:pPr>
        <w:sectPr>
          <w:pgSz w:w="11900" w:h="16838" w:orient="portrait"/>
          <w:cols w:equalWidth="0" w:num="1">
            <w:col w:w="11240"/>
          </w:cols>
          <w:pgMar w:left="320" w:top="10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200" w:lineRule="exact"/>
        <w:rPr>
          <w:sz w:val="20"/>
          <w:szCs w:val="20"/>
          <w:color w:val="auto"/>
        </w:rPr>
      </w:pPr>
    </w:p>
    <w:p>
      <w:pPr>
        <w:spacing w:after="0" w:line="243" w:lineRule="exact"/>
        <w:rPr>
          <w:sz w:val="20"/>
          <w:szCs w:val="20"/>
          <w:color w:val="auto"/>
        </w:rPr>
      </w:pPr>
    </w:p>
    <w:tbl>
      <w:tblPr>
        <w:tblLayout w:type="fixed"/>
        <w:tblInd w:w="1150" w:type="dxa"/>
        <w:tblCellMar>
          <w:top w:w="0" w:type="dxa"/>
          <w:left w:w="0" w:type="dxa"/>
          <w:bottom w:w="0" w:type="dxa"/>
          <w:right w:w="0" w:type="dxa"/>
        </w:tblCellMar>
      </w:tblPr>
      <w:tr>
        <w:trPr>
          <w:trHeight w:val="311"/>
        </w:trPr>
        <w:tc>
          <w:tcPr>
            <w:tcW w:w="37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3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0" w:type="dxa"/>
            <w:vAlign w:val="bottom"/>
          </w:tcPr>
          <w:p>
            <w:pPr>
              <w:spacing w:after="0"/>
              <w:rPr>
                <w:sz w:val="1"/>
                <w:szCs w:val="1"/>
                <w:color w:val="auto"/>
              </w:rPr>
            </w:pPr>
          </w:p>
        </w:tc>
      </w:tr>
      <w:tr>
        <w:trPr>
          <w:trHeight w:val="54"/>
        </w:trPr>
        <w:tc>
          <w:tcPr>
            <w:tcW w:w="370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Shayla Simpson</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Molly Aggas</w:t>
            </w:r>
          </w:p>
        </w:tc>
        <w:tc>
          <w:tcPr>
            <w:tcW w:w="0" w:type="dxa"/>
            <w:vAlign w:val="bottom"/>
          </w:tcPr>
          <w:p>
            <w:pPr>
              <w:spacing w:after="0"/>
              <w:rPr>
                <w:sz w:val="1"/>
                <w:szCs w:val="1"/>
                <w:color w:val="auto"/>
              </w:rPr>
            </w:pPr>
          </w:p>
        </w:tc>
      </w:tr>
      <w:tr>
        <w:trPr>
          <w:trHeight w:val="63"/>
        </w:trPr>
        <w:tc>
          <w:tcPr>
            <w:tcW w:w="3700" w:type="dxa"/>
            <w:vAlign w:val="bottom"/>
            <w:tcBorders>
              <w:left w:val="single" w:sz="8" w:color="auto"/>
              <w:right w:val="single" w:sz="8" w:color="auto"/>
            </w:tcBorders>
            <w:vMerge w:val="continue"/>
          </w:tcPr>
          <w:p>
            <w:pPr>
              <w:spacing w:after="0"/>
              <w:rPr>
                <w:sz w:val="5"/>
                <w:szCs w:val="5"/>
                <w:color w:val="auto"/>
              </w:rPr>
            </w:pPr>
          </w:p>
        </w:tc>
        <w:tc>
          <w:tcPr>
            <w:tcW w:w="3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Dalton Agency</w:t>
            </w:r>
          </w:p>
        </w:tc>
        <w:tc>
          <w:tcPr>
            <w:tcW w:w="0" w:type="dxa"/>
            <w:vAlign w:val="bottom"/>
          </w:tcPr>
          <w:p>
            <w:pPr>
              <w:spacing w:after="0"/>
              <w:rPr>
                <w:sz w:val="1"/>
                <w:szCs w:val="1"/>
                <w:color w:val="auto"/>
              </w:rPr>
            </w:pPr>
          </w:p>
        </w:tc>
      </w:tr>
      <w:tr>
        <w:trPr>
          <w:trHeight w:val="67"/>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(615) 255-0068</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(704) 641-6641</w:t>
            </w:r>
          </w:p>
        </w:tc>
        <w:tc>
          <w:tcPr>
            <w:tcW w:w="0" w:type="dxa"/>
            <w:vAlign w:val="bottom"/>
          </w:tcPr>
          <w:p>
            <w:pPr>
              <w:spacing w:after="0"/>
              <w:rPr>
                <w:sz w:val="1"/>
                <w:szCs w:val="1"/>
                <w:color w:val="auto"/>
              </w:rPr>
            </w:pPr>
          </w:p>
        </w:tc>
      </w:tr>
      <w:tr>
        <w:trPr>
          <w:trHeight w:val="68"/>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2024-11-06T16:35:01Z</dcterms:created>
  <dcterms:modified xsi:type="dcterms:W3CDTF">2024-11-06T16:35:01Z</dcterms:modified>
</cp:coreProperties>
</file>