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FORM 8-K</w:t>
      </w:r>
    </w:p>
    <w:p>
      <w:pPr>
        <w:spacing w:after="0" w:line="4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10, 2020 (December 10, 2020)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r>
        <w:rPr>
          <w:rFonts w:ascii="Times New Roman" w:cs="Times New Roman" w:eastAsia="Times New Roman" w:hAnsi="Times New Roman"/>
          <w:sz w:val="28"/>
          <w:szCs w:val="28"/>
          <w:b w:val="1"/>
          <w:bCs w:val="1"/>
          <w:color w:val="auto"/>
        </w:rPr>
        <w:t>.</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71"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48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8"/>
              </w:rPr>
              <w:t>Tennessee</w:t>
            </w:r>
          </w:p>
        </w:tc>
        <w:tc>
          <w:tcPr>
            <w:tcW w:w="324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001-33637</w:t>
            </w:r>
          </w:p>
        </w:tc>
        <w:tc>
          <w:tcPr>
            <w:tcW w:w="2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62-1765329</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21"/>
        </w:trPr>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88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2525 West End Avenue, Suite 950, Nashville, Tennessee 37203</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0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4"/>
          <w:szCs w:val="24"/>
          <w:color w:val="auto"/>
        </w:rPr>
      </w:pPr>
    </w:p>
    <w:p>
      <w:pPr>
        <w:jc w:val="center"/>
        <w:ind w:left="340" w:right="34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2"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46"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56"/>
        </w:trPr>
        <w:tc>
          <w:tcPr>
            <w:tcW w:w="42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Class</w:t>
            </w: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exchanged on which registered</w:t>
            </w:r>
          </w:p>
        </w:tc>
      </w:tr>
      <w:tr>
        <w:trPr>
          <w:trHeight w:val="228"/>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7"/>
              </w:rPr>
              <w:t>CPIX</w:t>
            </w:r>
          </w:p>
        </w:tc>
        <w:tc>
          <w:tcPr>
            <w:tcW w:w="120" w:type="dxa"/>
            <w:vAlign w:val="bottom"/>
          </w:tcPr>
          <w:p>
            <w:pPr>
              <w:spacing w:after="0"/>
              <w:rPr>
                <w:sz w:val="19"/>
                <w:szCs w:val="19"/>
                <w:color w:val="auto"/>
              </w:rPr>
            </w:pPr>
          </w:p>
        </w:tc>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4" w:lineRule="exact"/>
        <w:rPr>
          <w:sz w:val="24"/>
          <w:szCs w:val="24"/>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Cumberland Pharmaceuticals Inc. ("Cumberland", “we”, “our” or "the Company") is a specialty pharmaceutical company focused on the acquisition, development and commercialization of branded prescription products. This Current Report on Form 8-K (“Form 8-K”) is being filed to recast historical financial information, originally included in our Annual Report on Form 10-K for the year ended December 31, 2019 ("2019 Form 10-K") to reflect the presentation of two Products we no longer distribute as discontinued operations. We previously filed the 2019 Form 10-K with the U.S. Securities and Exchange Commission (“SEC”) on March 20, 2020.</w:t>
      </w:r>
    </w:p>
    <w:p>
      <w:pPr>
        <w:spacing w:after="0" w:line="2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During May 2019, Cumberland entered into a Dissolution Agreement ("Dissolution Agreement") with Clinigen Healthcare Limited ("Clinigen") in which the Company returned the exclusive rights to commercialize Ethyol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Totect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Products”) in the United States to Clinigen. Under the terms of the Dissolution Agreement, Cumberland is no longer involved directly or indirectly with the distribution, marketing and promotion of either Ethyol or Totect or any competing products following December 31, 2019. In exchange for the return of these product license rights and the non-compete provisions of the Dissolution Agreement, Cumberland is receiving $5 million in financial consideration paid in quarterly installments over the two-years following the transition date. The Company's exit from the Products meets the accounting criteria to be reported as discontinued operations and the discontinued operating results have been reclassified in the financial statements and footnotes for all periods presented, as required, to reflect the discontinued status of the Products, beginning in our Quarterly Report on Form 10-Q for the first quarter of 2020. We are issuing this Form 8-K to recast the Products as discontinued operations as of and for each of the periods covered by our 2019 Form 10-K. Accordingly, the Company has retrospectively recast its previously issued annual financial statements for the three years in the period ended December 31, 2019 to present the Products as discontinued operations.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information included in Exhibit 99.1 to this Current Report on Form 8-K is presented solely in connection with the presentation changes described above and sections included in the 2019 Form 10-K that are not included in this report continue to speak only as of the original filing date. Exhibit 99.1 to this Form 8-K does not reflect events occurring after the Company filed its 2019 Form 10-K, and does not modify or update the disclosures therein in any way, other than to reflect the presentation of the Products as discontinued operations as described above. Therefore, Exhibit 99.1 to this Form 8-K should be read in conjunction with the Company’s other filings made with the SEC, including, and subsequent to the date of, the 2019 Form 10-K. These subsequent SEC filings contain important information regarding events, developments, and updates affecting Cumberland and our expectations that have occurred since the filing of the 2019 Form 10-K.</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of this Form 8-K presents a recast of the following historical financial information, originally included in our 2019 Form 10-K, to reflect the presentation of the Products as discontinued operations:</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6. Selected Financial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 Management’s Discussion and Analysis of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8. Financial Statements and Supplementary Data</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to this Form 8-K is attached hereto and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set forth below for a list of exhibits included with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 w:name="page3"/>
    <w:bookmarkEnd w:id="2"/>
    <w:p>
      <w:pPr>
        <w:ind w:left="10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46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9380" w:type="dxa"/>
            <w:vAlign w:val="bottom"/>
            <w:gridSpan w:val="3"/>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Consent of BDO USA, LLP</w:t>
              </w:r>
            </w:hyperlink>
          </w:p>
        </w:tc>
        <w:tc>
          <w:tcPr>
            <w:tcW w:w="0" w:type="dxa"/>
            <w:vAlign w:val="bottom"/>
          </w:tcPr>
          <w:p>
            <w:pPr>
              <w:spacing w:after="0"/>
              <w:rPr>
                <w:sz w:val="1"/>
                <w:szCs w:val="1"/>
                <w:color w:val="auto"/>
              </w:rPr>
            </w:pPr>
          </w:p>
        </w:tc>
      </w:tr>
      <w:tr>
        <w:trPr>
          <w:trHeight w:val="445"/>
        </w:trPr>
        <w:tc>
          <w:tcPr>
            <w:tcW w:w="18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9380" w:type="dxa"/>
            <w:vAlign w:val="bottom"/>
            <w:gridSpan w:val="3"/>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Recast of Cumberland Pharmaceuticals Inc. Selected Financial Data, Managements Discussion and Analysis of Financial</w:t>
              </w:r>
            </w:hyperlink>
          </w:p>
        </w:tc>
        <w:tc>
          <w:tcPr>
            <w:tcW w:w="0" w:type="dxa"/>
            <w:vAlign w:val="bottom"/>
          </w:tcPr>
          <w:p>
            <w:pPr>
              <w:spacing w:after="0"/>
              <w:rPr>
                <w:sz w:val="1"/>
                <w:szCs w:val="1"/>
                <w:color w:val="auto"/>
              </w:rPr>
            </w:pPr>
          </w:p>
        </w:tc>
      </w:tr>
      <w:tr>
        <w:trPr>
          <w:trHeight w:val="156"/>
        </w:trPr>
        <w:tc>
          <w:tcPr>
            <w:tcW w:w="1860" w:type="dxa"/>
            <w:vAlign w:val="bottom"/>
            <w:vMerge w:val="continue"/>
          </w:tcPr>
          <w:p>
            <w:pPr>
              <w:spacing w:after="0"/>
              <w:rPr>
                <w:sz w:val="13"/>
                <w:szCs w:val="13"/>
                <w:color w:val="auto"/>
              </w:rPr>
            </w:pPr>
          </w:p>
        </w:tc>
        <w:tc>
          <w:tcPr>
            <w:tcW w:w="6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Condition and Results of Operations, and Financial Statements and Supplementary Data</w:t>
              </w:r>
            </w:hyperlink>
          </w:p>
        </w:tc>
        <w:tc>
          <w:tcPr>
            <w:tcW w:w="238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0"/>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481"/>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8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101.CAL*</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101.DEF*</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101.LAB*</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8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101.PRE*</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86"/>
        </w:trPr>
        <w:tc>
          <w:tcPr>
            <w:tcW w:w="18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52"/>
        </w:trPr>
        <w:tc>
          <w:tcPr>
            <w:tcW w:w="186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December 10, 2020</w:t>
      </w:r>
      <w:r>
        <w:rPr>
          <w:sz w:val="20"/>
          <w:szCs w:val="20"/>
          <w:color w:val="auto"/>
        </w:rPr>
        <w:tab/>
      </w:r>
      <w:r>
        <w:rPr>
          <w:rFonts w:ascii="Times New Roman" w:cs="Times New Roman" w:eastAsia="Times New Roman" w:hAnsi="Times New Roman"/>
          <w:sz w:val="17"/>
          <w:szCs w:val="17"/>
          <w:i w:val="1"/>
          <w:iCs w:val="1"/>
          <w:color w:val="auto"/>
        </w:rPr>
        <w:t>By: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18415</wp:posOffset>
            </wp:positionV>
            <wp:extent cx="229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Michael Bonner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80" w:right="37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333-221402) and Form S-8 (No. 333-164376) of Cumberland Pharmaceuticals Inc. of our report dated March 20, 2020 (except for the effects of presenting discontinued operations discussed in Note 20, as to which the date is December 10, 2020), relating to the consolidated financial statements and schedule, which appears in this Current Report on Form 8K.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2020</w:t>
      </w:r>
    </w:p>
    <w:p>
      <w:pPr>
        <w:sectPr>
          <w:pgSz w:w="11900" w:h="16838" w:orient="portrait"/>
          <w:cols w:equalWidth="0" w:num="1">
            <w:col w:w="11240"/>
          </w:cols>
          <w:pgMar w:left="320" w:top="1440" w:right="339" w:bottom="1440" w:gutter="0" w:footer="0" w:header="0"/>
        </w:sectPr>
      </w:pPr>
    </w:p>
    <w:bookmarkStart w:id="5" w:name="page6"/>
    <w:bookmarkEnd w:id="5"/>
    <w:p>
      <w:pPr>
        <w:spacing w:after="0" w:line="4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9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Index</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40" w:type="dxa"/>
            <w:vAlign w:val="bottom"/>
          </w:tcPr>
          <w:p>
            <w:pPr>
              <w:spacing w:after="0"/>
              <w:rPr>
                <w:sz w:val="16"/>
                <w:szCs w:val="16"/>
                <w:color w:val="auto"/>
              </w:rPr>
            </w:pPr>
          </w:p>
        </w:tc>
        <w:tc>
          <w:tcPr>
            <w:tcW w:w="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412"/>
        </w:trPr>
        <w:tc>
          <w:tcPr>
            <w:tcW w:w="9440" w:type="dxa"/>
            <w:vAlign w:val="bottom"/>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PART II</w:t>
              </w:r>
            </w:hyperlink>
          </w:p>
        </w:tc>
        <w:tc>
          <w:tcPr>
            <w:tcW w:w="600" w:type="dxa"/>
            <w:vAlign w:val="bottom"/>
            <w:gridSpan w:val="3"/>
          </w:tcPr>
          <w:p>
            <w:pPr>
              <w:jc w:val="center"/>
              <w:ind w:left="272"/>
              <w:spacing w:after="0"/>
              <w:rPr>
                <w:rFonts w:ascii="Times New Roman" w:cs="Times New Roman" w:eastAsia="Times New Roman" w:hAnsi="Times New Roman"/>
                <w:sz w:val="18"/>
                <w:szCs w:val="18"/>
                <w:u w:val="single" w:color="auto"/>
                <w:color w:val="0000FF"/>
                <w:w w:val="88"/>
              </w:rPr>
            </w:pPr>
            <w:hyperlink w:anchor="page6">
              <w:r>
                <w:rPr>
                  <w:rFonts w:ascii="Times New Roman" w:cs="Times New Roman" w:eastAsia="Times New Roman" w:hAnsi="Times New Roman"/>
                  <w:sz w:val="18"/>
                  <w:szCs w:val="18"/>
                  <w:u w:val="single" w:color="auto"/>
                  <w:color w:val="0000FF"/>
                  <w:w w:val="88"/>
                </w:rPr>
                <w:t>2</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9440" w:type="dxa"/>
            <w:vAlign w:val="bottom"/>
          </w:tcPr>
          <w:p>
            <w:pPr>
              <w:ind w:left="2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Item 6: Selected Financial Data</w:t>
              </w:r>
            </w:hyperlink>
          </w:p>
        </w:tc>
        <w:tc>
          <w:tcPr>
            <w:tcW w:w="600" w:type="dxa"/>
            <w:vAlign w:val="bottom"/>
            <w:gridSpan w:val="3"/>
          </w:tcPr>
          <w:p>
            <w:pPr>
              <w:jc w:val="center"/>
              <w:ind w:left="272"/>
              <w:spacing w:after="0"/>
              <w:rPr>
                <w:rFonts w:ascii="Times New Roman" w:cs="Times New Roman" w:eastAsia="Times New Roman" w:hAnsi="Times New Roman"/>
                <w:sz w:val="18"/>
                <w:szCs w:val="18"/>
                <w:u w:val="single" w:color="auto"/>
                <w:color w:val="0000FF"/>
                <w:w w:val="88"/>
              </w:rPr>
            </w:pPr>
            <w:hyperlink w:anchor="page7">
              <w:r>
                <w:rPr>
                  <w:rFonts w:ascii="Times New Roman" w:cs="Times New Roman" w:eastAsia="Times New Roman" w:hAnsi="Times New Roman"/>
                  <w:sz w:val="18"/>
                  <w:szCs w:val="18"/>
                  <w:u w:val="single" w:color="auto"/>
                  <w:color w:val="0000FF"/>
                  <w:w w:val="88"/>
                </w:rPr>
                <w:t>2</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9440" w:type="dxa"/>
            <w:vAlign w:val="bottom"/>
          </w:tcPr>
          <w:p>
            <w:pPr>
              <w:ind w:left="2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Item 7: Management’s Discussion and Analysis of Financial Condition and Results of Operations</w:t>
              </w:r>
            </w:hyperlink>
          </w:p>
        </w:tc>
        <w:tc>
          <w:tcPr>
            <w:tcW w:w="600" w:type="dxa"/>
            <w:vAlign w:val="bottom"/>
            <w:gridSpan w:val="3"/>
          </w:tcPr>
          <w:p>
            <w:pPr>
              <w:jc w:val="center"/>
              <w:ind w:left="272"/>
              <w:spacing w:after="0"/>
              <w:rPr>
                <w:rFonts w:ascii="Times New Roman" w:cs="Times New Roman" w:eastAsia="Times New Roman" w:hAnsi="Times New Roman"/>
                <w:sz w:val="18"/>
                <w:szCs w:val="18"/>
                <w:u w:val="single" w:color="auto"/>
                <w:color w:val="0000FF"/>
                <w:w w:val="88"/>
              </w:rPr>
            </w:pPr>
            <w:hyperlink w:anchor="page8">
              <w:r>
                <w:rPr>
                  <w:rFonts w:ascii="Times New Roman" w:cs="Times New Roman" w:eastAsia="Times New Roman" w:hAnsi="Times New Roman"/>
                  <w:sz w:val="18"/>
                  <w:szCs w:val="18"/>
                  <w:u w:val="single" w:color="auto"/>
                  <w:color w:val="0000FF"/>
                  <w:w w:val="88"/>
                </w:rPr>
                <w:t>4</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9440" w:type="dxa"/>
            <w:vAlign w:val="bottom"/>
          </w:tcPr>
          <w:p>
            <w:pPr>
              <w:ind w:left="22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8: Financial Statements and Supplementary Data</w:t>
              </w:r>
            </w:hyperlink>
          </w:p>
        </w:tc>
        <w:tc>
          <w:tcPr>
            <w:tcW w:w="600" w:type="dxa"/>
            <w:vAlign w:val="bottom"/>
            <w:gridSpan w:val="3"/>
          </w:tcPr>
          <w:p>
            <w:pPr>
              <w:jc w:val="center"/>
              <w:ind w:left="292"/>
              <w:spacing w:after="0"/>
              <w:rPr>
                <w:rFonts w:ascii="Times New Roman" w:cs="Times New Roman" w:eastAsia="Times New Roman" w:hAnsi="Times New Roman"/>
                <w:sz w:val="18"/>
                <w:szCs w:val="18"/>
                <w:u w:val="single" w:color="auto"/>
                <w:color w:val="0000FF"/>
                <w:w w:val="99"/>
              </w:rPr>
            </w:pPr>
            <w:hyperlink w:anchor="page24">
              <w:r>
                <w:rPr>
                  <w:rFonts w:ascii="Times New Roman" w:cs="Times New Roman" w:eastAsia="Times New Roman" w:hAnsi="Times New Roman"/>
                  <w:sz w:val="18"/>
                  <w:szCs w:val="18"/>
                  <w:u w:val="single" w:color="auto"/>
                  <w:color w:val="0000FF"/>
                  <w:w w:val="99"/>
                </w:rPr>
                <w:t>19</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3"/>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Report of Independent Registered Public Accounting Firm</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ind w:right="360"/>
              <w:spacing w:after="0"/>
              <w:rPr>
                <w:rFonts w:ascii="Times New Roman" w:cs="Times New Roman" w:eastAsia="Times New Roman" w:hAnsi="Times New Roman"/>
                <w:sz w:val="18"/>
                <w:szCs w:val="18"/>
                <w:color w:val="0E32E1"/>
                <w:w w:val="95"/>
              </w:rPr>
            </w:pPr>
            <w:r>
              <w:rPr>
                <w:rFonts w:ascii="Times New Roman" w:cs="Times New Roman" w:eastAsia="Times New Roman" w:hAnsi="Times New Roman"/>
                <w:sz w:val="18"/>
                <w:szCs w:val="18"/>
                <w:color w:val="0E32E1"/>
                <w:w w:val="95"/>
              </w:rPr>
              <w:t>F-</w:t>
            </w:r>
            <w:hyperlink w:anchor="page25">
              <w:r>
                <w:rPr>
                  <w:rFonts w:ascii="Times New Roman" w:cs="Times New Roman" w:eastAsia="Times New Roman" w:hAnsi="Times New Roman"/>
                  <w:sz w:val="18"/>
                  <w:szCs w:val="18"/>
                  <w:color w:val="0E32E1"/>
                  <w:w w:val="95"/>
                </w:rPr>
                <w:t>1</w:t>
              </w:r>
            </w:hyperlink>
          </w:p>
        </w:tc>
      </w:tr>
      <w:tr>
        <w:trPr>
          <w:trHeight w:val="20"/>
        </w:trPr>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Consolidated Balance Sheets</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ind w:right="360"/>
              <w:spacing w:after="0"/>
              <w:rPr>
                <w:rFonts w:ascii="Times New Roman" w:cs="Times New Roman" w:eastAsia="Times New Roman" w:hAnsi="Times New Roman"/>
                <w:sz w:val="18"/>
                <w:szCs w:val="18"/>
                <w:color w:val="0E32E1"/>
                <w:w w:val="95"/>
              </w:rPr>
            </w:pPr>
            <w:r>
              <w:rPr>
                <w:rFonts w:ascii="Times New Roman" w:cs="Times New Roman" w:eastAsia="Times New Roman" w:hAnsi="Times New Roman"/>
                <w:sz w:val="18"/>
                <w:szCs w:val="18"/>
                <w:color w:val="0E32E1"/>
                <w:w w:val="95"/>
              </w:rPr>
              <w:t>F-</w:t>
            </w:r>
            <w:hyperlink w:anchor="page25">
              <w:r>
                <w:rPr>
                  <w:rFonts w:ascii="Times New Roman" w:cs="Times New Roman" w:eastAsia="Times New Roman" w:hAnsi="Times New Roman"/>
                  <w:sz w:val="18"/>
                  <w:szCs w:val="18"/>
                  <w:color w:val="0E32E1"/>
                  <w:w w:val="95"/>
                </w:rPr>
                <w:t>2</w:t>
              </w:r>
            </w:hyperlink>
          </w:p>
        </w:tc>
      </w:tr>
      <w:tr>
        <w:trPr>
          <w:trHeight w:val="20"/>
        </w:trPr>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Consolidated Statements of Operations and Comprehensive Income (Loss)</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ind w:right="360"/>
              <w:spacing w:after="0"/>
              <w:rPr>
                <w:rFonts w:ascii="Times New Roman" w:cs="Times New Roman" w:eastAsia="Times New Roman" w:hAnsi="Times New Roman"/>
                <w:sz w:val="18"/>
                <w:szCs w:val="18"/>
                <w:color w:val="0E32E1"/>
                <w:w w:val="95"/>
              </w:rPr>
            </w:pPr>
            <w:r>
              <w:rPr>
                <w:rFonts w:ascii="Times New Roman" w:cs="Times New Roman" w:eastAsia="Times New Roman" w:hAnsi="Times New Roman"/>
                <w:sz w:val="18"/>
                <w:szCs w:val="18"/>
                <w:color w:val="0E32E1"/>
                <w:w w:val="95"/>
              </w:rPr>
              <w:t>F-</w:t>
            </w:r>
            <w:hyperlink w:anchor="page26">
              <w:r>
                <w:rPr>
                  <w:rFonts w:ascii="Times New Roman" w:cs="Times New Roman" w:eastAsia="Times New Roman" w:hAnsi="Times New Roman"/>
                  <w:sz w:val="18"/>
                  <w:szCs w:val="18"/>
                  <w:color w:val="0E32E1"/>
                  <w:w w:val="95"/>
                </w:rPr>
                <w:t>3</w:t>
              </w:r>
            </w:hyperlink>
          </w:p>
        </w:tc>
      </w:tr>
      <w:tr>
        <w:trPr>
          <w:trHeight w:val="20"/>
        </w:trPr>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Consolidated Statements of Cash Flows</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ind w:right="360"/>
              <w:spacing w:after="0"/>
              <w:rPr>
                <w:rFonts w:ascii="Times New Roman" w:cs="Times New Roman" w:eastAsia="Times New Roman" w:hAnsi="Times New Roman"/>
                <w:sz w:val="18"/>
                <w:szCs w:val="18"/>
                <w:color w:val="0E32E1"/>
                <w:w w:val="95"/>
              </w:rPr>
            </w:pPr>
            <w:r>
              <w:rPr>
                <w:rFonts w:ascii="Times New Roman" w:cs="Times New Roman" w:eastAsia="Times New Roman" w:hAnsi="Times New Roman"/>
                <w:sz w:val="18"/>
                <w:szCs w:val="18"/>
                <w:color w:val="0E32E1"/>
                <w:w w:val="95"/>
              </w:rPr>
              <w:t>F-</w:t>
            </w:r>
            <w:hyperlink w:anchor="page27">
              <w:r>
                <w:rPr>
                  <w:rFonts w:ascii="Times New Roman" w:cs="Times New Roman" w:eastAsia="Times New Roman" w:hAnsi="Times New Roman"/>
                  <w:sz w:val="18"/>
                  <w:szCs w:val="18"/>
                  <w:color w:val="0E32E1"/>
                  <w:w w:val="95"/>
                </w:rPr>
                <w:t>4</w:t>
              </w:r>
            </w:hyperlink>
          </w:p>
        </w:tc>
      </w:tr>
      <w:tr>
        <w:trPr>
          <w:trHeight w:val="20"/>
        </w:trPr>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Consolidated Statements of Equity</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ind w:right="360"/>
              <w:spacing w:after="0"/>
              <w:rPr>
                <w:rFonts w:ascii="Times New Roman" w:cs="Times New Roman" w:eastAsia="Times New Roman" w:hAnsi="Times New Roman"/>
                <w:sz w:val="18"/>
                <w:szCs w:val="18"/>
                <w:color w:val="0E32E1"/>
                <w:w w:val="95"/>
              </w:rPr>
            </w:pPr>
            <w:r>
              <w:rPr>
                <w:rFonts w:ascii="Times New Roman" w:cs="Times New Roman" w:eastAsia="Times New Roman" w:hAnsi="Times New Roman"/>
                <w:sz w:val="18"/>
                <w:szCs w:val="18"/>
                <w:color w:val="0E32E1"/>
                <w:w w:val="95"/>
              </w:rPr>
              <w:t>F-</w:t>
            </w:r>
            <w:hyperlink w:anchor="page29">
              <w:r>
                <w:rPr>
                  <w:rFonts w:ascii="Times New Roman" w:cs="Times New Roman" w:eastAsia="Times New Roman" w:hAnsi="Times New Roman"/>
                  <w:sz w:val="18"/>
                  <w:szCs w:val="18"/>
                  <w:color w:val="0E32E1"/>
                  <w:w w:val="95"/>
                </w:rPr>
                <w:t>6</w:t>
              </w:r>
            </w:hyperlink>
          </w:p>
        </w:tc>
      </w:tr>
      <w:tr>
        <w:trPr>
          <w:trHeight w:val="20"/>
        </w:trPr>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Notes to the Consolidated Financial Statements</w:t>
              </w:r>
            </w:hyperlink>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ind w:right="360"/>
              <w:spacing w:after="0"/>
              <w:rPr>
                <w:rFonts w:ascii="Times New Roman" w:cs="Times New Roman" w:eastAsia="Times New Roman" w:hAnsi="Times New Roman"/>
                <w:sz w:val="18"/>
                <w:szCs w:val="18"/>
                <w:color w:val="0E32E1"/>
                <w:w w:val="95"/>
              </w:rPr>
            </w:pPr>
            <w:r>
              <w:rPr>
                <w:rFonts w:ascii="Times New Roman" w:cs="Times New Roman" w:eastAsia="Times New Roman" w:hAnsi="Times New Roman"/>
                <w:sz w:val="18"/>
                <w:szCs w:val="18"/>
                <w:color w:val="0E32E1"/>
                <w:w w:val="95"/>
              </w:rPr>
              <w:t>F-</w:t>
            </w:r>
            <w:hyperlink w:anchor="page30">
              <w:r>
                <w:rPr>
                  <w:rFonts w:ascii="Times New Roman" w:cs="Times New Roman" w:eastAsia="Times New Roman" w:hAnsi="Times New Roman"/>
                  <w:sz w:val="18"/>
                  <w:szCs w:val="18"/>
                  <w:color w:val="0E32E1"/>
                  <w:w w:val="95"/>
                </w:rPr>
                <w:t>7</w:t>
              </w:r>
            </w:hyperlink>
          </w:p>
        </w:tc>
      </w:tr>
      <w:tr>
        <w:trPr>
          <w:trHeight w:val="20"/>
        </w:trPr>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9440" w:type="dxa"/>
            <w:vAlign w:val="bottom"/>
          </w:tcPr>
          <w:p>
            <w:pPr>
              <w:ind w:left="44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Schedule II Valuation and Qualifying Accounts</w:t>
              </w:r>
            </w:hyperlink>
          </w:p>
        </w:tc>
        <w:tc>
          <w:tcPr>
            <w:tcW w:w="320" w:type="dxa"/>
            <w:vAlign w:val="bottom"/>
          </w:tcPr>
          <w:p>
            <w:pPr>
              <w:spacing w:after="0"/>
              <w:rPr>
                <w:sz w:val="24"/>
                <w:szCs w:val="24"/>
                <w:color w:val="auto"/>
              </w:rPr>
            </w:pPr>
          </w:p>
        </w:tc>
        <w:tc>
          <w:tcPr>
            <w:tcW w:w="340" w:type="dxa"/>
            <w:vAlign w:val="bottom"/>
            <w:tcBorders>
              <w:bottom w:val="single" w:sz="8" w:color="0E32E1"/>
            </w:tcBorders>
            <w:gridSpan w:val="3"/>
          </w:tcPr>
          <w:p>
            <w:pPr>
              <w:jc w:val="center"/>
              <w:spacing w:after="0"/>
              <w:rPr>
                <w:rFonts w:ascii="Times New Roman" w:cs="Times New Roman" w:eastAsia="Times New Roman" w:hAnsi="Times New Roman"/>
                <w:sz w:val="18"/>
                <w:szCs w:val="18"/>
                <w:color w:val="0E32E1"/>
                <w:w w:val="99"/>
              </w:rPr>
            </w:pPr>
            <w:r>
              <w:rPr>
                <w:rFonts w:ascii="Times New Roman" w:cs="Times New Roman" w:eastAsia="Times New Roman" w:hAnsi="Times New Roman"/>
                <w:sz w:val="18"/>
                <w:szCs w:val="18"/>
                <w:color w:val="0E32E1"/>
                <w:w w:val="99"/>
              </w:rPr>
              <w:t>F-</w:t>
            </w:r>
            <w:hyperlink w:anchor="page61">
              <w:r>
                <w:rPr>
                  <w:rFonts w:ascii="Times New Roman" w:cs="Times New Roman" w:eastAsia="Times New Roman" w:hAnsi="Times New Roman"/>
                  <w:sz w:val="18"/>
                  <w:szCs w:val="18"/>
                  <w:color w:val="0E32E1"/>
                  <w:w w:val="99"/>
                </w:rPr>
                <w:t>38</w:t>
              </w:r>
            </w:hyperlink>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40" w:top="1440" w:right="1159" w:bottom="1440" w:gutter="0" w:footer="0" w:header="0"/>
        </w:sectPr>
      </w:pPr>
    </w:p>
    <w:bookmarkStart w:id="6" w:name="page7"/>
    <w:bookmarkEnd w:id="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selected consolidated financial data set forth below should be read in conjunction with the audited consolidated financial statements and related notes and Item 7, “Management’s Discussion and Analysis of Financial Condition and Results of Operations” and other financial information appearing elsewhere herein. The historical results are not necessarily indicative of the results to be expected for any future periods.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Cumberland Pharmaceuticals Inc. ("Cumberland", “we”, “our” or "the Company") is a specialty pharmaceutical company focused on the acquisition, development and commercialization of branded prescription products. This Current Report on Form 8-K (“Form 8-K”) is being filed to recast historical financial information, originally included in our Annual Report on Form 10-K for the year ended December 31, 2019 ("2019 Form 10-K") to reflect the presentation of two Products we no longer distribute as discontinued operations.</w:t>
      </w:r>
    </w:p>
    <w:p>
      <w:pPr>
        <w:spacing w:after="0" w:line="20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During May 2019, Cumberland entered into a Dissolution Agreement ("Dissolution Agreement") with Clinigen Healthcare Limited ("Clinigen") in which the Company returned the exclusive rights to commercialize Ethyol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Totect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Products”)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the Products meets the accounting criteria to be reported as discontinued operations and the discontinued operating results have been reclassified in the financial statements and footnotes for all periods presented.</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1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data: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40" w:type="dxa"/>
            <w:vAlign w:val="bottom"/>
            <w:tcBorders>
              <w:bottom w:val="single" w:sz="8" w:color="auto"/>
            </w:tcBorders>
          </w:tcPr>
          <w:p>
            <w:pPr>
              <w:spacing w:after="0"/>
              <w:rPr>
                <w:sz w:val="18"/>
                <w:szCs w:val="18"/>
                <w:color w:val="auto"/>
              </w:rPr>
            </w:pPr>
          </w:p>
        </w:tc>
      </w:tr>
      <w:tr>
        <w:trPr>
          <w:trHeight w:val="186"/>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1"/>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14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4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shd w:val="clear" w:color="auto" w:fill="CCEEFF"/>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 - 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 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r>
      <w:tr>
        <w:trPr>
          <w:trHeight w:val="270"/>
        </w:trPr>
        <w:tc>
          <w:tcPr>
            <w:tcW w:w="4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 -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 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28,213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45,413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34,510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38,203</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4,672</w:t>
            </w:r>
          </w:p>
        </w:tc>
        <w:tc>
          <w:tcPr>
            <w:tcW w:w="2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15,622</w:t>
            </w:r>
          </w:p>
        </w:tc>
        <w:tc>
          <w:tcPr>
            <w:tcW w:w="360" w:type="dxa"/>
            <w:vAlign w:val="bottom"/>
          </w:tcPr>
          <w:p>
            <w:pPr>
              <w:spacing w:after="0"/>
              <w:rPr>
                <w:sz w:val="19"/>
                <w:szCs w:val="19"/>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26,013</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50,990</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50,753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52,172</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104,549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112,694</w:t>
            </w:r>
          </w:p>
        </w:tc>
        <w:tc>
          <w:tcPr>
            <w:tcW w:w="2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93,232</w:t>
            </w:r>
          </w:p>
        </w:tc>
        <w:tc>
          <w:tcPr>
            <w:tcW w:w="2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93,405</w:t>
            </w:r>
          </w:p>
        </w:tc>
        <w:tc>
          <w:tcPr>
            <w:tcW w:w="360" w:type="dxa"/>
            <w:vAlign w:val="bottom"/>
          </w:tcPr>
          <w:p>
            <w:pPr>
              <w:spacing w:after="0"/>
              <w:rPr>
                <w:sz w:val="19"/>
                <w:szCs w:val="19"/>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91,919</w:t>
            </w: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long-term debt (including current portion) and other</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29,314</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11,616</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5,491</w:t>
            </w: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11,709</w:t>
            </w:r>
          </w:p>
        </w:tc>
        <w:tc>
          <w:tcPr>
            <w:tcW w:w="2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18,605</w:t>
            </w:r>
          </w:p>
        </w:tc>
        <w:tc>
          <w:tcPr>
            <w:tcW w:w="360" w:type="dxa"/>
            <w:vAlign w:val="bottom"/>
          </w:tcPr>
          <w:p>
            <w:pPr>
              <w:spacing w:after="0"/>
              <w:rPr>
                <w:sz w:val="19"/>
                <w:szCs w:val="19"/>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19,550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51,085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63,922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73,121</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76,820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8" w:name="page9"/>
    <w:bookmarkEnd w:id="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and analysis of our financial position and results of operations should be read together with our audited consolidated</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statements and related notes appearing elsewhere in this Form 8-K. Statements in this Form 8-K that are not historical factual statements are “forward-looking statements.”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risk factors contained in our 2019 Form 10-K and other periodic filings with the Securities Exchange Commission.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spacing w:after="0" w:line="9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Impacts on our business as well as national and international markets and economies resulting from the 2020 COVID-19 pandemic;</w:t>
      </w:r>
    </w:p>
    <w:p>
      <w:pPr>
        <w:spacing w:after="0" w:line="107"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possible or assumed future results of operations, including the accuracy of our estimates regarding expenses, future revenues, capital requirements and needs for additional financing;</w:t>
      </w:r>
    </w:p>
    <w:p>
      <w:pPr>
        <w:spacing w:after="0" w:line="89"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competitive position and competitors, including the size and growth potential of the markets for our products and product candidates;</w:t>
      </w:r>
    </w:p>
    <w:p>
      <w:pPr>
        <w:spacing w:after="0" w:line="107"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success, cost and timing of our product acquisition and development activities and clinical trials; and our ability to successfully commercialize our product candidates;</w:t>
      </w:r>
    </w:p>
    <w:p>
      <w:pPr>
        <w:spacing w:after="0" w:line="89"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Product efficacy or safety concerns, whether or not based on scientific evidence, resulting in product withdrawals, recalls, regulatory action on the part of the Food and Drug Administration (or international counterparts) or declining sales;</w:t>
      </w:r>
    </w:p>
    <w:p>
      <w:pPr>
        <w:spacing w:after="0" w:line="89"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89"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spacing w:after="0" w:line="89" w:lineRule="exact"/>
        <w:rPr>
          <w:rFonts w:ascii="Arial" w:cs="Arial" w:eastAsia="Arial" w:hAnsi="Arial"/>
          <w:sz w:val="20"/>
          <w:szCs w:val="20"/>
          <w:color w:val="auto"/>
        </w:rPr>
      </w:pPr>
    </w:p>
    <w:p>
      <w:pPr>
        <w:jc w:val="both"/>
        <w:ind w:left="660" w:hanging="328"/>
        <w:spacing w:after="0" w:line="252"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 and</w:t>
      </w:r>
    </w:p>
    <w:p>
      <w:pPr>
        <w:spacing w:after="0" w:line="93" w:lineRule="exact"/>
        <w:rPr>
          <w:rFonts w:ascii="Arial" w:cs="Arial" w:eastAsia="Arial" w:hAnsi="Arial"/>
          <w:sz w:val="20"/>
          <w:szCs w:val="20"/>
          <w:color w:val="auto"/>
        </w:rPr>
      </w:pPr>
    </w:p>
    <w:p>
      <w:pPr>
        <w:jc w:val="both"/>
        <w:ind w:left="660" w:hanging="328"/>
        <w:spacing w:after="0" w:line="251"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w:t>
      </w:r>
    </w:p>
    <w:p>
      <w:pPr>
        <w:spacing w:after="0" w:line="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We have identified the factors on this list as permitted by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3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are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the quality of care for patients and 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portfolio of FDA approved brands includes:</w:t>
      </w:r>
    </w:p>
    <w:p>
      <w:pPr>
        <w:spacing w:after="0" w:line="152" w:lineRule="exact"/>
        <w:rPr>
          <w:sz w:val="20"/>
          <w:szCs w:val="20"/>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0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8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for Oral Solution, a prescription laxative, for the treatment of chronic and acute constipation;</w:t>
      </w:r>
    </w:p>
    <w:p>
      <w:pPr>
        <w:spacing w:after="0" w:line="98" w:lineRule="exact"/>
        <w:rPr>
          <w:rFonts w:ascii="Times New Roman" w:cs="Times New Roman" w:eastAsia="Times New Roman" w:hAnsi="Times New Roman"/>
          <w:sz w:val="18"/>
          <w:szCs w:val="18"/>
          <w:color w:val="auto"/>
        </w:rPr>
      </w:pPr>
    </w:p>
    <w:p>
      <w:pPr>
        <w:ind w:left="1620" w:hanging="316"/>
        <w:spacing w:after="0" w:line="231" w:lineRule="auto"/>
        <w:tabs>
          <w:tab w:leader="none" w:pos="1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Omeclamox</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-Pak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omeprazole, clarithromycin, amoxicillin</w:t>
      </w:r>
      <w:r>
        <w:rPr>
          <w:rFonts w:ascii="Times New Roman" w:cs="Times New Roman" w:eastAsia="Times New Roman" w:hAnsi="Times New Roman"/>
          <w:sz w:val="18"/>
          <w:szCs w:val="18"/>
          <w:color w:val="auto"/>
        </w:rPr>
        <w:t>) for the treatment of Helicobacter pylori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infection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duodenal ulcer disease;</w:t>
      </w:r>
    </w:p>
    <w:p>
      <w:pPr>
        <w:spacing w:after="0" w:line="126" w:lineRule="exact"/>
        <w:rPr>
          <w:rFonts w:ascii="Times New Roman" w:cs="Times New Roman" w:eastAsia="Times New Roman" w:hAnsi="Times New Roman"/>
          <w:sz w:val="18"/>
          <w:szCs w:val="18"/>
          <w:color w:val="auto"/>
        </w:rPr>
      </w:pPr>
    </w:p>
    <w:p>
      <w:pPr>
        <w:ind w:left="1620" w:hanging="316"/>
        <w:spacing w:after="0" w:line="231" w:lineRule="auto"/>
        <w:tabs>
          <w:tab w:leader="none" w:pos="16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hyponatremia;</w:t>
      </w:r>
    </w:p>
    <w:p>
      <w:pPr>
        <w:spacing w:after="0" w:line="114" w:lineRule="exact"/>
        <w:rPr>
          <w:rFonts w:ascii="Times New Roman" w:cs="Times New Roman" w:eastAsia="Times New Roman" w:hAnsi="Times New Roman"/>
          <w:sz w:val="18"/>
          <w:szCs w:val="18"/>
          <w:b w:val="1"/>
          <w:bCs w:val="1"/>
          <w:color w:val="auto"/>
        </w:rPr>
      </w:pPr>
    </w:p>
    <w:p>
      <w:pPr>
        <w:ind w:left="1620" w:hanging="316"/>
        <w:spacing w:after="0" w:line="231" w:lineRule="auto"/>
        <w:tabs>
          <w:tab w:leader="none" w:pos="1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 bacterial pneumonia, as well as complicated skin and skin structure infections; and</w:t>
      </w:r>
    </w:p>
    <w:p>
      <w:pPr>
        <w:spacing w:after="0" w:line="98" w:lineRule="exact"/>
        <w:rPr>
          <w:rFonts w:ascii="Times New Roman" w:cs="Times New Roman" w:eastAsia="Times New Roman" w:hAnsi="Times New Roman"/>
          <w:sz w:val="18"/>
          <w:szCs w:val="18"/>
          <w:color w:val="auto"/>
        </w:rPr>
      </w:pPr>
    </w:p>
    <w:p>
      <w:pPr>
        <w:ind w:left="1620" w:hanging="316"/>
        <w:spacing w:after="0" w:line="224" w:lineRule="auto"/>
        <w:tabs>
          <w:tab w:leader="none" w:pos="16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RediTrex</w:t>
      </w:r>
      <w:r>
        <w:rPr>
          <w:rFonts w:ascii="Arial" w:cs="Arial" w:eastAsia="Arial" w:hAnsi="Arial"/>
          <w:sz w:val="28"/>
          <w:szCs w:val="28"/>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methotrexate</w:t>
      </w:r>
      <w:r>
        <w:rPr>
          <w:rFonts w:ascii="Times New Roman" w:cs="Times New Roman" w:eastAsia="Times New Roman" w:hAnsi="Times New Roman"/>
          <w:sz w:val="18"/>
          <w:szCs w:val="18"/>
          <w:color w:val="auto"/>
        </w:rPr>
        <w:t>) Injection, for the treatment of active rheumatoid, juvenile idiopathic and severe psoriatic arthritis,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disabling psoriasis.</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have Phase II clinical programs underway evaluating our ifetroban product candidates in patients with cardiomyopathy associated with Duchenne Muscular Dystrophy (“DMD”), Systemic Sclerosis (“SSc”), and Aspirin-Exacerbated Respiratory Disease ("AERD"). We have also completed Phase II clinical programs with ifetroban in patients with Hepatorenal Syndrome (“HRS”) and patients with Portal Hypertension (“PH”).</w:t>
      </w:r>
    </w:p>
    <w:p>
      <w:pPr>
        <w:spacing w:after="0" w:line="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promote our approved products through our hospital and gastroenterology sales forces in the United States, which together comprised approximately 40 sales representatives and managers as of December 31, 2019.</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both product development and commercial capabilities and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opportunities. Our product development team creates proprietary product formulations, manages our clinical studies, prepares all regulatory submissions and manages our medical call center. Our quality and manufacturing professionals oversee the manufacture, release and shipment of our products. Our marketing and sales professionals are responsible for our commercial activities, and we work closely with our distribution partners to ensure availability and delivery of our products.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a summary of our 2019 highlights and recent developments. For more information, please see Part I, Item I,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our 2019 Form 10-K.</w:t>
      </w:r>
    </w:p>
    <w:p>
      <w:pPr>
        <w:spacing w:after="0" w:line="79" w:lineRule="exact"/>
        <w:rPr>
          <w:sz w:val="20"/>
          <w:szCs w:val="20"/>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in 2019, we announced a strategic review of our brands, capabilities, and international partners. This review followed an accelerated business development initiative, which resulted in a series of transactions. Because of that progress, we felt that it was prudent to take a fresh look at our product portfolio, partners, and organization to ensure proper focus and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6" w:lineRule="exact"/>
        <w:rPr>
          <w:sz w:val="20"/>
          <w:szCs w:val="20"/>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 License and Distribution agreement with HongKong WinHealth Pharma Group Co. Limited (“WinHealth”) for our Caldolor and Acetadote brands in China and Hong Kong.</w:t>
      </w:r>
    </w:p>
    <w:p>
      <w:pPr>
        <w:spacing w:after="0" w:line="80"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entered into a Strategic Alliance agreement with WinHealth to explore future business opportunities that will further the mission and goals of each organization.</w:t>
      </w:r>
    </w:p>
    <w:p>
      <w:pPr>
        <w:spacing w:after="0" w:line="94"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assignment and amendment of a Commercialization Agreement with R-Pharma JSC (“R Pharma”) associated with ongoing distribution of Vibativ in Russia and a number of adjacent countries in Eastern Europe.</w:t>
      </w:r>
    </w:p>
    <w:p>
      <w:pPr>
        <w:spacing w:after="0" w:line="94"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assignment and amendment of a Commercialization Agreement with Hikma Pharmaceuticals LLC (“Hikma”) to register and distribute Vibativ in a number of countries throughout the Middle East.</w:t>
      </w:r>
    </w:p>
    <w:p>
      <w:pPr>
        <w:spacing w:after="0" w:line="80"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completed the assignment and amendment of a Commercialization Agreement with Dr. Reddy’s Laboratories Limited (“Dr. Reddy’s”) for the registration and distribution of Vibativ in India.</w:t>
      </w:r>
    </w:p>
    <w:p>
      <w:pPr>
        <w:spacing w:after="0" w:line="94"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concluded our distribution and support for Ethyol and Totect at the end of 2019 and transitioned the responsibility for these products back to Clinigen.</w:t>
      </w:r>
    </w:p>
    <w:p>
      <w:pPr>
        <w:spacing w:after="0" w:line="9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from sales of each of Caldolor, Omeclamox, Kristalose and Ethyol grew in 2019 compared to 2018.</w:t>
      </w:r>
    </w:p>
    <w:p>
      <w:pPr>
        <w:spacing w:after="0" w:line="14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the FDA approved the application for our next generation Caldolor product. In April 2019, we began initial shipments of the product to select customers. During the third and fourth quarters of 2019, there was a growing demand for the new product from these select accounts and we began planning for a full-scale launch in 2020</w:t>
      </w:r>
      <w:r>
        <w:rPr>
          <w:rFonts w:ascii="Arial" w:cs="Arial" w:eastAsia="Arial" w:hAnsi="Arial"/>
          <w:sz w:val="18"/>
          <w:szCs w:val="18"/>
          <w:color w:val="auto"/>
        </w:rPr>
        <w:t>.</w:t>
      </w:r>
    </w:p>
    <w:p>
      <w:pPr>
        <w:spacing w:after="0" w:line="1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In late 2019, we received FDA approval for RediTrex and began planning for a 2020 launch of this product line.</w:t>
      </w:r>
    </w:p>
    <w:p>
      <w:pPr>
        <w:spacing w:after="0" w:line="156" w:lineRule="exact"/>
        <w:rPr>
          <w:rFonts w:ascii="Arial" w:cs="Arial" w:eastAsia="Arial" w:hAnsi="Arial"/>
          <w:sz w:val="18"/>
          <w:szCs w:val="18"/>
          <w:color w:val="auto"/>
        </w:rPr>
      </w:pPr>
    </w:p>
    <w:p>
      <w:pPr>
        <w:jc w:val="both"/>
        <w:ind w:left="328" w:hanging="328"/>
        <w:spacing w:after="0" w:line="261"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2019, Cumberland announced U.S. Food and Drug Administration ("FDA") Orphan Drug Grant funding for a new Phase II clinical program. The Company has initiated the clinical development of ifetroban for the treatment of cardiomyopathy associated with Duchenne Muscular Dystrophy (“DMD”). In addition, Cumberland has been awarded just over $1 million in funding from the FDA through their Orphan Drug Grant program to support this Phase II DMD clinical study.</w:t>
      </w:r>
    </w:p>
    <w:p>
      <w:pPr>
        <w:spacing w:after="0" w:line="98"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a new study was published revealing the superiority of Vibativ (telavancin) over vancomycin in select patients with bacterial pneumonia.</w:t>
      </w:r>
    </w:p>
    <w:p>
      <w:pPr>
        <w:spacing w:after="0" w:line="92" w:lineRule="exact"/>
        <w:rPr>
          <w:rFonts w:ascii="Times New Roman" w:cs="Times New Roman" w:eastAsia="Times New Roman" w:hAnsi="Times New Roman"/>
          <w:sz w:val="18"/>
          <w:szCs w:val="18"/>
          <w:color w:val="auto"/>
        </w:rPr>
      </w:pPr>
    </w:p>
    <w:p>
      <w:pPr>
        <w:ind w:left="328" w:right="20" w:hanging="328"/>
        <w:spacing w:after="0" w:line="284"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2019, we announced another study, published online in </w:t>
      </w:r>
      <w:r>
        <w:rPr>
          <w:rFonts w:ascii="Times New Roman" w:cs="Times New Roman" w:eastAsia="Times New Roman" w:hAnsi="Times New Roman"/>
          <w:sz w:val="18"/>
          <w:szCs w:val="18"/>
          <w:i w:val="1"/>
          <w:iCs w:val="1"/>
          <w:color w:val="auto"/>
        </w:rPr>
        <w:t>Drugs - Real World Outcomes</w:t>
      </w:r>
      <w:r>
        <w:rPr>
          <w:rFonts w:ascii="Times New Roman" w:cs="Times New Roman" w:eastAsia="Times New Roman" w:hAnsi="Times New Roman"/>
          <w:sz w:val="18"/>
          <w:szCs w:val="18"/>
          <w:color w:val="auto"/>
        </w:rPr>
        <w:t>, detailing the positive clinical outcomes that resulted from treating multiple infection types with Vibativ.</w:t>
      </w:r>
    </w:p>
    <w:p>
      <w:pPr>
        <w:spacing w:after="0" w:line="92"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2019, Cumberland largely completed the transition of activities to support Vibativ, which Cumberland acquired from Theravance Biopharma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1" w:name="page12"/>
    <w:bookmarkEnd w:id="11"/>
    <w:p>
      <w:pPr>
        <w:ind w:right="3760"/>
        <w:spacing w:after="0" w:line="417" w:lineRule="auto"/>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 Accounting Estimates and Judgments</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are not determined from other sources. Actual results could differ from these estimates. These estimates, judgments and assumptions are most critical with respect to our accounting for revenue recognition, marketable securities, inventory, intangible assets, research and development accounting, contingent consideration liability, provision for income taxes and share-based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 Results for reporting periods beginning after January 1, 2018 are presented under ASC 606, while prior period amounts were not adjusted and are reported in accordance with ASC 605.</w:t>
      </w:r>
    </w:p>
    <w:p>
      <w:pPr>
        <w:spacing w:after="0" w:line="9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income was approximately 5.8% percent of net revenues in 2019, 1.8% in 2018, and 2.9% in 2017 respectively.</w:t>
      </w:r>
    </w:p>
    <w:p>
      <w:pPr>
        <w:spacing w:after="0" w:line="12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statements reflect accounts receivable allowances of $0.8 million and $0.7 million at December 31, 2019 and 2018, respectively, for chargebacks, discounts and allowances for product damaged in shipment.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our sales-related accrual activity for the periods indicated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145"/>
        </w:trPr>
        <w:tc>
          <w:tcPr>
            <w:tcW w:w="5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4,140,980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3,988,600</w:t>
            </w: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provision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13,081,251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11,192,489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10,960,243</w:t>
            </w:r>
          </w:p>
        </w:tc>
      </w:tr>
      <w:tr>
        <w:trPr>
          <w:trHeight w:val="23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Actual product returns and credits issued</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(13,449,715)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(10,371,838)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(10,807,863)</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4,593,167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4,961,631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4,140,980</w:t>
            </w:r>
          </w:p>
        </w:tc>
      </w:tr>
      <w:tr>
        <w:trPr>
          <w:trHeight w:val="20"/>
        </w:trPr>
        <w:tc>
          <w:tcPr>
            <w:tcW w:w="5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allowances for chargebacks, discounts, and damaged products and sales related accruals for rebates and product returns are determined on a product-by-product basis. We establish them using our best estimate at the time of sale based on:</w:t>
      </w:r>
    </w:p>
    <w:p>
      <w:pPr>
        <w:spacing w:after="0" w:line="9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product’s historical experience adjusted to reflect known changes in the factors that impact such allowances;</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with direct and indirect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12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Analyses of historical levels of chargebacks, discounts and credits claimed for damaged and expired product;</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customers;</w:t>
      </w:r>
    </w:p>
    <w:p>
      <w:pPr>
        <w:spacing w:after="0" w:line="157" w:lineRule="exact"/>
        <w:rPr>
          <w:rFonts w:ascii="Times New Roman" w:cs="Times New Roman" w:eastAsia="Times New Roman" w:hAnsi="Times New Roman"/>
          <w:sz w:val="18"/>
          <w:szCs w:val="18"/>
          <w:color w:val="auto"/>
        </w:rPr>
      </w:pPr>
    </w:p>
    <w:p>
      <w:pPr>
        <w:ind w:left="980"/>
        <w:spacing w:after="0" w:line="282" w:lineRule="auto"/>
        <w:tabs>
          <w:tab w:leader="none" w:pos="12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information about the rate of prescriptions being written and the level of inventory remaining in the distribution channel, if known; and</w:t>
      </w:r>
    </w:p>
    <w:p>
      <w:pPr>
        <w:spacing w:after="0" w:line="9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the market for each product, including any anticipated introduction of competitive products.</w:t>
      </w:r>
    </w:p>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w:t>
      </w:r>
    </w:p>
    <w:p>
      <w:pPr>
        <w:spacing w:after="0" w:line="1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allowances for chargebacks and accruals for rebates and product returns are the most significant estimates used in the recognition of our revenue from product sales. Of the accounts receivable allowances and our sales related accruals, our accrual for fee for services and product returns represents the majority of the balance. Sales related accrued liabilities for rebates, product returns, service fees, and administrative fees totaled $4.6 million, $5.0 million and $4.1 million as of December 31, 2019, 2018 and 2017, respectively. Of these amounts, our estimated liability for fee for services represented $1.4 million, $1.8 million and $1.1 million, respectively, while our accrual for product returns totaled $1.9 million, $1.8 million and $1.9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$0.4 million for the year ended December 31, 2019 and $0.3 million for the years ended December 31, 2018 and 2017, respectively. A change in our product return estimate of one percentage point would have impacted net sales by $0.3 million for the years ended December 31, 2019, 2018 and 2017.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Marketable Securities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invested a portion of our cash reserves in short-term cash investments, U.S. Treasury notes and bonds, corporate bonds and commercial paper in order to maximize our return on cash. We classify these investments as trading securities, and mark the investments to fair value at the end of each reporting period, with the adjustment being recognized in the statement of income as a component of interest income. These investments are generally valued using observable market prices by third-party pricing services, or are derived from such services' pricing models. The level of management judgment required in establishing fair value of financial instruments for which there is a quoted price in an active market is minimal. Similarly, there is little subjectivity or judgment required for instruments valued using valuation models that are standard across the industry and where all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2019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adopted FASB ASU 2016-09, "Compensation - Stock Compensation: Improvements to Employee Share-Based Payment Accounting" effective January 1, 2017. The impact of adoption on our consolidated financial statements included the recording of $44.1 million in previously unrecognized net operating loss carryforwards, net of valuation allowances, generated from the exercise of nonqualified options during 2009. These net operating loss carryforwards occurred as a result of the actual tax benefit realized upon employee exercise exceeding the cumulative book compensation charge associated with the options.</w:t>
      </w:r>
    </w:p>
    <w:p>
      <w:pPr>
        <w:spacing w:after="0" w:line="1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adoption resulted in the recording of $1.1 million in net non-current deferred tax assets and retained earnings effective as of January 1, 2017. The $1.1 million in net non-current deferred tax assets was the result of a deferred tax asset of $17.0 million, net of a related valuation allowance of $15.9 million. Under the previous accounting guidance, these benefits had been recognized in the year in which they were able to reduce current income taxes payable and we recorded these benefits directly to equity. As part of our adoption of the FASB guidance and its continued evaluation of our utilization of net operating loss carryforwards and other deferred tax assets, including updates to our forecasts of future taxable income, we also recorded an additional valuation allowance of $1.0 million for our federal Orphan Drug and Research and Development tax credits that expire between 2021 and 2036.</w:t>
      </w:r>
    </w:p>
    <w:p>
      <w:pPr>
        <w:spacing w:after="0" w:line="1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2017, as part of our continued evaluation of the utilization of our net operating loss carryforwards we recorded an additional valuation allowance of $3.5 million for our remaining deferred tax assets. All deferred tax assets have a full valuation allowance.</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operating loss carryforwards generated during 2009 consisted of $44.1 million in federal and $45.4 million in state amounts. Since they were generated, we have utilized these net operating loss carryforwards to pay minimal income taxes. We will continue to experience a reduction in income taxes paid in future years, through the continued utilization of these net operating loss carryforwards, as we are able to achieve taxable income through our operations. The Company’s accounting policy with respect to interest and penalties arising from income tax settlements is to recognize them as part of the provision for income taxes.</w:t>
      </w:r>
    </w:p>
    <w:p>
      <w:pPr>
        <w:spacing w:after="0" w:line="1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22, 2017, the Tax Cut and Jobs Act (the "Tax Act”) was signed into law. The Tax Act provides for significant changes in the U.S. Internal Revenue Code of 1986, as amended. The Tax Act contains provisions with separate effective dates but is generally effective for taxable years beginning after December 31, 2017. Certain provisions of the Tax Act were effective during our fiscal year ending December 31, 2018 with all provisions of the Tax Act effective as of the beginning of our fiscal year ending December 31, 2019.</w:t>
      </w:r>
    </w:p>
    <w:p>
      <w:pPr>
        <w:spacing w:after="0" w:line="1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ASC Topic 740, Income Taxes (“ASC 740”), we are required to revalue any deferred tax assets or liabilities in the period of enactment of change in tax rates. The Tax Act lowers the corporate income tax rate from 35% to 21%. As a result of the Tax Act discussed above, we will experience a positive impact to our future results of operations to the extent we achieve taxable income through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compensation expense for all share-based payments based on the fair value of the award on the date of grant. In addition, incremental compensation expense is recognized upon the modification of equity awards.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issue restricted stock awards at no cost in lieu of stock options to employees, directors and consultants. Compensation expense for restricted stock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2019 compared to year ended December 31, 2018</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statements of operations for continuing operations for the years ended December 31, 2019 and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34,388,295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29,344,894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5,043,401</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7,421,316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15,277,740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14,004,933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9,974,384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10,150,777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4,134,557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1,365,091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43,676,477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40,517,890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3,158,587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(9,291,004)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(10,804,360)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(9,211,688)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(10,820,996)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revenues for the years presented:</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3,824,449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4,284,111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(459,662)</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214,532</w:t>
            </w: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12,895,120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12,055,625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839,495</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(827,259)</w:t>
            </w: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5,222,282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5,001,997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220,285</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8,691,550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3,616,493</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1,980,450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1,439,517</w:t>
            </w:r>
          </w:p>
        </w:tc>
      </w:tr>
      <w:tr>
        <w:trPr>
          <w:trHeight w:val="248"/>
        </w:trPr>
        <w:tc>
          <w:tcPr>
            <w:tcW w:w="4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34,388,295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year ended December 31, 2019 were approximately $34.4 million compared to $29.3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representing an increase of $5.0 million or 17.2%. Four of our products, Omeclamox-Pak, Kristalose, Caldolor and Vibativ, experienced an increase in revenue during 2019. The 17.2% improvement was led by our newest product, Vibativ, which delivered an additional $3.6 million during the full year of 2019 compared to a partial year during 2018. These increases were partially offset by decreased net product sales of Acetadote and Vaprisol.</w:t>
      </w:r>
    </w:p>
    <w:p>
      <w:pPr>
        <w:spacing w:after="0" w:line="11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returned the exclusive rights to commercialize Ethyol and Totect in the United States to Clinigen effective January 1, 2020. As a result, the 2019 and 2018 revenues and expenses associated with the products are combined and reclassified into discontinued operations in our financial statements. In exchange for the return of these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license rights and associated non-compete provision, Cumberland is receiving $5 million in financial consideration paid over the two-years following the return date. We do not incur expenses associated with these payments from Clinigen.</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Kristalose revenue increased by $0.8 million, or 7.0%, compared to December 31, 2018 primarily as a result of increased wholesale prices. The product's net revenue was also positively impacted by lower managed care rebates, resulting in improved net pricing for the product for the year ended December 31, 2019.</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Caldolor revenue experienced a 4.4% increase to $5.2 million during the year ended December 31, 2019 compared to $5.0 million in the same period last year. This increase in Caldolor revenue for the year ended December 31, 2019 was the result of an 11% increase in domestic shipments of the product and improved net pricing. The changes were partially offset by a reduction in international shipments of Caldolor in 2019 over 2018.</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Omeclamox-Pak revenue increased $0.2 million or 34.4% during the year ended December 31, 2019 compared to the prior year. The increase was largely the result of increased sales volume partially offset by higher expired product sales returns.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Vaprisol revenue decreased $0.8 million during the year ended December 31, 2019 compared to the prior year period due primarily to decreased sales of the product. The prior year period sales were higher as a result of the arrival of a new lot of the product during April 2018 resolving temporary supply issues associated with the product.</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Acetadote revenue included net sales of our branded product and our share of net sales from our Authorized Generic. For the year ended December 31, 2019, the Acetadote net revenue decreased $0.5 million or 10.7% compared to the prior year due to a reduction in sales volume as a result of generic competition.</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year ended December 31, 2019 were $7.4 million, compared to $6.0 million in the prior year.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net revenues, cost of products sold were 21.6% compared to 20.5% during the prior year. The change in costs of products sold as a percentage of revenue was attributable to a change in the product sales mix during the period compared to the prior year.</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year ended December 31, 2019 were $15.3 million, which was an increase of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prior year's expense of $14.0 million. This increase was primarily attributable to promotional spending and sales force costs, including salary and benefits for the increased sales force. The increase in the sales force and promotional spending is due largely to the addition of our newest brand, Vibativ, during the fourth quarter of 2018.</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year ended December 31, 2019 were $6.9 million, compared to $7.6 million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representing a decrease of $0.7 million. A portion of our research and development costs are variable based on the number of trials, study sites and patients involved in the development of our product candidates. The decrease was primarily the result of the FDA program fee of $1.3 million paid during 2018 associated with the successful RediTrex FDA submission.</w:t>
      </w:r>
    </w:p>
    <w:p>
      <w:pPr>
        <w:spacing w:after="0" w:line="11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year ended December 31, 2019 was $10.0 million for 2019, compared to $10.2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last year. The $0.2 million or, 1.7%, decrease from the same period for the prior year was primarily driven by a decrease in compensation and benefits, including non-cash stock based compensation and deferred compensation.</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2019 totaled approximately $4.1 million, which was an increase of $1.4 million over the prior year. The increase in expense was attributable to the amortization of additional product rights and capitalized patents, including those assets associated with the Vibativ acquisition.</w:t>
      </w:r>
    </w:p>
    <w:p>
      <w:pPr>
        <w:spacing w:after="0" w:line="11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benefit for the year ended December 31, 2019 was $79,316. As a percentage of income (loss) before income taxes,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were a benefit of 0.9% for the year ended December 31, 2019 compared to income tax expense as a percentage of loss before income taxes of 0.2%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2017</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statements of operations for continuing operations for the years ended December 31, 2018 and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29,344,894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26,322,627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3,022,267</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598,812</w:t>
            </w:r>
          </w:p>
        </w:tc>
        <w:tc>
          <w:tcPr>
            <w:tcW w:w="120" w:type="dxa"/>
            <w:vAlign w:val="bottom"/>
            <w:shd w:val="clear" w:color="auto" w:fill="CCEEFF"/>
          </w:tcPr>
          <w:p>
            <w:pPr>
              <w:spacing w:after="0"/>
              <w:rPr>
                <w:sz w:val="19"/>
                <w:szCs w:val="19"/>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14,004,933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13,489,178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515,755</w:t>
            </w:r>
          </w:p>
        </w:tc>
        <w:tc>
          <w:tcPr>
            <w:tcW w:w="12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4,247,623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3,328,269</w:t>
            </w:r>
          </w:p>
        </w:tc>
        <w:tc>
          <w:tcPr>
            <w:tcW w:w="120" w:type="dxa"/>
            <w:vAlign w:val="bottom"/>
            <w:shd w:val="clear" w:color="auto" w:fill="CCEEFF"/>
          </w:tcPr>
          <w:p>
            <w:pPr>
              <w:spacing w:after="0"/>
              <w:rPr>
                <w:sz w:val="19"/>
                <w:szCs w:val="19"/>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10,150,777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9,610,967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539,810</w:t>
            </w:r>
          </w:p>
        </w:tc>
        <w:tc>
          <w:tcPr>
            <w:tcW w:w="12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333,244</w:t>
            </w:r>
          </w:p>
        </w:tc>
        <w:tc>
          <w:tcPr>
            <w:tcW w:w="120" w:type="dxa"/>
            <w:vAlign w:val="bottom"/>
            <w:shd w:val="clear" w:color="auto" w:fill="CCEEFF"/>
          </w:tcPr>
          <w:p>
            <w:pPr>
              <w:spacing w:after="0"/>
              <w:rPr>
                <w:sz w:val="19"/>
                <w:szCs w:val="19"/>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40,517,890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35,202,000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5,315,890</w:t>
            </w:r>
          </w:p>
        </w:tc>
        <w:tc>
          <w:tcPr>
            <w:tcW w:w="120" w:type="dxa"/>
            <w:vAlign w:val="bottom"/>
            <w:tcBorders>
              <w:bottom w:val="single" w:sz="8" w:color="CCEEFF"/>
            </w:tcBorders>
          </w:tcPr>
          <w:p>
            <w:pPr>
              <w:spacing w:after="0"/>
              <w:rPr>
                <w:sz w:val="19"/>
                <w:szCs w:val="19"/>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(2,293,623)</w:t>
            </w:r>
          </w:p>
        </w:tc>
        <w:tc>
          <w:tcPr>
            <w:tcW w:w="12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265,158</w:t>
            </w:r>
          </w:p>
        </w:tc>
        <w:tc>
          <w:tcPr>
            <w:tcW w:w="12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(102,944)</w:t>
            </w:r>
          </w:p>
        </w:tc>
        <w:tc>
          <w:tcPr>
            <w:tcW w:w="120" w:type="dxa"/>
            <w:vAlign w:val="bottom"/>
            <w:shd w:val="clear" w:color="auto" w:fill="CCEEFF"/>
          </w:tcPr>
          <w:p>
            <w:pPr>
              <w:spacing w:after="0"/>
              <w:rPr>
                <w:sz w:val="19"/>
                <w:szCs w:val="19"/>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(10,804,360)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(8,672,951)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(2,131,409)</w:t>
            </w:r>
          </w:p>
        </w:tc>
        <w:tc>
          <w:tcPr>
            <w:tcW w:w="120" w:type="dxa"/>
            <w:vAlign w:val="bottom"/>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4,158,253</w:t>
            </w:r>
          </w:p>
        </w:tc>
        <w:tc>
          <w:tcPr>
            <w:tcW w:w="120" w:type="dxa"/>
            <w:vAlign w:val="bottom"/>
            <w:shd w:val="clear" w:color="auto" w:fill="CCEEFF"/>
          </w:tcPr>
          <w:p>
            <w:pPr>
              <w:spacing w:after="0"/>
              <w:rPr>
                <w:sz w:val="19"/>
                <w:szCs w:val="19"/>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(10,820,996)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(12,847,840)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2,026,844</w:t>
            </w:r>
          </w:p>
        </w:tc>
        <w:tc>
          <w:tcPr>
            <w:tcW w:w="120" w:type="dxa"/>
            <w:vAlign w:val="bottom"/>
          </w:tcPr>
          <w:p>
            <w:pPr>
              <w:spacing w:after="0"/>
              <w:rPr>
                <w:sz w:val="19"/>
                <w:szCs w:val="19"/>
                <w:color w:val="auto"/>
              </w:rPr>
            </w:pPr>
          </w:p>
        </w:tc>
      </w:tr>
      <w:tr>
        <w:trPr>
          <w:trHeight w:val="21"/>
        </w:trPr>
        <w:tc>
          <w:tcPr>
            <w:tcW w:w="6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4,284,111</w:t>
            </w:r>
          </w:p>
        </w:tc>
        <w:tc>
          <w:tcPr>
            <w:tcW w:w="1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6,576,720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(2,292,609)</w:t>
            </w:r>
          </w:p>
        </w:tc>
      </w:tr>
      <w:tr>
        <w:trPr>
          <w:trHeight w:val="229"/>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623,297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(1,138,571)</w:t>
            </w:r>
          </w:p>
        </w:tc>
      </w:tr>
      <w:tr>
        <w:trPr>
          <w:trHeight w:val="23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12,055,625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11,455,805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599,820</w:t>
            </w:r>
          </w:p>
        </w:tc>
      </w:tr>
      <w:tr>
        <w:trPr>
          <w:trHeight w:val="230"/>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1,763,874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187,652</w:t>
            </w:r>
          </w:p>
        </w:tc>
      </w:tr>
      <w:tr>
        <w:trPr>
          <w:trHeight w:val="23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5,001,997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4,178,443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823,554</w:t>
            </w:r>
          </w:p>
        </w:tc>
      </w:tr>
      <w:tr>
        <w:trPr>
          <w:trHeight w:val="229"/>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5,075,057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5,075,057</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540,933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(232,636)</w:t>
            </w:r>
          </w:p>
        </w:tc>
      </w:tr>
      <w:tr>
        <w:trPr>
          <w:trHeight w:val="248"/>
        </w:trPr>
        <w:tc>
          <w:tcPr>
            <w:tcW w:w="45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29,344,894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26,322,627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3,022,267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year ended December 31, 2018 were approximately $29.3 compared to $26.3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representing an increase of $3.0 million. This increase in revenue was led by the initial product sales of our newest product, Vibativ, as well as three of our marketed products experiencing increases in net revenue during the period: Kristalose, Vaprisol and Caldolor. Two of our products: Acetadote and Omeclamox-Pak experienced a decrease in revenue during 2018.</w:t>
      </w:r>
    </w:p>
    <w:p>
      <w:pPr>
        <w:spacing w:after="0" w:line="1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returned the exclusive rights to commercialize Ethyol and Totect in the United States to Clinigen effective January 1, 2020. As a result, the 2018 and 2017 revenues and expenses associated with the products are combined and reclassified into discontinued operations in our financial statements. In exchange for the return of these product license rights and associated non-compete provision, Cumberland is receiving $5 million in financial consideration paid over the two-years following the return date. We do not incur expenses associated with these payments from Clinigen.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Kristalose revenue increased by $0.6 million, or 5.2%, compared to December 31, 2017 primarily as a result of increased sales volume. The product's net revenue was positively impacted by increased sales volumes and lower managed care and Medicare rebates, that resulted in improved net pricing for the product for the year ended December 31, 2018.</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Caldolor revenue experienced a 20% increase to $5.0 million during the year ended December 31, 2018 compared to $4.2 million in the same period last year. This increase in Caldolor revenue for the year ended December 31, 2018 was positively impacted by increased domestic and international shipments. Domestic net revenue improved from increased sales volumes and improved pricing.</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Vaprisol revenue increased $0.2 million during the year ended December 31, 2018 compared to the prior year period due to increased sales of the product. Sales of Vaprisol surged during the second quarter of 2018 due to shipments of newly arrived inventory following a period of time when there were limited supplies of the product. During April 2018, the Vaprisol supply issue was resolved as we received new shipments from our manufacturer. The 12% net revenue increase was partially offset by an increase in expired product sales returns during the period.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Omeclamox-Pak revenue decreased $1.1 million during the year ended December 31, 2018 compared to the prior year. The decrease was largely the result of lower sales volume and much higher expired product sales returns.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Acetadote revenue included net sales of our branded product and our share of net sales from our Authorized Generic. For the year ended December 31, 2018, the Acetadote net revenue decreased $2.3 million compared to the prior year due to a reduction in sales volume as a result of generic competition.</w:t>
      </w:r>
    </w:p>
    <w:p>
      <w:pPr>
        <w:spacing w:after="0" w:line="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year ended December 31, 2018 were $6.0 million, compared to $5.4 million in the prior year.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net revenues, cost of products sold were 20.5% compared to 20.6% during the prior year. The change in costs of products sold as a percentage of revenue was attributable to a change in the product sales mix during the period compared to the prior year.</w:t>
      </w:r>
    </w:p>
    <w:p>
      <w:pPr>
        <w:spacing w:after="0" w:line="65"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Selling and marketing expense for the year ended December 31, 2018 were $14.0 million, which was an increase of $0.5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compared to the prior year's expense of $13.5 million. The increase was primarily salary, wages and benefits for the year ended December 31, 2018.</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year ended December 31, 2018 were $7.6 million, compared to $4.2 million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which represented an increase of $3.4 million. A portion of our research and development costs are variable based on the number of trials, study sites and patients involved in the development of our product candidates. The increase was partially the result of additional investments in our ongoing clinical initiatives associated with our pipeline products of $1.6 million. There was also an increase in our products FDA program fees including the $1.3 million fee associated with our RediTrex submission. Research and development costs also increased for salary, wages and benefits.</w:t>
      </w:r>
    </w:p>
    <w:p>
      <w:pPr>
        <w:spacing w:after="0" w:line="7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year ended December 31, 2018 was $10.2 million for 2018, compared to $9.6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last year. The $0.6 million increase from the prior year was primarily driven by an increase in compensation and benefits along with increases in legal and consulting expenses.</w:t>
      </w:r>
    </w:p>
    <w:p>
      <w:pPr>
        <w:spacing w:after="0" w:line="6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2018 totaled approximately $2.8 million, which was an increase of $0.3 million over the prior year. The increase in amortization was attributable to additional product and license rights and capitalized patents.</w:t>
      </w:r>
    </w:p>
    <w:p>
      <w:pPr>
        <w:spacing w:after="0" w:line="10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year ended December 31, 2018 was $16,636, compared to approximately $4.2 million in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2017. As a percentage of income (loss) before income taxes, income taxes were 0.2% for the year ended December 31, 2018 compared to 48.1% for the year ended December 31, 2017. As discussed in our consolidated financial statements, the effective tax rate for the year ended December 31, 2017 was primarily impacted by recording a valuation allowance of $1.0 million for our federal Orphan Drug and Research and Development tax credits and an additional valuation allowance of $3.5 million for our remaining deferred tax assets. These non-cash valuation allowance adjustments impacted our effective tax rate during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flows provided by our operations,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invest a portion of our cash reserves in marketable securities including short-term cash investments, U.S. Treasury notes and bonds, corporate bonds, commercial paper and other marketable securities. At December 31, 2019, all our investments were in commercial paper with maturity dates under thirty days and classified as cash. At December 31, 2018, we had approximately $8.3 million invested in marketable securities.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liquidity and working capital as of the years ended December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28,212,635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27,938,960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8,290,679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28,212,635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36,229,639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26,012,840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31,311,813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Current ratio (multiple of current assets to current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52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years ended December 31:</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3,056,356</w:t>
            </w: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(27,724,818)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9,512,577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(5,080,529)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7,138,173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(decrease) increase in cash and</w:t>
            </w:r>
          </w:p>
        </w:tc>
        <w:tc>
          <w:tcPr>
            <w:tcW w:w="2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273,675</w:t>
            </w:r>
          </w:p>
        </w:tc>
        <w:tc>
          <w:tcPr>
            <w:tcW w:w="40" w:type="dxa"/>
            <w:vAlign w:val="bottom"/>
          </w:tcPr>
          <w:p>
            <w:pPr>
              <w:spacing w:after="0"/>
              <w:rPr>
                <w:sz w:val="13"/>
                <w:szCs w:val="13"/>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(17,473,908)</w:t>
            </w:r>
          </w:p>
        </w:tc>
        <w:tc>
          <w:tcPr>
            <w:tcW w:w="80" w:type="dxa"/>
            <w:vAlign w:val="bottom"/>
          </w:tcPr>
          <w:p>
            <w:pPr>
              <w:spacing w:after="0"/>
              <w:rPr>
                <w:sz w:val="13"/>
                <w:szCs w:val="13"/>
                <w:color w:val="auto"/>
              </w:rPr>
            </w:pPr>
          </w:p>
        </w:tc>
        <w:tc>
          <w:tcPr>
            <w:tcW w:w="5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10,902,538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net $0.3 million increase in cash and cash equivalents for the year ended December 31, 2019 was attributable to cash provided by operating and investing activities offset by cash used in financing activities. Cash provided by operating activities of $3.1 million included non-cash expense add backs for depreciation and amortization and share-based compensation expense totaling $5.9 million. The cash provided by operating activities included $5.5 million provided by discontinued operations. These increases were partially offset by a net loss for the period of $3.5 million. Changes in our working capital provided net cash of $1.6 million. Cash provided by investing activities of $2.3 million included net sales of marketable securities of $8.3 million, partially offset by the $5 million payment to Theravance as part of the acquisition of Vibativ and the addition to intangibles of $0.8 million. Our financing activities included a net repayment of $1.5 million under our line of credit net and $3.5 million in cash used to repurchase shares of our common stock.</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noted above, we continue to repurchase shares of our common stock, as discussed in Part II, Item 5, "Market for Registrant’s Common Equity, Related Stockholder Matters and Issuer Purchases of Equity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our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net $17.5 million decrease in cash and cash equivalents for the year ended December 31, 2018 was attributable to cash used by investing activities offset by cash provided by operating and financing activities. Cash provided by operating activities of $3.1 million was impacted by a net loss for the period of $7.0 million. This use of operating cash was offset by non-cash expenses of depreciation and amortization and share-based compensation expense totaling $4.3 million. Changes in our working capital provided net cash of $5.2 million. The cash provided by operating activities included $4.5 million provided by discontinued operations. Cash used in investing activities included $20 million in cash paid for the acquisition of Vibativ during 2018, the use of cash to complete a net increase in marketable securities of $3.4 million, and the addition to intangibles of $3.8 million. Our financing activities included $10.2 million in net cash provided by borrowings under our line of credit net of $2.9 million in cash used to repurchase shares of our common stock.</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net $10.9 million increase in cash and cash equivalents for the year ended December 31, 2017 was attributable to cash provided by investing and financing activities offset by cash used in operating activities. Cash used in operating activities of $0.6 million was primarily impacted by a net loss for the period of $8.0 million. These uses of operating cash were offset by deferred tax expenses of $4.2 million and non-cash expenses of depreciation and amortization and share-based compensation expense totaling $4.1 million. The cash used by operating activities were partially offset by $4.0 million provided by discontinued operations. Changes in our working capital provided net cash of $0.1 million, including cash provided by accounts payable increases of $0.3 million. Cash provided by investing activities included net proceeds from marketable securities of $11.0 million offset by additions to intangibles of $1.2 million. Our financing activities included $5.7 million in net cash provided by borrowings under our line of credit and $3.7 million in cash used to repurchase shares of our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2017, the Company filed its Shelf Registration on Form S-3 with the SEC associated with the sale of up to $100 million in corporate securities. The Shelf Registration which was declared effective in January 2018. It also included an At the Market ("ATM") feature that allows the Company to sell common shares at market prices, along with an agreement with B. Riley FBR to support such a placement of shares. The Company did not issue any shares under this ATM during the year ended December 31,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Agreement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10, 2019, we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On October 17, 2018, we entered into a second amendment (“Second Amendment”) which increased the maximum aggregate principal available for borrowing under the Pinnacle Agreement to $20.0 million. For a summary of the material terms of the Pinnacle Agreement, as amended, see Note 9 to the accompanying notes to consolidated financial statements.</w:t>
      </w:r>
    </w:p>
    <w:p>
      <w:pPr>
        <w:spacing w:after="0" w:line="1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Pinnacle Agreement, we were initially subject to one financial covenant, the maintenance of a Funded Debt Ratio, as such term is defined in the agreement and determined on a quarterly basis.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December 31, 2019 and we expect to maintain compliance with the Tangible Capital Ratio financial covenant in future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Product Purchase Requirements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manufacturing and supply agreements do not require minimum annual purchase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obligations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cash obligations as of December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Payments Due by Year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2023 and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thereafter</w:t>
            </w:r>
          </w:p>
        </w:tc>
        <w:tc>
          <w:tcPr>
            <w:tcW w:w="0" w:type="dxa"/>
            <w:vAlign w:val="bottom"/>
          </w:tcPr>
          <w:p>
            <w:pPr>
              <w:spacing w:after="0"/>
              <w:rPr>
                <w:sz w:val="1"/>
                <w:szCs w:val="1"/>
                <w:color w:val="auto"/>
              </w:rPr>
            </w:pPr>
          </w:p>
        </w:tc>
      </w:tr>
      <w:tr>
        <w:trPr>
          <w:trHeight w:val="30"/>
        </w:trPr>
        <w:tc>
          <w:tcPr>
            <w:tcW w:w="2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Line of credit</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5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Estimated interest on debt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 consideration liability</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8,633,589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1,139,617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997,491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735,405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payments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31,759,085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4,066,606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21,200,756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2,016,804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827,883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3,647,036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individual amounts may not agree due to rounding.</w:t>
      </w:r>
    </w:p>
    <w:p>
      <w:pPr>
        <w:spacing w:after="0" w:line="153"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line of credit payments represent the estimated unused line of credit payments and the amount due at maturity. The estimated interest on debt represents the interest on the principal outstanding on the line of credit. These amounts are based on the $18.5 million line of credit assuming the current $18.5 million balance outstanding on December 31, 2019 is consistently outstanding through maturity of July 2021. Interest and unused line of credit payments are due and payable quarterly in arrears.</w:t>
      </w:r>
    </w:p>
    <w:p>
      <w:pPr>
        <w:spacing w:after="0" w:line="9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contingent consideration liability represents the fair value of the royalty payments of up to 20% of future net sales as part of the Vibativ acquisition.</w:t>
      </w:r>
    </w:p>
    <w:p>
      <w:pPr>
        <w:spacing w:after="0" w:line="153"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minimum purchase obligations under our manufacturing 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2019, 2018 and 2017, we did not engage in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Adopted Accounting Pronouncements</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2014, the FASB issued amended guidance in the form of ASU No. 2014-09, “Revenue from Contracts with Customers” (“ASC 606”). The core principle of the new guidance is to recognize revenues when promised goods or services are transferred to customers in an amount that reflects the consideration to which an entity expects to be entitled for those goods or services. The new guidance defines a five-step process to achieve this core principle and, in doing so, additional judgments and estimates may be required within the revenue recognition process. The new standard replaced most of the existing revenue recognition standards in U.S. GAAP when it became effective. In July 2015, the FASB issued a one-year deferral of the adoption date, which extended the effective date for us to January 1, 2018, at which point Cumberland adopted the standard.</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its revenues and the new guidance had immaterial impacts to recognition practices upon adoption on January 1, 2018. As part of the adoption, the Company elected to apply the new guidance on a modified retrospective basis. We did not record a cumulative effect adjustment to historical retained earnings for initially applying the new guidance as no revenue recognition differences were identified in the timing or amount of revenue.</w:t>
      </w:r>
    </w:p>
    <w:p>
      <w:pPr>
        <w:spacing w:after="0" w:line="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guidance in the form of a FASB Accounting Standards Update ("ASU") No. 2016-02, “Leases.” The new standard establishes a right-of-use (“ROU”) model that requires a lessee to record an ROU asset and a lease liability on the balance sheet for all leases with terms longer than twelve months. Leases will be classified as either finance (formerly "capital leases") or operating, with classification affecting the pattern of expense recognition in the income statement. The standard provides for a modified retrospective transition approach for lessees for capital and operating leases existing at, or entered into after, the beginning of the earliest comparative period presented in the financial statements, with certain optional practical expedients. In July 2018, the FASB issued ASU 2018-11, "Leases: Targeted Improvements", allowing for an alternative transition method (the effective date approach). It allows an entity to initially apply the new lease guidance at the adoption date (rather than at the beginning of the earliest period presented). Cumberland adopted the lease guidance effective January 1, 2019 using the package of transition practical expedients. This allowed us to retain the lease classification for any leases existing prior to adoption, in addition to other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Companies will apply the standard’s provisions as a cumulative-effect adjustment to retained earnings as of the beginning of the first reporting period in which the guidance is adopted. This standard is effective for Cumberland on January 1, 2020. We continue to evaluate this new standard on our trade and other receivables but do not expect a material impact on our consolidated financial statements.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the election must be applied on an instrument-by-instrument basis, and the election is not available for either available-for-sale or held-to-maturity debt securities. The effective date is the same as ASU 2016-13, January 1, 2020. We continue to evaluate this new standard on our trade and other receivables but do not expect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The new standard will be effective for Cumberland on January 1, 2020. We continue to evaluate this new standard on our trade and other receivables but do not expect a material impact on our consolidated financial statements.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will be effective for Cumberland on January 1, 2020. We continue to evaluate this new standard but do not expect a material impact on our consolidated financial statements and related disclosures.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consolidated financial statements, including the reports of the independent registered public accounting firm, starting on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Cumberland Pharmaceuticals Inc. (the “Company”) as of December 31, 2019 and 2018, the related consolidated statements of operations and comprehensive income (loss), equity, and cash flows for each of the three years in the period ended December 31, 2019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2020, except for the effects of presenting discontinued operations as discussed in Note 20, as to which the date is December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2019 and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28,212,635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27,938,960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8,290,679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7,859,006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6,459,995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8,871,254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9,783,421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2,757,456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2,462,724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3,706,897</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50,163,075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59,116,037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15,554,992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747,796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30,920,324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33,655,099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3,298,725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2,531,309</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104,549,283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112,693,868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9,993,578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8,210,641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920,431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11,084,869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16,044,470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2,151,357</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3,549,113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24,150,235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27,804,224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2,076,472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8,737,323</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9,319,143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53,464,030</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57,123,367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Shareholders’ equity:</w:t>
            </w:r>
          </w:p>
        </w:tc>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 no par value; 100,000,000 shares authorized; 15,263,555 and</w:t>
            </w:r>
          </w:p>
        </w:tc>
        <w:tc>
          <w:tcPr>
            <w:tcW w:w="5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15,481,497 shares issued and outstanding as of December 31, 2019 and 2018,</w:t>
            </w:r>
          </w:p>
        </w:tc>
        <w:tc>
          <w:tcPr>
            <w:tcW w:w="54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49,914,478</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51,098,613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54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1,208,395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4,746,154</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51,122,873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55,844,767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(274,266)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51,085,253</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55,570,501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104,549,283</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112,693,868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2019, 2018 and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product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32,407,245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28,803,961</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25,549,059</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1,981,050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540,933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773,568</w:t>
            </w:r>
          </w:p>
        </w:tc>
      </w:tr>
      <w:tr>
        <w:trPr>
          <w:trHeight w:val="223"/>
        </w:trPr>
        <w:tc>
          <w:tcPr>
            <w:tcW w:w="62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34,388,295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29,344,894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26,322,627</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7,421,316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6,016,822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5,418,010</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15,277,740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14,004,933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13,489,178</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6,868,480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7,575,892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4,247,623</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9,974,384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10,150,777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9,610,967</w:t>
            </w:r>
          </w:p>
        </w:tc>
      </w:tr>
      <w:tr>
        <w:trPr>
          <w:trHeight w:val="229"/>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4,134,557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2,769,466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2,436,222</w:t>
            </w:r>
          </w:p>
        </w:tc>
      </w:tr>
      <w:tr>
        <w:trPr>
          <w:trHeight w:val="223"/>
        </w:trPr>
        <w:tc>
          <w:tcPr>
            <w:tcW w:w="6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43,676,477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40,517,890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35,202,000</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(9,288,182)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(11,172,996)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(8,879,373)</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299,326</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(246,186)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(195,848)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(92,904)</w:t>
            </w:r>
          </w:p>
        </w:tc>
      </w:tr>
      <w:tr>
        <w:trPr>
          <w:trHeight w:val="22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(9,291,004)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(10,804,360)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(8,672,951)</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(4,174,889)</w:t>
            </w:r>
          </w:p>
        </w:tc>
      </w:tr>
      <w:tr>
        <w:trPr>
          <w:trHeight w:val="22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(10,820,996)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(12,847,840)</w:t>
            </w:r>
          </w:p>
        </w:tc>
      </w:tr>
      <w:tr>
        <w:trPr>
          <w:trHeight w:val="229"/>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5,665,177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4,798,025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(7,038,772)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(8,049,815)</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71,182</w:t>
            </w:r>
          </w:p>
        </w:tc>
      </w:tr>
      <w:tr>
        <w:trPr>
          <w:trHeight w:val="248"/>
        </w:trPr>
        <w:tc>
          <w:tcPr>
            <w:tcW w:w="6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(3,537,759)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(6,963,068)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(7,978,633)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operations-basic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3"/>
        </w:trPr>
        <w:tc>
          <w:tcPr>
            <w:tcW w:w="6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148"/>
        </w:trPr>
        <w:tc>
          <w:tcPr>
            <w:tcW w:w="6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operations-diluted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3"/>
        </w:trPr>
        <w:tc>
          <w:tcPr>
            <w:tcW w:w="6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15,396,098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15,614,052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15,911,577</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15,396,098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15,614,052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15,911,577</w:t>
            </w:r>
          </w:p>
        </w:tc>
      </w:tr>
      <w:tr>
        <w:trPr>
          <w:trHeight w:val="149"/>
        </w:trPr>
        <w:tc>
          <w:tcPr>
            <w:tcW w:w="6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common shareholders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(6,963,068)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(7,978,633)</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71,182</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(3,546,511)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(7,038,772)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(8,049,815)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Years ended December 31, 2019, 2018 and 2017</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91"/>
        </w:trPr>
        <w:tc>
          <w:tcPr>
            <w:tcW w:w="6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(3,546,511)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(7,038,772)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(8,049,815)</w:t>
            </w: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5,665,177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4,798,025</w:t>
            </w:r>
          </w:p>
        </w:tc>
      </w:tr>
      <w:tr>
        <w:trPr>
          <w:trHeight w:val="22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(9,211,688)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(10,820,996)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(12,847,840)</w:t>
            </w:r>
          </w:p>
        </w:tc>
      </w:tr>
      <w:tr>
        <w:trPr>
          <w:trHeight w:val="176"/>
        </w:trPr>
        <w:tc>
          <w:tcPr>
            <w:tcW w:w="63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flows provided by (used in)</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4,404,175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2,647,753</w:t>
            </w:r>
          </w:p>
        </w:tc>
      </w:tr>
      <w:tr>
        <w:trPr>
          <w:trHeight w:val="229"/>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4,206,753</w:t>
            </w:r>
          </w:p>
        </w:tc>
      </w:tr>
      <w:tr>
        <w:trPr>
          <w:trHeight w:val="229"/>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1,485,898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1,115,063</w:t>
            </w:r>
          </w:p>
        </w:tc>
      </w:tr>
      <w:tr>
        <w:trPr>
          <w:trHeight w:val="230"/>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compensation (foundation contribution)</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372,500</w:t>
            </w:r>
          </w:p>
        </w:tc>
      </w:tr>
      <w:tr>
        <w:trPr>
          <w:trHeight w:val="229"/>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Excess tax (benefit) expense derived from exercise of stock options</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(91,109)</w:t>
            </w:r>
          </w:p>
        </w:tc>
      </w:tr>
      <w:tr>
        <w:trPr>
          <w:trHeight w:val="229"/>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(804,167)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77,911</w:t>
            </w:r>
          </w:p>
        </w:tc>
      </w:tr>
      <w:tr>
        <w:trPr>
          <w:trHeight w:val="229"/>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Noncash investment gains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(52,012)</w:t>
            </w:r>
          </w:p>
        </w:tc>
      </w:tr>
      <w:tr>
        <w:trPr>
          <w:trHeight w:val="230"/>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753,521</w:t>
            </w:r>
          </w:p>
        </w:tc>
      </w:tr>
      <w:tr>
        <w:trPr>
          <w:trHeight w:val="229"/>
        </w:trPr>
        <w:tc>
          <w:tcPr>
            <w:tcW w:w="6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(292,710)</w:t>
            </w:r>
          </w:p>
        </w:tc>
      </w:tr>
      <w:tr>
        <w:trPr>
          <w:trHeight w:val="230"/>
        </w:trPr>
        <w:tc>
          <w:tcPr>
            <w:tcW w:w="6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(1,155,630)</w:t>
            </w:r>
          </w:p>
        </w:tc>
      </w:tr>
      <w:tr>
        <w:trPr>
          <w:trHeight w:val="230"/>
        </w:trPr>
        <w:tc>
          <w:tcPr>
            <w:tcW w:w="6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3,221,780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4,153,287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339,751</w:t>
            </w:r>
          </w:p>
        </w:tc>
      </w:tr>
      <w:tr>
        <w:trPr>
          <w:trHeight w:val="230"/>
        </w:trPr>
        <w:tc>
          <w:tcPr>
            <w:tcW w:w="6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413,097</w:t>
            </w:r>
          </w:p>
        </w:tc>
      </w:tr>
      <w:tr>
        <w:trPr>
          <w:trHeight w:val="223"/>
        </w:trPr>
        <w:tc>
          <w:tcPr>
            <w:tcW w:w="6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(4,512,952)</w:t>
            </w:r>
          </w:p>
        </w:tc>
      </w:tr>
      <w:tr>
        <w:trPr>
          <w:trHeight w:val="230"/>
        </w:trPr>
        <w:tc>
          <w:tcPr>
            <w:tcW w:w="6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5,511,596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3,955,238</w:t>
            </w:r>
          </w:p>
        </w:tc>
      </w:tr>
      <w:tr>
        <w:trPr>
          <w:trHeight w:val="223"/>
        </w:trPr>
        <w:tc>
          <w:tcPr>
            <w:tcW w:w="63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3,056,356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3,112,737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(557,714)</w:t>
            </w: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(275,960)</w:t>
            </w: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(1,213,110)</w:t>
            </w: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acquisition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20,062,132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16,122,376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13,381,061</w:t>
            </w:r>
          </w:p>
        </w:tc>
      </w:tr>
      <w:tr>
        <w:trPr>
          <w:trHeight w:val="23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(11,745,138)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(19,572,139)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(2,379,414)</w:t>
            </w:r>
          </w:p>
        </w:tc>
      </w:tr>
      <w:tr>
        <w:trPr>
          <w:trHeight w:val="223"/>
        </w:trPr>
        <w:tc>
          <w:tcPr>
            <w:tcW w:w="6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2,297,848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(27,724,818)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9,512,577</w:t>
            </w:r>
          </w:p>
        </w:tc>
      </w:tr>
    </w:tbl>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1319" w:right="5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deferred equity offering costs</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shares of common stock, net of offering costs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 of contingent consideration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subsidiary shares to noncontrolling interest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(5,080,529)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7,138,173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(17,473,908)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27,938,960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45,412,868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28,212,635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27,938,960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45,412,868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6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paid (refunded) during the year for: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unpaid invoices for purchases of intangibles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other accrued expenses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 cash increase in liabilities related to acquisition (see Note 3)</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Recognition of operating lease assets and liabilities through adoption of ASC 842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3,629,320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Vesting of shares related to RediTrex approval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subsidiary shares from noncontrolling interests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intangible assets from final purchase price allocation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363" w:right="539" w:bottom="1440" w:gutter="0" w:footer="0" w:header="0"/>
        </w:sectPr>
      </w:pPr>
    </w:p>
    <w:bookmarkStart w:id="29" w:name="page30"/>
    <w:bookmarkEnd w:id="29"/>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Years ended December 31, 2019, 2018 and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470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Cumberland Pharmaceuticals Inc. Shareholders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1"/>
                <w:szCs w:val="21"/>
                <w:color w:val="auto"/>
              </w:rPr>
            </w:pPr>
          </w:p>
        </w:tc>
        <w:tc>
          <w:tcPr>
            <w:tcW w:w="2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line="20" w:lineRule="exact"/>
              <w:rPr>
                <w:sz w:val="1"/>
                <w:szCs w:val="1"/>
                <w:color w:val="auto"/>
              </w:rPr>
            </w:pPr>
          </w:p>
        </w:tc>
      </w:tr>
      <w:tr>
        <w:trPr>
          <w:trHeight w:val="214"/>
        </w:trPr>
        <w:tc>
          <w:tcPr>
            <w:tcW w:w="34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8"/>
                <w:szCs w:val="18"/>
                <w:color w:val="auto"/>
              </w:rPr>
            </w:pPr>
          </w:p>
        </w:tc>
        <w:tc>
          <w:tcPr>
            <w:tcW w:w="11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interest</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16,074,176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54,643,268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18,604,931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73,120,819</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(7,978,633)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(8,049,815)</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Cumulative effect from change in</w:t>
            </w:r>
          </w:p>
        </w:tc>
        <w:tc>
          <w:tcPr>
            <w:tcW w:w="1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1,082,924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1,082,924</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accounting principle</w:t>
            </w:r>
          </w:p>
        </w:tc>
        <w:tc>
          <w:tcPr>
            <w:tcW w:w="15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1,115,063</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Exercise of options and related tax</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w:t>
            </w:r>
          </w:p>
        </w:tc>
        <w:tc>
          <w:tcPr>
            <w:tcW w:w="14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(3,719,890)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(3,719,890)</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15,723,075</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52,410,941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11,709,222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63,921,601</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(6,963,068)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(7,038,772)</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1,364,698</w:t>
            </w:r>
          </w:p>
        </w:tc>
        <w:tc>
          <w:tcPr>
            <w:tcW w:w="0" w:type="dxa"/>
            <w:vAlign w:val="bottom"/>
          </w:tcPr>
          <w:p>
            <w:pPr>
              <w:spacing w:after="0"/>
              <w:rPr>
                <w:sz w:val="1"/>
                <w:szCs w:val="1"/>
                <w:color w:val="auto"/>
              </w:rPr>
            </w:pPr>
          </w:p>
        </w:tc>
      </w:tr>
      <w:tr>
        <w:trPr>
          <w:trHeight w:val="176"/>
        </w:trPr>
        <w:tc>
          <w:tcPr>
            <w:tcW w:w="3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sale of common stock, net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200,909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200,909</w:t>
            </w:r>
          </w:p>
        </w:tc>
        <w:tc>
          <w:tcPr>
            <w:tcW w:w="0" w:type="dxa"/>
            <w:vAlign w:val="bottom"/>
          </w:tcPr>
          <w:p>
            <w:pPr>
              <w:spacing w:after="0"/>
              <w:rPr>
                <w:sz w:val="1"/>
                <w:szCs w:val="1"/>
                <w:color w:val="auto"/>
              </w:rPr>
            </w:pPr>
          </w:p>
        </w:tc>
      </w:tr>
      <w:tr>
        <w:trPr>
          <w:trHeight w:val="229"/>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offering costs</w:t>
            </w:r>
          </w:p>
        </w:tc>
        <w:tc>
          <w:tcPr>
            <w:tcW w:w="1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(443,041)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(2,877,935)</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15,481,497</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51,098,613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4,746,154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(274,266)</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55,570,501</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(3,546,511)</w:t>
            </w:r>
          </w:p>
        </w:tc>
        <w:tc>
          <w:tcPr>
            <w:tcW w:w="0" w:type="dxa"/>
            <w:vAlign w:val="bottom"/>
          </w:tcPr>
          <w:p>
            <w:pPr>
              <w:spacing w:after="0"/>
              <w:rPr>
                <w:sz w:val="1"/>
                <w:szCs w:val="1"/>
                <w:color w:val="auto"/>
              </w:rPr>
            </w:pPr>
          </w:p>
        </w:tc>
      </w:tr>
      <w:tr>
        <w:trPr>
          <w:trHeight w:val="175"/>
        </w:trPr>
        <w:tc>
          <w:tcPr>
            <w:tcW w:w="3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Repurchase of subsidiary shares to</w:t>
            </w: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(685,805)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(114,195)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Sale of subsidiary shares to</w:t>
            </w:r>
          </w:p>
        </w:tc>
        <w:tc>
          <w:tcPr>
            <w:tcW w:w="1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862,200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225,536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1,485,898</w:t>
            </w: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(623,478)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(3,486,835)</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15,263,555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1,208,395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51,085,253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and gastroenterology.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and field sales forces in the United States and is establishing a network of international partners to bring its medicines to patients in their countries.</w:t>
      </w:r>
    </w:p>
    <w:p>
      <w:pPr>
        <w:spacing w:after="0" w:line="120"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build a pipeline of early-stage product candidates, the Company formed a subsidiary, Cumberland Emerging Technologies, Inc. ("CET"), which teams with universities and other research organizations to help advance scientific discoveries from the laboratory to the marketplace. In 2014, the Company organized equity financing to recapitalize and strengthen the financial position of CET including an investment of approximately $1.0 million from Gloria Pharmaceuticals Co., Ltd. (“Gloria”). As a result, Gloria received shares in CET and joined the CET ownership group.</w:t>
      </w:r>
    </w:p>
    <w:p>
      <w:pPr>
        <w:spacing w:after="0" w:line="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Cumberland purchased additional CET shares through contribution of $0.3 million in cash and a conversion of $0.7 million in intercompany loans payable. Upon completion of the additional investment by WinHealth and Cumberland, Gloria Pharmaceuticals agreed to return its shares in CET in exchange for consideration of $0.8 million.</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ownership in CET is now 85%. As noted above, the ownership interests of CET includes WinHealth and Cumberland, while the remaining interest is owned by Vanderbilt University and the Tennessee Technology Development Corporation. The operating results of CET allocated to noncontrolling interests in the consolidated statements of operations were $8,752, $75,704 and $71,182 for the years ended December 31, 2019, 2018 and 2017, respectively.</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January 1, 2007, the Company formed a wholly-owned subsidiary, Cumberland Pharma Sales Corp. ("CPSC"). CPSC is the subsidiary that employs the Company's hospital and field sales force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right="8600" w:hanging="332"/>
        <w:spacing w:after="0" w:line="441" w:lineRule="auto"/>
        <w:tabs>
          <w:tab w:leader="none" w:pos="27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w:t>
      </w:r>
      <w:r>
        <w:rPr>
          <w:rFonts w:ascii="Times New Roman" w:cs="Times New Roman" w:eastAsia="Times New Roman" w:hAnsi="Times New Roman"/>
          <w:sz w:val="17"/>
          <w:szCs w:val="17"/>
          <w:b w:val="1"/>
          <w:bCs w:val="1"/>
          <w:i w:val="1"/>
          <w:iCs w:val="1"/>
          <w:color w:val="auto"/>
        </w:rPr>
        <w:t>Principles of Consolidation</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assumptions used in estimating acquisition date fair value of assets acquired in business combinations and (4) valuation of contingent consideration liability associated with business combinations.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$1.5 million, $2.1 million and $1.6 million for the years ended December 31, 2019, 2018 and 2017,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1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fair value hierarchy that prioritizes observable and unobservable inputs used to measure fair value into three broad levels is described below:</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5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4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maintain policies and procedures to value instruments using the best and most relevant data available. The following section describes the valuation methodologies we use to measure different financial instruments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marketable securities,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spacing w:after="0" w:line="9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fair values of marketable securities are determined based on valuations provided by a third-party pricing service, as derived from such services' pricing models, and are considered either Level 1 or Level 2 measurements, depending on the nature of the investment. The Company has no marketable securities in which the fair value is determined based on Level 3. The level of management judgment required in evaluating fair value for Level 1 investments is minimal. Similarly, there is little subjectivity or judgment required for Level 2 investments valued using valuation models that are standard across the industry and whose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The Company believes that the valuations provided by the third-party pricing service, as derived from such services' pricing models, represent prices that would be received to sell the assets at the measurement date (exit prices).</w:t>
      </w:r>
    </w:p>
    <w:p>
      <w:pPr>
        <w:spacing w:after="0" w:line="1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original maturities of three months or less. As of December 31, 2019 and 2018, cash equivalents consist primarily of money market funds as well as trading securities with original maturities of less than ninety days.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invests in marketable debt securities in order to maximize its return on cash. Marketable securities consist of short-term cash investments, U.S. Treasury notes and bonds, corporate bonds, and commercial paper. At the time of purchase, the Company classifies marketable securities as either trading securities or available-for-sale securities, depending on the intent at that time. As of December 31, 2019 and 2018, marketable securities were comprised solely of trading securities. Trading securities are carried at fair value with unrealized gains and losses recognized as a component of interest income in the consolidated statements of operations. As of December 31, 2019, all the trading securities were commercial paper with original maturities of less than ninety days and as a result, were classified as cash equivalents.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The Company records allowances for amounts that could become uncollectible in the future based on historical experience, including amounts related to chargebacks, cash discounts and credits for damaged product. The Company reviews each customer balance to assess collection status.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credits claimed for damaged and expired product. The allowances in accounts receivable for chargebacks, cash discounts and damaged goods were $0.8 million at December 31, 2019 and $0.7 million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revenues are reduced and accrued liabilities are increased by the Company’s estimate of the rebate that may be claimed as well as the reserves for expired and damaged goods.</w:t>
      </w:r>
    </w:p>
    <w:p>
      <w:pPr>
        <w:spacing w:after="0" w:line="99" w:lineRule="exact"/>
        <w:rPr>
          <w:sz w:val="20"/>
          <w:szCs w:val="20"/>
          <w:color w:val="auto"/>
        </w:rPr>
      </w:pPr>
    </w:p>
    <w:p>
      <w:pPr>
        <w:ind w:left="340" w:right="340"/>
        <w:spacing w:after="0" w:line="422" w:lineRule="auto"/>
        <w:rPr>
          <w:sz w:val="20"/>
          <w:szCs w:val="20"/>
          <w:color w:val="auto"/>
        </w:rPr>
      </w:pPr>
      <w:r>
        <w:rPr>
          <w:rFonts w:ascii="Times New Roman" w:cs="Times New Roman" w:eastAsia="Times New Roman" w:hAnsi="Times New Roman"/>
          <w:sz w:val="18"/>
          <w:szCs w:val="18"/>
          <w:color w:val="auto"/>
        </w:rPr>
        <w:t xml:space="preserve">Cash discounts are reductions to invoiced amounts offered to customers for payment within a specified period of time from the date of the invoice. </w:t>
      </w:r>
      <w:r>
        <w:rPr>
          <w:rFonts w:ascii="Times New Roman" w:cs="Times New Roman" w:eastAsia="Times New Roman" w:hAnsi="Times New Roman"/>
          <w:sz w:val="18"/>
          <w:szCs w:val="18"/>
          <w:b w:val="1"/>
          <w:bCs w:val="1"/>
          <w:i w:val="1"/>
          <w:iCs w:val="1"/>
          <w:color w:val="auto"/>
        </w:rPr>
        <w:t>Inventories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As discussed below, effective January 1, 2017, inventories are stated at the lower of cost or net realizable value with cost determined using the first-in, first-out method.</w:t>
      </w:r>
    </w:p>
    <w:p>
      <w:pPr>
        <w:spacing w:after="0" w:line="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 The Company classifies the Vibativ inventories that it does not expect to sell within one year as non-current inventories.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offering costs are expenses directly related to the Form S-3 or Shelf Registration filed with the SEC on November 11, 2017 and declared effective on January 16, 2018. These costs consist of legal, accounting, printing, and filing fees that the Company has capitalized. Deferred costs associated with the Shelf Registration will be reclassified to additional paid in capital on a pro-rata basis as the Company completes sales of shares under the Shelf Registration, with any remaining deferred offering costs to be charged to the results of operations at the end of the three-year life of the Shelf Registration. During the year ended December 31, 2019, the Company has not expensed any deferred offering costs associated with the Shelf Registration.</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income (loss) in the consolidated statement of operations. Improvements that extend an asset’s useful life are capitalized. Repairs and maintenance costs are expensed as incurred.</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and Goodwill</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intangible assets and goodwill consist of capitalized costs related to product and license rights, patents, trademarks and goodwill obtained in the Vibativ acquisition. Goodwill is not amortized for financial reporting purposes, but is subject to impairment analysis at least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and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is recognized ratably over the following periods:</w:t>
      </w:r>
    </w:p>
    <w:p>
      <w:pPr>
        <w:sectPr>
          <w:pgSz w:w="11900" w:h="16838" w:orient="portrait"/>
          <w:cols w:equalWidth="0" w:num="1">
            <w:col w:w="11240"/>
          </w:cols>
          <w:pgMar w:left="320" w:top="360" w:right="339" w:bottom="1440" w:gutter="0" w:footer="0" w:header="0"/>
        </w:sectPr>
      </w:pPr>
    </w:p>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Product rights</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License rights</w:t>
      </w:r>
    </w:p>
    <w:p>
      <w:pPr>
        <w:spacing w:after="0" w:line="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Patents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economic life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of license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of patent</w:t>
      </w:r>
    </w:p>
    <w:p>
      <w:pPr>
        <w:spacing w:after="0" w:line="149" w:lineRule="exact"/>
        <w:rPr>
          <w:sz w:val="20"/>
          <w:szCs w:val="20"/>
          <w:color w:val="auto"/>
        </w:rPr>
      </w:pPr>
    </w:p>
    <w:p>
      <w:pPr>
        <w:sectPr>
          <w:pgSz w:w="11900" w:h="16838" w:orient="portrait"/>
          <w:cols w:equalWidth="0" w:num="2">
            <w:col w:w="5060" w:space="720"/>
            <w:col w:w="5460"/>
          </w:cols>
          <w:pgMar w:left="320" w:top="36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operating lease right-of-use assets and intangible assets subject to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w:t>
      </w:r>
    </w:p>
    <w:p>
      <w:pPr>
        <w:spacing w:after="0" w:line="1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As a result, the Vibativ component of the Company is the reporting unit evaluated for goodwill impairment. Cumberland determined the fair value of the reporting unit through current and future estimated revenue and profitability of the product. The Company recorded no impairment charges during 2019, 2018 and 2017.</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January 1, 2018, the Company adopted the Financial Accounting Standards Board’s (“FASB”) amended guidance in the form of Accounting Standards Update (“ASU”) No. 2014-09, "Revenue from Contracts with Customers," (ASC 606). Results for reporting periods beginning after January 1, 2018 are presented under ASC 606, while prior period amounts were not adjusted and are reported in accordance with ASC 605.</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recognized in the amount that reflects the consideration that we expect to receive for these goods. Depending upon the shipping terms of the transaction, the revenue is recognized.at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Rebates and Discounts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allowances against accounts receivable for chargebacks, discounts, expired and damaged goods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credits claimed for damaged and expired product.</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organizations, such as managed care providers, pharmacy benefit management companies and government agencies, may receive rebates from the Company based on either negotiated contracts to carry the Company’s products or reimbursements for filled prescriptions. These entities are considered indirect customers of the Company. In conjunction with recognizing a sale to a wholesaler, sales revenues are reduced and accrued liabilities are increased by the Company’s estimate of the rebate that may be claimed.</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Returns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and marketing expense consists primarily of expenses relating to the advertising, promotion, distribution and sale of products, including royalty expense, salaries and related costs.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Costs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 costs are expensed as incurred and are included as a component of selling and marketing expenses in the consolidated statements of operations. Distribution costs were as follows for the years ended December 31:</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613,637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as a component of selling and marketing expenses in the consolidated statements of operations. Advertising costs were as follows for the years ended December 31:</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142"/>
        </w:trPr>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costs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2,594,630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2,005,113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2,377,338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are comprised mainly of clinical trial expenses, salaries, wages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w:t>
      </w:r>
    </w:p>
    <w:p>
      <w:pPr>
        <w:spacing w:after="0" w:line="1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with respect to interest and penalties arising from income tax settlements is to recognize them as part of the provision for income taxes.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comprehensive income (loss) was comprised solely of net income (loss) for all periods presented.</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calculated by dividing net income (loss) attributable to common shareholders by the weighted-average number of shares outstanding. Except where the result would be antidilutive to income from continuing operations, diluted earnings (loss) per share is calculated by assuming the vesting of unvested restricted stock and the exercise of stock options and warrants and unrecognized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Agreements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 party to several collaborative arrangements with certain research institutions to identify and pursue promising preclinical pharmaceutical product candidates. The Company has determined these collaborative agreements do not meet the criteria for accounting under Accounting Standards Codification 808, Collaborative Agreements. The agreements do not specifically designate each party's rights and obligations to each other under the collaborative arrangements. Except for patent defense costs, expenses incurred by one party are not required to be reimbursed by the other party. The funding for these programs is generally provided through private sector investments or federal Small Business Administration ("SBIR/STTR") grant programs. Expenses incurred under these collaborative agreements are included in research and development expenses in the consolidated statements of operations. Funding received from private sector investments and grants are recorded as net revenues in the consolidated statements of 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period amounts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made certain reclassifications to prior period amounts to conform to the current-year presentation of the reporting of research and development expense and general and administrative expense on the consolidated statements of operations. Certain costs and expenses related to research and development were previously reported as general and administrative expenses on the consolidated statements of operations. These reclassifications have no effect on the reported operating loss or equity for the years ended December 31, 2018 and 2017.</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Adopted Accounting Pronouncements</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2014, the FASB issued amended guidance in the form of ASU No. 2014-09, “Revenue from Contracts with Customers” (“ASC 606”). The core principle of the new guidance is to recognize revenues when promised goods or services are transferred to customers in an amount that reflects the consideration to which an entity expects to be entitled for those goods or services. The new guidance defines a five-step process to achieve this core principle and, in doing so, additional judgments and estimates may be required within the revenue recognition process. The new standard replaced most of the existing revenue recognition standards in U.S. GAAP when it became effective. In July 2015, the FASB issued a one-year deferral of the adoption date, which extended the effective date for us to January 1, 2018, at which point Cumberland adopted the standard.</w:t>
      </w:r>
    </w:p>
    <w:p>
      <w:pPr>
        <w:spacing w:after="0" w:line="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its revenues and the new guidance had immaterial impacts to recognition practices upon adoption on January 1, 2018. As part of the adoption, the Company elected to apply the new guidance on a modified retrospective basis. The Company did not record a cumulative effect adjustment to historical retained earnings for initially applying the new guidance as no revenue recognition differences were identified in the timing or amount of revenue.</w:t>
      </w:r>
    </w:p>
    <w:p>
      <w:pPr>
        <w:spacing w:after="0" w:line="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guidance in the form of a FASB Accounting Standards Update ("ASU") No. 2016-02, “Leases.” The new standard establishes a right-of-use (“ROU”) model that requires a lessee to record an ROU asset and a lease liability on the balance sheet for all leases with terms longer than twelve months. Leases will be classified as either finance (formerly "capital leases")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with classification affecting the pattern of expense recognition in the income statement. The standard provides for a modified retrospective transition approach for lessees for capital and operating leases existing at, or entered into after, the beginning of the earliest comparative period presented in the financial statements, with certain optional practical expedients. In July 2018, the FASB issued ASU 2018-11, "Leases: Targeted Improvements", allowing for an alternative transition method (the effective date approach). It allows an entity to initially apply the new lease guidance at the adoption date (rather than at the beginning of the earliest period presented). Cumberland adopted the lease guidance effective January 1, 2019 using the package of transition practical expedients. This allowed the Company to retain the lease classification for any leases existing prior to adoption, in addition to other benefits. See additional discussion of the impact of adopting the lease accounting guidance in Note 15.</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more information, including the information they use to track credit quality by year of origination for most financing receivables. Companies will apply the standard’s provisions as a cumulative-effect adjustment to retained earnings as of the beginning of the first reporting period in which the guidance is adopted. This standard is effective for the Company on January 1, 2020. The Company continues to evaluate this new standard on its trade and other receivables but does not expect a material impact on its consolidated financial statements.</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the election must be applied on an instrument-by-instrument basis, and the election is not available for either available-for-sale or held-to-maturity debt securities. The effective date is the same as ASU 2016-13, January 1, 2020. The Company continues to evaluate this new standard but does not expect a material impact on its consolidated financial statements.</w:t>
      </w:r>
    </w:p>
    <w:p>
      <w:pPr>
        <w:spacing w:after="0" w:line="1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The new standard will be effective for the Company on January 1, 2020. The Company continues to evaluate this new standard but does not expect a material impact on its consolidated financial statements.</w:t>
      </w:r>
    </w:p>
    <w:p>
      <w:pPr>
        <w:spacing w:after="0" w:line="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will be effective for the Company on January 1, 2020. The Company continues to evaluate this new standard but does not expect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Omeclamox</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-Pak, RediTrex</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and Vibativ</w:t>
      </w:r>
      <w:r>
        <w:rPr>
          <w:rFonts w:ascii="Times New Roman" w:cs="Times New Roman" w:eastAsia="Times New Roman" w:hAnsi="Times New Roman"/>
          <w:sz w:val="23"/>
          <w:szCs w:val="23"/>
          <w:b w:val="1"/>
          <w:bCs w:val="1"/>
          <w:color w:val="auto"/>
          <w:vertAlign w:val="superscript"/>
        </w:rPr>
        <w:t>®</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Omeclamox-Pak</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Cumberland completed an agreement with Gasto-enterlogics Inc. ("GEL") to acquire the remaining product rights associated with Omeclamox-Pak including the product’s FDA-approved New Drug Application and the domestic and international trademarks. As part of the transaction, which was accounted for as an asset acquisition, Cumberland paid $2.3 million during 2018 and ended Cumberland’s payments of royalties and manufacturing fees to GEL. The Company has now assumed responsibility for the maintenance of the product’s FDA approval and for the oversight of the product’s manufacturing and packaging.</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agreement follows the November 2015 agreement between Cumberland and GEL to assume the remaining commercial rights to Omeclamox-Pak for the United States. The Company had previously signed an agreement with Pernix Therapeutics ("Pernix") to jointly commercialize the product in the United States in October 2013. As part of the November 2015 GEL Agreement, Cumberland and Pernix terminated their arrangements.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$4.0 million upfront payment that the Company paid in October 2013 to Pernix along with the payments made to GEL during 2018 are included in product and license rights and are being amortized over the remaining expected useful life of the acquired asset. The Company evaluated the remaining expected useful life and maintained the existing estimated life of the product, June 2032. Omeclamox-Pak contributed $0.8 million, $0.6 million, and $1.8 million in net revenues during 2019, 2018, and 2017, respectively.</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4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2016, the Company announced an Agreement to acquire the exclusive U.S. rights to Nordic Group B.V.’s ("Nordic") injectable methotrexate product line as an asset purchase. The products are designed for the treatment of active rheumatoid arthritis, juvenile idiopathic arthritis, severe psoriatic arthritis, and severe disabling psoriasis.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Cumberland is responsible for the products’ FDA submission and registration. As consideration for the license, at closing, Cumberland paid a deposit of $100,000. The Company also recorded a liability of $0.9 million that will be settled through 180,000 unvested restricted shares of Cumberland common stock that vest upon the FDA approval of the first Nordic product. Cumberland also agreed to provide Nordic a series of payments tied to the products’ FDA approval, launch and achievement of certain sales milestones. Nordic is responsible for manufacturing and supply of the products.</w:t>
      </w:r>
    </w:p>
    <w:p>
      <w:pPr>
        <w:spacing w:after="0" w:line="1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27, 2019, Cumberland received FDA approval of the pre-filled syringe. The 180,000 shares of restricted Cumberland common stock vested and were valued at $0.9 million on the vesting date. In addition, the FDA approval resulted in an additional $1.0 million liability to Nordic that will be paid during 2020. The value of the then unvested restricted Cumberland common stock shares was a liability of $1.1 million at December 31, 2018.</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Vibativ</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Cumberland expects to deduct the goodwill acquired in the acquisition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Cumberland has accounted for the transaction as a business combination in accordance with ASC 805 and the product sales are included in the results of operations subsequent to the acquisition date. The Company paid an upfront payment of $20.0 million at closing and a $5.0 million cash payment during early 2019. In addition, Cumberland agreed to pay a royalty of up to 20% on future net sales of the product. The future royalty payments were required to be recognized at their acquisition-date fair value as part of the contingent consideration transferred in the business combination.</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initial payments and consideration for the business combination: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0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at closing</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 during early 2019</w:t>
            </w:r>
          </w:p>
        </w:tc>
        <w:tc>
          <w:tcPr>
            <w:tcW w:w="10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 net sales royalty</w:t>
            </w:r>
          </w:p>
        </w:tc>
        <w:tc>
          <w:tcPr>
            <w:tcW w:w="10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9,182,000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34,182,000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 The Company will continue to evaluate the assets acquired and liabilities assumed during the measurement period.</w:t>
      </w:r>
    </w:p>
    <w:p>
      <w:pPr>
        <w:spacing w:after="0" w:line="10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The following table presents the changes in the Company's Level 3 contingent consideration liability that is measured at fair value on a recurring basis. The current and long-term portions of this liability are disclosed in Note 8. The contingent consideration earned and accrued in operating expenses is paid to the seller quarterly.</w:t>
      </w: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jc w:val="right"/>
              <w:ind w:right="150"/>
              <w:spacing w:after="0" w:line="186" w:lineRule="exact"/>
              <w:rPr>
                <w:sz w:val="20"/>
                <w:szCs w:val="20"/>
                <w:color w:val="auto"/>
              </w:rPr>
            </w:pPr>
            <w:r>
              <w:rPr>
                <w:rFonts w:ascii="Times New Roman" w:cs="Times New Roman" w:eastAsia="Times New Roman" w:hAnsi="Times New Roman"/>
                <w:sz w:val="18"/>
                <w:szCs w:val="18"/>
                <w:b w:val="1"/>
                <w:bCs w:val="1"/>
                <w:color w:val="auto"/>
              </w:rPr>
              <w:t>Contingent consideration</w:t>
            </w:r>
          </w:p>
        </w:tc>
      </w:tr>
      <w:tr>
        <w:trPr>
          <w:trHeight w:val="229"/>
        </w:trPr>
        <w:tc>
          <w:tcPr>
            <w:tcW w:w="8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12, 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9,034,000</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508,000</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9,502,000</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initial fair value of the contingent consideration liability</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1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(1,033,108)</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(804,167)</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820,864</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8,633,589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the fair values of the assets acquired as of the acquisition date for Vibativ:</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inventory</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6,624,000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 - unlabeled vials</w:t>
            </w:r>
          </w:p>
        </w:tc>
        <w:tc>
          <w:tcPr>
            <w:tcW w:w="1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3,970,000</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 - validation vials</w:t>
            </w:r>
          </w:p>
        </w:tc>
        <w:tc>
          <w:tcPr>
            <w:tcW w:w="13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1,827,000</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9,129,000</w:t>
            </w:r>
          </w:p>
        </w:tc>
      </w:tr>
      <w:tr>
        <w:trPr>
          <w:trHeight w:val="248"/>
        </w:trPr>
        <w:tc>
          <w:tcPr>
            <w:tcW w:w="6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inventory</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amortizable intangible assets</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11,750,000</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882,000</w:t>
            </w:r>
          </w:p>
        </w:tc>
      </w:tr>
      <w:tr>
        <w:trPr>
          <w:trHeight w:val="223"/>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intangibles and goodwill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12,632,000</w:t>
            </w:r>
          </w:p>
        </w:tc>
      </w:tr>
      <w:tr>
        <w:trPr>
          <w:trHeight w:val="223"/>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 acquired</w:t>
            </w:r>
          </w:p>
        </w:tc>
        <w:tc>
          <w:tcPr>
            <w:tcW w:w="138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34,182,000</w:t>
            </w:r>
          </w:p>
        </w:tc>
      </w:tr>
      <w:tr>
        <w:trPr>
          <w:trHeight w:val="21"/>
        </w:trPr>
        <w:tc>
          <w:tcPr>
            <w:tcW w:w="6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The current portion of the contingent consideration liability is $2.4 million and the non-current portion is $6.3 million, as of December 31, 2019.</w:t>
      </w:r>
    </w:p>
    <w:p>
      <w:pPr>
        <w:spacing w:after="0" w:line="77"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product revenues consisted of the following for the years ended December 31:</w:t>
      </w:r>
    </w:p>
    <w:p>
      <w:pPr>
        <w:spacing w:after="0" w:line="201"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Acetadote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3,824,449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4,284,111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6,576,720</w:t>
            </w: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Omeclamox-Pak</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837,829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1,761,868</w:t>
            </w: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Kristalose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12,895,120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11,455,805</w:t>
            </w: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Vaprisol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1,763,874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1,576,222</w:t>
            </w: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Caldolor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5,222,282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5,001,997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4,178,443</w:t>
            </w: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Vibativ</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8,691,550</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5,075,057</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product revenues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32,407,845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28,803,961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25,549,058</w:t>
            </w:r>
          </w:p>
        </w:tc>
      </w:tr>
      <w:tr>
        <w:trPr>
          <w:trHeight w:val="20"/>
        </w:trPr>
        <w:tc>
          <w:tcPr>
            <w:tcW w:w="4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2019, Cumberland executed a License and Distribution agreement with HongKong WinHealth Pharma Group Co. Limited (“WinHealth”) for our Caldolor and Acetadote brands in China and Hong Kong. In conjunction with these new arrangements, the Company terminated a previous License and Distribution agreement with Gloria Pharmaceuticals Co ("Gloria Pharmaceuticals") for the two brands. In addition, we also signed a new License and Distribution agreement with DB Pharm Korea Co., Ltd. (“DB Pharm”) for Vibativ in South Korea. As a result of these agreements, Cumberland recognized approximately $0.3 million of non-refundable up-front payments as other revenue in the consolidated statement of operations during 2019.</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beginning in 2012, with international partners for commercialization of the Company's products. The international agreements provide that each of the partners are responsible for seeking regulatory approvals for the products, and following approvals, each partner will handle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and sales in the respective international territories. The Company maintains responsibility for the intellectual property and product formulations. Under the international agreements, the Company is entitled to receive non-refundable up-front payments at the time the agreements are entered into and payments upon the partners' achievement of defined regulatory approvals and sales milestones. The Company will recognize revenue for these achievements once it is probable that these consideration amounts are no longer constrained. The Company is also entitled to receive royalties on future sales of the products under the agreements. The international agreements provide for $1.0 million in non-refundable up-front payments, milestone payments of up to $2.2 million related to regulatory approvals and up to $4.8 million in payments related to product sales. From 2012 through December 31, 2019, the Company has recognized a cumulative $1.2 million in upfront payments as other revenue and has recognized $0.1 million in revenue related to the milestone payments associated with these international agreements.</w:t>
      </w:r>
    </w:p>
    <w:p>
      <w:pPr>
        <w:spacing w:after="0" w:line="1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revenues during 2019, 2018 and 2017 also includes revenue generated by CET through grant funding from federal Small Business grant programs, and lease income generated by CET’s Life Sciences Center and contract services. The Life Sciences Center is a research center that provides scientists with access to flexible lab space and other resources to develop biomedical products. Grant revenue from SBIR/STTR programs totaled approximately $1.3 million, $0.1 million, and $0.2 million for the years ending December 31, 2019, 2018 and 2017, respectively.</w:t>
      </w:r>
    </w:p>
    <w:p>
      <w:pPr>
        <w:spacing w:after="0" w:line="9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inventories consisted of the following as of December 31:</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45"/>
        </w:trPr>
        <w:tc>
          <w:tcPr>
            <w:tcW w:w="6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19,345,723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18,378,450</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416,468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937,006</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net of reserve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4,664,055</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6,216,965</w:t>
            </w:r>
          </w:p>
        </w:tc>
      </w:tr>
      <w:tr>
        <w:trPr>
          <w:trHeight w:val="223"/>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24,426,246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25,532,421</w:t>
            </w:r>
          </w:p>
        </w:tc>
      </w:tr>
      <w:tr>
        <w:trPr>
          <w:trHeight w:val="229"/>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(15,554,992)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(15,749,000)</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8,871,254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9,783,421</w:t>
            </w:r>
          </w:p>
        </w:tc>
      </w:tr>
      <w:tr>
        <w:trPr>
          <w:trHeight w:val="21"/>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 At December 31, 2019 and 2018, the Company had recognized and maintained cumulative charges for potential obsolescence and discontinuance losses of approximately $0.1 million and $0.3 million, respectively. At December 31, 2019 there were no cumulative obsolescence or discontinuance losses necessary.</w:t>
      </w:r>
    </w:p>
    <w:p>
      <w:pPr>
        <w:spacing w:after="0" w:line="1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certain product rights related to the Kristalose brand, the Company is responsible for the purchase of the active pharmaceutical ingredient ("API") for Kristalose and maintains the inventory at the third-party packagers. As the API is consumed in production, the value of the API is transferred from raw materials to finished goods. API for the Company's Vaprisol brand is also included in the raw materials inventory total at December 31, 2019 and 2018. Consigned inventory represents Authorized Generic inventory stored with Perrigo until shipment.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Vibativ acquisition, Cumberland acquired API and work in process inventories of $15.7 million that are classified as non-current inventories at December 31, 2018. At December 31, 2019, the Vibativ non-current inventory was $15.3 million. Although the Company did not have any finished goods included in the non-current inventories at December 31, 2019, we had $0.8 million in Vibativ finished goods included at December 31, 2018. During 2019, Cumberland also obtained $0.3 million in non-current inventory for API related to its ifetroban clinical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Range of</w:t>
            </w:r>
          </w:p>
        </w:tc>
        <w:tc>
          <w:tcPr>
            <w:tcW w:w="420" w:type="dxa"/>
            <w:vAlign w:val="bottom"/>
          </w:tcPr>
          <w:p>
            <w:pPr>
              <w:spacing w:after="0"/>
              <w:rPr>
                <w:sz w:val="16"/>
                <w:szCs w:val="16"/>
                <w:color w:val="auto"/>
              </w:rPr>
            </w:pPr>
          </w:p>
        </w:tc>
        <w:tc>
          <w:tcPr>
            <w:tcW w:w="1380" w:type="dxa"/>
            <w:vAlign w:val="bottom"/>
            <w:vMerge w:val="restart"/>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vMerge w:val="restart"/>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2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3 – 5 years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1,260,630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1,148,140</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3 – 15 years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809,153</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5 – 15 years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646,505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639,267</w:t>
            </w:r>
          </w:p>
        </w:tc>
        <w:tc>
          <w:tcPr>
            <w:tcW w:w="0" w:type="dxa"/>
            <w:vAlign w:val="bottom"/>
          </w:tcPr>
          <w:p>
            <w:pPr>
              <w:spacing w:after="0"/>
              <w:rPr>
                <w:sz w:val="1"/>
                <w:szCs w:val="1"/>
                <w:color w:val="auto"/>
              </w:rPr>
            </w:pPr>
          </w:p>
        </w:tc>
      </w:tr>
      <w:tr>
        <w:trPr>
          <w:trHeight w:val="176"/>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8"/>
              </w:rPr>
              <w:t>3 – 15 years, or</w:t>
            </w: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1,356,640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1,299,363</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vMerge w:val="continue"/>
          </w:tcPr>
          <w:p>
            <w:pPr>
              <w:spacing w:after="0"/>
              <w:rPr>
                <w:sz w:val="19"/>
                <w:szCs w:val="19"/>
                <w:color w:val="auto"/>
              </w:rPr>
            </w:pPr>
          </w:p>
        </w:tc>
        <w:tc>
          <w:tcPr>
            <w:tcW w:w="252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remaining lease term</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property and</w:t>
            </w: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4,142,125</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3,895,923</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gross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(3,394,329)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(3,124,710)</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2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property and</w:t>
            </w: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747,796</w:t>
            </w:r>
          </w:p>
        </w:tc>
        <w:tc>
          <w:tcPr>
            <w:tcW w:w="1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771,213</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equipment, net</w:t>
            </w:r>
          </w:p>
        </w:tc>
        <w:tc>
          <w:tcPr>
            <w:tcW w:w="2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expense related to leasehold improvements, is included in general and administrative expense in the consolidated statements of operations. Depreciation expense was as follows for the years ended December 31: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269,619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213,237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211,532</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3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5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assets and Goodwill consisted of the following at December 31: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and license rights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37,400,742</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36,573,941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(11,499,141)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(8,405,188)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 and license rights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25,901,601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28,168,753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9,882,511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9,428,266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(5,127,878)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(4,087,273)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patents</w:t>
            </w:r>
          </w:p>
        </w:tc>
        <w:tc>
          <w:tcPr>
            <w:tcW w:w="3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4,754,633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5,340,993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154,373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145,353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30,920,324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33,655,099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882,000</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784,000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2013, the Company entered into an agreement with Pernix to distribute and promote the branded prescription product Omeclamox-Pak. The $4.0 million upfront payment the Company paid to Pernix during October 2013 and the $2.3 million payments made to GEL during 2018 (discussed more fully in Note 3) are included in product and license rights and are being amortized through June 2032, the remaining expected useful life of the acquired asset.</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2014, the Company acquired the rights of the branded prescription product Vaprisol from Astellas. The intangible asset value is $3.0 million and is included in product and license rights. The asset is being amortized through February 2022, the remaining expected useful life of the acquired asset, which coincides with the life of the primary intellectual property asset.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discussed in Note 3, in November 2016, the Company acquired the U.S. rights to Nordic Group B.V.’s injectable methotrexate product line as an asset purchase. The agreement requires the Company to provide unvested restricted shares of Cumberland common stock and make a series of payments tied to the products’ FDA approval, launch and achievement of certain sales milestones. The payments are being treated as consideration for the assets acquired and are being capitalized and amortized over the expected useful life of the acquired asset. To date, the intangible assets related to the product include the $100,000 deposit paid at closing, the 180,000 restricted shares valued at $0.9 million that vested upon the November 2019 FDA approval and the additional $1.0 million owed to Nordic during 2020, also based on the FDA approval.</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3, during November 2018, the Company acquired Vibativ from Theravance. This resulted in amortizable intangible assets related to the product rights of $11.8 million and goodwill of $0.9 million. The intangible assets are being amortized through November 2028, the expected useful life of the acquired asset. The $0.1 million increase in goodwill during 2019 was a result of changes in the purchase price allocation during the measurement period.</w:t>
      </w:r>
    </w:p>
    <w:p>
      <w:pPr>
        <w:spacing w:after="0" w:line="9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2019 and 2018, the Company recorded an additional $0.7 million and $0.4 million, respectively, in intangible assets for patents, trademarks and capitalized patent costs, including amounts incurred in the protection of the Company's intellectual property. These costs will be amortized over the remaining expected useful life of the associated patents.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related to product and license rights, trademarks and patents were as follows for the years ended December 31:</w:t>
      </w:r>
    </w:p>
    <w:p>
      <w:pPr>
        <w:spacing w:after="0" w:line="194"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142"/>
        </w:trPr>
        <w:tc>
          <w:tcPr>
            <w:tcW w:w="3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4,134,557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2,769,466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2,436,222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amortization expense for the Company's current balance of intangible assets are as follows:</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4,286,336</w:t>
            </w:r>
          </w:p>
        </w:tc>
      </w:tr>
      <w:tr>
        <w:trPr>
          <w:trHeight w:val="23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4,084,702</w:t>
            </w:r>
          </w:p>
        </w:tc>
      </w:tr>
      <w:tr>
        <w:trPr>
          <w:trHeight w:val="23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3,530,879</w:t>
            </w:r>
          </w:p>
        </w:tc>
      </w:tr>
      <w:tr>
        <w:trPr>
          <w:trHeight w:val="23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3,743,526</w:t>
            </w:r>
          </w:p>
        </w:tc>
      </w:tr>
      <w:tr>
        <w:trPr>
          <w:trHeight w:val="22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and thereafter</w:t>
            </w:r>
          </w:p>
        </w:tc>
        <w:tc>
          <w:tcPr>
            <w:tcW w:w="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15,274,881</w:t>
            </w:r>
          </w:p>
        </w:tc>
      </w:tr>
      <w:tr>
        <w:trPr>
          <w:trHeight w:val="223"/>
        </w:trPr>
        <w:tc>
          <w:tcPr>
            <w:tcW w:w="66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30,920,324</w:t>
            </w:r>
          </w:p>
        </w:tc>
      </w:tr>
      <w:tr>
        <w:trPr>
          <w:trHeight w:val="21"/>
        </w:trPr>
        <w:tc>
          <w:tcPr>
            <w:tcW w:w="6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Current and Other Long-term Liabilities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at December 31:</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5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Rebates, product returns, administrative fees</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4,593,167</w:t>
            </w:r>
          </w:p>
        </w:tc>
        <w:tc>
          <w:tcPr>
            <w:tcW w:w="520" w:type="dxa"/>
            <w:vAlign w:val="bottom"/>
            <w:gridSpan w:val="3"/>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4,969,515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service fees</w:t>
            </w: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520" w:type="dxa"/>
            <w:vAlign w:val="bottom"/>
            <w:gridSpan w:val="3"/>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wages and benefits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payable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accrued contingent consideration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2,374,776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liability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829,047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payment for asset purchase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991,974</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1,001,724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11,084,869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16,044,470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4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40" w:type="dxa"/>
            <w:vAlign w:val="bottom"/>
          </w:tcPr>
          <w:p>
            <w:pPr>
              <w:spacing w:after="0"/>
              <w:rPr>
                <w:sz w:val="6"/>
                <w:szCs w:val="6"/>
                <w:color w:val="auto"/>
              </w:rPr>
            </w:pPr>
          </w:p>
        </w:tc>
        <w:tc>
          <w:tcPr>
            <w:tcW w:w="5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accrued contingent consideration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6,258,813</w:t>
            </w:r>
          </w:p>
        </w:tc>
        <w:tc>
          <w:tcPr>
            <w:tcW w:w="5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8,737,323</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9,319,143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46" w:name="page47"/>
    <w:bookmarkEnd w:id="46"/>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73" w:hanging="392"/>
        <w:spacing w:after="0"/>
        <w:tabs>
          <w:tab w:leader="none" w:pos="47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ind w:left="73" w:firstLine="324"/>
        <w:spacing w:after="0" w:line="247" w:lineRule="auto"/>
        <w:rPr>
          <w:sz w:val="20"/>
          <w:szCs w:val="20"/>
          <w:color w:val="auto"/>
        </w:rPr>
      </w:pPr>
      <w:r>
        <w:rPr>
          <w:rFonts w:ascii="Times New Roman" w:cs="Times New Roman" w:eastAsia="Times New Roman" w:hAnsi="Times New Roman"/>
          <w:sz w:val="18"/>
          <w:szCs w:val="18"/>
          <w:color w:val="auto"/>
        </w:rPr>
        <w:t>On May 10, 2019, the Company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including the definition of the Funded Debt Ratio and the compliance target of</w:t>
      </w:r>
    </w:p>
    <w:p>
      <w:pPr>
        <w:jc w:val="both"/>
        <w:ind w:left="73"/>
        <w:spacing w:after="0" w:line="268" w:lineRule="auto"/>
        <w:rPr>
          <w:sz w:val="20"/>
          <w:szCs w:val="20"/>
          <w:color w:val="auto"/>
        </w:rPr>
      </w:pPr>
      <w:r>
        <w:rPr>
          <w:rFonts w:ascii="Times New Roman" w:cs="Times New Roman" w:eastAsia="Times New Roman" w:hAnsi="Times New Roman"/>
          <w:sz w:val="18"/>
          <w:szCs w:val="18"/>
          <w:color w:val="auto"/>
        </w:rPr>
        <w:t>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 First Amendment. The Company achieved compliance with the Tangible Capital Ratio financial covenant as of December 31, 2019.</w:t>
      </w:r>
    </w:p>
    <w:p>
      <w:pPr>
        <w:spacing w:after="0" w:line="189" w:lineRule="exact"/>
        <w:rPr>
          <w:sz w:val="20"/>
          <w:szCs w:val="20"/>
          <w:color w:val="auto"/>
        </w:rPr>
      </w:pPr>
    </w:p>
    <w:p>
      <w:pPr>
        <w:jc w:val="both"/>
        <w:ind w:left="73" w:firstLine="324"/>
        <w:spacing w:after="0" w:line="245" w:lineRule="auto"/>
        <w:rPr>
          <w:sz w:val="20"/>
          <w:szCs w:val="20"/>
          <w:color w:val="auto"/>
        </w:rPr>
      </w:pPr>
      <w:r>
        <w:rPr>
          <w:rFonts w:ascii="Times New Roman" w:cs="Times New Roman" w:eastAsia="Times New Roman" w:hAnsi="Times New Roman"/>
          <w:sz w:val="18"/>
          <w:szCs w:val="18"/>
          <w:color w:val="auto"/>
        </w:rPr>
        <w:t>The initial revolving line of credit under the Pinnacle Agreement was for up to an aggregate principal amount of $12.0 million with the ability to increase the principal amount available for borrowing up to $20.0 million, upon the satisfaction of certain conditions. On October 17, 2018, the Company entered into a second amendment (“Second Amendment”) which increased the maximum aggregate principal available for borrowing under the Pinnacle Agreement to $20.0 million.</w:t>
      </w:r>
    </w:p>
    <w:p>
      <w:pPr>
        <w:spacing w:after="0" w:line="100" w:lineRule="exact"/>
        <w:rPr>
          <w:sz w:val="20"/>
          <w:szCs w:val="20"/>
          <w:color w:val="auto"/>
        </w:rPr>
      </w:pPr>
    </w:p>
    <w:p>
      <w:pPr>
        <w:ind w:left="413"/>
        <w:spacing w:after="0"/>
        <w:rPr>
          <w:sz w:val="20"/>
          <w:szCs w:val="20"/>
          <w:color w:val="auto"/>
        </w:rPr>
      </w:pPr>
      <w:r>
        <w:rPr>
          <w:rFonts w:ascii="Times New Roman" w:cs="Times New Roman" w:eastAsia="Times New Roman" w:hAnsi="Times New Roman"/>
          <w:sz w:val="18"/>
          <w:szCs w:val="18"/>
          <w:color w:val="auto"/>
        </w:rPr>
        <w:t>The Company had $18.5 million in borrowings under the Pinnacle Agreement at December 31, 2019 and $20.0 million at December 31, 2018.</w:t>
      </w:r>
    </w:p>
    <w:p>
      <w:pPr>
        <w:spacing w:after="0" w:line="158" w:lineRule="exact"/>
        <w:rPr>
          <w:sz w:val="20"/>
          <w:szCs w:val="20"/>
          <w:color w:val="auto"/>
        </w:rPr>
      </w:pPr>
    </w:p>
    <w:p>
      <w:pPr>
        <w:jc w:val="both"/>
        <w:ind w:left="73" w:firstLine="324"/>
        <w:spacing w:after="0" w:line="261" w:lineRule="auto"/>
        <w:rPr>
          <w:sz w:val="20"/>
          <w:szCs w:val="20"/>
          <w:color w:val="auto"/>
        </w:rPr>
      </w:pPr>
      <w:r>
        <w:rPr>
          <w:rFonts w:ascii="Times New Roman" w:cs="Times New Roman" w:eastAsia="Times New Roman" w:hAnsi="Times New Roman"/>
          <w:sz w:val="18"/>
          <w:szCs w:val="18"/>
          <w:color w:val="auto"/>
        </w:rPr>
        <w:t>The interest rate on the Pinnacle Agreement is based on LIBOR plus an interest rate spread. There is no LIBOR minimum and the LIBOR pricing provides for an interest rate spread of 1.75% to 2.75% (representing an interest rate of 4.5% at December 31, 2019). In addition, a fee of 0.25% per year is charged on the unused line of credit. Interest and the unused line fee are payable quarterly. Borrowings under the line of credit are collateralized by substantially all of our assets.</w:t>
      </w:r>
    </w:p>
    <w:p>
      <w:pPr>
        <w:spacing w:after="0" w:line="108" w:lineRule="exact"/>
        <w:rPr>
          <w:sz w:val="20"/>
          <w:szCs w:val="20"/>
          <w:color w:val="auto"/>
        </w:rPr>
      </w:pPr>
    </w:p>
    <w:p>
      <w:pPr>
        <w:ind w:left="473" w:hanging="473"/>
        <w:spacing w:after="0"/>
        <w:tabs>
          <w:tab w:leader="none" w:pos="47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30" w:lineRule="exact"/>
        <w:rPr>
          <w:rFonts w:ascii="Times New Roman" w:cs="Times New Roman" w:eastAsia="Times New Roman" w:hAnsi="Times New Roman"/>
          <w:sz w:val="18"/>
          <w:szCs w:val="18"/>
          <w:b w:val="1"/>
          <w:bCs w:val="1"/>
          <w:color w:val="auto"/>
        </w:rPr>
      </w:pPr>
    </w:p>
    <w:p>
      <w:pPr>
        <w:ind w:left="793" w:hanging="388"/>
        <w:spacing w:after="0"/>
        <w:tabs>
          <w:tab w:leader="none" w:pos="793" w:val="left"/>
        </w:tabs>
        <w:numPr>
          <w:ilvl w:val="1"/>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35" w:lineRule="exact"/>
        <w:rPr>
          <w:sz w:val="20"/>
          <w:szCs w:val="20"/>
          <w:color w:val="auto"/>
        </w:rPr>
      </w:pPr>
    </w:p>
    <w:p>
      <w:pPr>
        <w:jc w:val="both"/>
        <w:ind w:left="73" w:firstLine="324"/>
        <w:spacing w:after="0" w:line="261" w:lineRule="auto"/>
        <w:rPr>
          <w:sz w:val="20"/>
          <w:szCs w:val="20"/>
          <w:color w:val="auto"/>
        </w:rPr>
      </w:pPr>
      <w:r>
        <w:rPr>
          <w:rFonts w:ascii="Times New Roman" w:cs="Times New Roman" w:eastAsia="Times New Roman" w:hAnsi="Times New Roman"/>
          <w:sz w:val="18"/>
          <w:szCs w:val="18"/>
          <w:color w:val="auto"/>
        </w:rPr>
        <w:t>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 Contemporaneously with the offering, each outstanding share of preferred stock was automatically converted into two million shares of common stock.</w:t>
      </w:r>
    </w:p>
    <w:p>
      <w:pPr>
        <w:spacing w:after="0" w:line="95" w:lineRule="exact"/>
        <w:rPr>
          <w:sz w:val="20"/>
          <w:szCs w:val="20"/>
          <w:color w:val="auto"/>
        </w:rPr>
      </w:pPr>
    </w:p>
    <w:p>
      <w:pPr>
        <w:ind w:left="793" w:hanging="388"/>
        <w:spacing w:after="0"/>
        <w:tabs>
          <w:tab w:leader="none" w:pos="793"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Stock</w:t>
      </w:r>
    </w:p>
    <w:p>
      <w:pPr>
        <w:spacing w:after="0" w:line="135" w:lineRule="exact"/>
        <w:rPr>
          <w:sz w:val="20"/>
          <w:szCs w:val="20"/>
          <w:color w:val="auto"/>
        </w:rPr>
      </w:pPr>
    </w:p>
    <w:p>
      <w:pPr>
        <w:jc w:val="both"/>
        <w:ind w:left="73" w:firstLine="324"/>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2019 and 2018, there was no preferred stock outstanding.</w:t>
      </w:r>
    </w:p>
    <w:p>
      <w:pPr>
        <w:spacing w:after="0" w:line="77" w:lineRule="exact"/>
        <w:rPr>
          <w:sz w:val="20"/>
          <w:szCs w:val="20"/>
          <w:color w:val="auto"/>
        </w:rPr>
      </w:pPr>
    </w:p>
    <w:p>
      <w:pPr>
        <w:ind w:left="413"/>
        <w:spacing w:after="0"/>
        <w:tabs>
          <w:tab w:leader="none" w:pos="773"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Common Stock</w:t>
      </w:r>
    </w:p>
    <w:p>
      <w:pPr>
        <w:spacing w:after="0" w:line="148" w:lineRule="exact"/>
        <w:rPr>
          <w:sz w:val="20"/>
          <w:szCs w:val="20"/>
          <w:color w:val="auto"/>
        </w:rPr>
      </w:pPr>
    </w:p>
    <w:p>
      <w:pPr>
        <w:jc w:val="both"/>
        <w:ind w:left="73" w:firstLine="324"/>
        <w:spacing w:after="0" w:line="266" w:lineRule="auto"/>
        <w:rPr>
          <w:sz w:val="20"/>
          <w:szCs w:val="20"/>
          <w:color w:val="auto"/>
        </w:rPr>
      </w:pPr>
      <w:r>
        <w:rPr>
          <w:rFonts w:ascii="Times New Roman" w:cs="Times New Roman" w:eastAsia="Times New Roman" w:hAnsi="Times New Roman"/>
          <w:sz w:val="18"/>
          <w:szCs w:val="18"/>
          <w:color w:val="auto"/>
        </w:rPr>
        <w:t>During 2019, 2018 and 2017, the Company issued 225,536 shares, 170,759 shares, and 146,275 shares of common stock, respectively, as a result of restricted shares vesting as well as other common share issuances. Cumberland issued 3,409 common shares under option exercise transactions during 2016. There were no option exercise transactions during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2018, the Company's Form S-3 or Shelf Registration associated with the sale of up to $100 million in corporate securities was declared effective. The Shelf Registration also included an At-the-Market ("ATM") feature enabling the Company to sell common shares at market prices, along with an agreement with B. Riley FBR to support such a placement of shares.</w:t>
      </w:r>
    </w:p>
    <w:p>
      <w:pPr>
        <w:spacing w:after="0" w:line="91"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Warrants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2006, the Company signed a new line of credit agreement along with a term loan agreement with a financial institution. In conjunction with these agreements, the Company issued warrants to purchase up to 3,958 shares of common stock at $9.00 per share within 10 years of issuance. All of these warrants expired during 2017.</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amendment to the debt agreements in 2009, the Company issued warrants to purchase up to 7,500 shares of common stock at $17.00 per share that expired in July 2019. As of December 31, 2019, there were no outstanding warrants.</w:t>
      </w:r>
    </w:p>
    <w:p>
      <w:pPr>
        <w:spacing w:after="0" w:line="77"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Share Repurchases</w:t>
      </w:r>
    </w:p>
    <w:p>
      <w:pPr>
        <w:spacing w:after="0" w:line="25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Company currently has a share repurchase program to repurchase up to $10 million of its common stock pursuant to Rule 10b-18 of the Securities Act. In January 2019, the Company's Board of Directors established the current $10 million repurchase program to replace the prior authorizations. The Company repurchased 623,478 shares, 443,041 shares and 547,376 shares of common stock for approximately $3.5 million, $2.9 million, and $3.7 million during the years ended December 31, 2019, 2018 and 2017, respectively. There remains $8.0 million available under the current repurchase program available for share repurchases at December 31, 2019.</w:t>
      </w:r>
    </w:p>
    <w:p>
      <w:pPr>
        <w:spacing w:after="0" w:line="100"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Cumberland Emerging Technologies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April 2019, Cumberland Emerging Technologies ("CET"), our majority-owned subsidiary, entered into an agreement with WinHealth whereby WinHealth made a $1 million investment through the purchase of shares of CET stock. As part of the agreement, WinHealth obtained a Board position at CET and the first opportunity to license CET products for the Chinese market. In connection with WinHealth’s investment in CET, the Company also made an additional $1 million investment in CET. Cumberland purchased additional CET shares through contribution of $0.3 million in cash and a conversion of $0.7 million in intercompany loans payable. Upon completion of the additional investment by WinHealth and Cumberland, Gloria Pharmaceuticals agreed to return its shares in CET in exchange for consideration of $0.8 million. After the additional investment, the Company’s ownership in CET is 85%. As CET is a consolidated subsidiary, the Company reports the operating results of CET and allocates the noncontrolling interests to the non-majority partners.</w:t>
      </w:r>
    </w:p>
    <w:p>
      <w:pPr>
        <w:spacing w:after="0" w:line="117" w:lineRule="exact"/>
        <w:rPr>
          <w:sz w:val="20"/>
          <w:szCs w:val="20"/>
          <w:color w:val="auto"/>
        </w:rPr>
      </w:pPr>
    </w:p>
    <w:p>
      <w:pPr>
        <w:ind w:left="760" w:hanging="428"/>
        <w:spacing w:after="0"/>
        <w:tabs>
          <w:tab w:leader="none" w:pos="7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Cumberland Foundation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2017, the Company formed the Cumberland Pharma Foundation (the "Foundation") to serve as a vehicle to facilitate the ongoing philanthropic endeavors of Cumberland Pharmaceuticals Inc.</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2018, Cumberland provided a grant of 50,000 shares of the Company's common stock to the Foundation. The shares will address the ongoing financial needs of the organization, with most of the shares expected to be held for the opportunity to realize long term appreciation to support the Foundation’s future. The Foundation maintains separate financial statements and its ongoing operations will not impact the financial statements of Cumberland Pharmaceuticals. Initial annual grants by the Foundation have been and are expected to remain consistent with the historic level of contributions made by Cumberland Pharmaceuticals. During 2019, Cumberland Pharmaceuticals committed approximately $50,000 in cash contributions to be paid to the Foundation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93" w:hanging="388"/>
        <w:spacing w:after="0"/>
        <w:tabs>
          <w:tab w:leader="none" w:pos="793"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Nordic Group B.V.</w:t>
      </w:r>
    </w:p>
    <w:p>
      <w:pPr>
        <w:spacing w:after="0" w:line="162" w:lineRule="exact"/>
        <w:rPr>
          <w:sz w:val="20"/>
          <w:szCs w:val="20"/>
          <w:color w:val="auto"/>
        </w:rPr>
      </w:pPr>
    </w:p>
    <w:p>
      <w:pPr>
        <w:ind w:left="73" w:firstLine="324"/>
        <w:spacing w:after="0" w:line="282" w:lineRule="auto"/>
        <w:rPr>
          <w:sz w:val="20"/>
          <w:szCs w:val="20"/>
          <w:color w:val="auto"/>
        </w:rPr>
      </w:pPr>
      <w:r>
        <w:rPr>
          <w:rFonts w:ascii="Times New Roman" w:cs="Times New Roman" w:eastAsia="Times New Roman" w:hAnsi="Times New Roman"/>
          <w:sz w:val="18"/>
          <w:szCs w:val="18"/>
          <w:color w:val="auto"/>
        </w:rPr>
        <w:t>On November 27, 2019, Cumberland received approval from the FDA for the pre-filled syringe of the Methotrexate product. With this approval, Nordic's 180,000 shares of Cumberland's common stock became vested. The value of these shares at the date of approval was $0.9 million.</w:t>
      </w:r>
    </w:p>
    <w:p>
      <w:pPr>
        <w:spacing w:after="0" w:line="90" w:lineRule="exact"/>
        <w:rPr>
          <w:sz w:val="20"/>
          <w:szCs w:val="20"/>
          <w:color w:val="auto"/>
        </w:rPr>
      </w:pPr>
    </w:p>
    <w:p>
      <w:pPr>
        <w:ind w:left="473" w:hanging="473"/>
        <w:spacing w:after="0"/>
        <w:tabs>
          <w:tab w:leader="none" w:pos="47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48" w:lineRule="exact"/>
        <w:rPr>
          <w:sz w:val="20"/>
          <w:szCs w:val="20"/>
          <w:color w:val="auto"/>
        </w:rPr>
      </w:pPr>
    </w:p>
    <w:p>
      <w:pPr>
        <w:ind w:left="413"/>
        <w:spacing w:after="0"/>
        <w:rPr>
          <w:sz w:val="20"/>
          <w:szCs w:val="20"/>
          <w:color w:val="auto"/>
        </w:rPr>
      </w:pPr>
      <w:r>
        <w:rPr>
          <w:rFonts w:ascii="Times New Roman" w:cs="Times New Roman" w:eastAsia="Times New Roman" w:hAnsi="Times New Roman"/>
          <w:sz w:val="17"/>
          <w:szCs w:val="17"/>
          <w:color w:val="auto"/>
        </w:rPr>
        <w:t>The following table shows the computation of the numerator and the denominator used to calculate diluted earnings (loss) per share for the years ended</w:t>
      </w:r>
    </w:p>
    <w:p>
      <w:pPr>
        <w:spacing w:after="0" w:line="3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color w:val="auto"/>
        </w:rPr>
        <w:t>December 31:</w:t>
      </w:r>
    </w:p>
    <w:p>
      <w:pPr>
        <w:spacing w:after="0" w:line="182" w:lineRule="exact"/>
        <w:rPr>
          <w:sz w:val="20"/>
          <w:szCs w:val="20"/>
          <w:color w:val="auto"/>
        </w:rPr>
      </w:pPr>
    </w:p>
    <w:tbl>
      <w:tblPr>
        <w:tblLayout w:type="fixed"/>
        <w:tblInd w:w="973"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(9,211,688)</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(10,820,996)</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(12,847,840)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5,665,177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4,798,025</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(3,546,511)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(7,038,772)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(8,049,815)</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 subsidiary attributable to noncontrolling</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(3,537,759)</w:t>
            </w:r>
          </w:p>
        </w:tc>
        <w:tc>
          <w:tcPr>
            <w:tcW w:w="14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(6,963,068)</w:t>
            </w:r>
          </w:p>
        </w:tc>
        <w:tc>
          <w:tcPr>
            <w:tcW w:w="14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(7,978,633)</w:t>
            </w:r>
          </w:p>
        </w:tc>
        <w:tc>
          <w:tcPr>
            <w:tcW w:w="0" w:type="dxa"/>
            <w:vAlign w:val="bottom"/>
          </w:tcPr>
          <w:p>
            <w:pPr>
              <w:spacing w:after="0"/>
              <w:rPr>
                <w:sz w:val="1"/>
                <w:szCs w:val="1"/>
                <w:color w:val="auto"/>
              </w:rPr>
            </w:pPr>
          </w:p>
        </w:tc>
      </w:tr>
      <w:tr>
        <w:trPr>
          <w:trHeight w:val="208"/>
        </w:trPr>
        <w:tc>
          <w:tcPr>
            <w:tcW w:w="402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15,396,098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15,614,052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15,911,577</w:t>
            </w:r>
          </w:p>
        </w:tc>
        <w:tc>
          <w:tcPr>
            <w:tcW w:w="0" w:type="dxa"/>
            <w:vAlign w:val="bottom"/>
          </w:tcPr>
          <w:p>
            <w:pPr>
              <w:spacing w:after="0"/>
              <w:rPr>
                <w:sz w:val="1"/>
                <w:szCs w:val="1"/>
                <w:color w:val="auto"/>
              </w:rPr>
            </w:pPr>
          </w:p>
        </w:tc>
      </w:tr>
      <w:tr>
        <w:trPr>
          <w:trHeight w:val="175"/>
        </w:trPr>
        <w:tc>
          <w:tcPr>
            <w:tcW w:w="4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Dilutive effect of restricted stock and stock</w:t>
            </w:r>
          </w:p>
        </w:tc>
        <w:tc>
          <w:tcPr>
            <w:tcW w:w="380" w:type="dxa"/>
            <w:vAlign w:val="bottom"/>
          </w:tcPr>
          <w:p>
            <w:pPr>
              <w:spacing w:after="0"/>
              <w:rPr>
                <w:sz w:val="15"/>
                <w:szCs w:val="15"/>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5"/>
                <w:szCs w:val="15"/>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3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15,396,098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15,614,052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15,911,577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The Company's anti-dilutive restricted shares and stock options outstanding were as follows for the years ended December 31:</w:t>
      </w:r>
    </w:p>
    <w:p>
      <w:pPr>
        <w:spacing w:after="0" w:line="194" w:lineRule="exact"/>
        <w:rPr>
          <w:sz w:val="20"/>
          <w:szCs w:val="20"/>
          <w:color w:val="auto"/>
        </w:rPr>
      </w:pPr>
    </w:p>
    <w:tbl>
      <w:tblPr>
        <w:tblLayout w:type="fixed"/>
        <w:tblInd w:w="413" w:type="dxa"/>
        <w:tblCellMar>
          <w:top w:w="0" w:type="dxa"/>
          <w:left w:w="0" w:type="dxa"/>
          <w:bottom w:w="0" w:type="dxa"/>
          <w:right w:w="0" w:type="dxa"/>
        </w:tblCellMar>
      </w:tblPr>
      <w:tr>
        <w:trPr>
          <w:trHeight w:val="238"/>
        </w:trPr>
        <w:tc>
          <w:tcPr>
            <w:tcW w:w="5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142"/>
        </w:trPr>
        <w:tc>
          <w:tcPr>
            <w:tcW w:w="4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r>
      <w:tr>
        <w:trPr>
          <w:trHeight w:val="250"/>
        </w:trPr>
        <w:tc>
          <w:tcPr>
            <w:tcW w:w="5320" w:type="dxa"/>
            <w:vAlign w:val="bottom"/>
            <w:gridSpan w:val="2"/>
            <w:shd w:val="clear" w:color="auto" w:fill="CCEEFF"/>
          </w:tcPr>
          <w:p>
            <w:pPr>
              <w:jc w:val="right"/>
              <w:ind w:right="3000"/>
              <w:spacing w:after="0"/>
              <w:rPr>
                <w:sz w:val="20"/>
                <w:szCs w:val="20"/>
                <w:color w:val="auto"/>
              </w:rPr>
            </w:pPr>
            <w:r>
              <w:rPr>
                <w:rFonts w:ascii="Times New Roman" w:cs="Times New Roman" w:eastAsia="Times New Roman" w:hAnsi="Times New Roman"/>
                <w:sz w:val="18"/>
                <w:szCs w:val="18"/>
                <w:color w:val="auto"/>
                <w:w w:val="99"/>
              </w:rPr>
              <w:t>Anti-dilutive shares and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0" w:right="339" w:bottom="1440" w:gutter="0" w:footer="0" w:header="0"/>
        </w:sectPr>
      </w:pPr>
    </w:p>
    <w:bookmarkStart w:id="49" w:name="page50"/>
    <w:bookmarkEnd w:id="4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at December 31 are as follows:</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45"/>
        </w:trPr>
        <w:tc>
          <w:tcPr>
            <w:tcW w:w="6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and tax credits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16,964,685</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16,410,403</w:t>
            </w:r>
          </w:p>
        </w:tc>
      </w:tr>
      <w:tr>
        <w:trPr>
          <w:trHeight w:val="229"/>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and intangibles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227,072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236,318</w:t>
            </w:r>
          </w:p>
        </w:tc>
      </w:tr>
      <w:tr>
        <w:trPr>
          <w:trHeight w:val="229"/>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257,564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251,068</w:t>
            </w:r>
          </w:p>
        </w:tc>
      </w:tr>
      <w:tr>
        <w:trPr>
          <w:trHeight w:val="230"/>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 for expired product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469,466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558,484</w:t>
            </w:r>
          </w:p>
        </w:tc>
      </w:tr>
      <w:tr>
        <w:trPr>
          <w:trHeight w:val="229"/>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193,150</w:t>
            </w:r>
          </w:p>
        </w:tc>
      </w:tr>
      <w:tr>
        <w:trPr>
          <w:trHeight w:val="229"/>
        </w:trPr>
        <w:tc>
          <w:tcPr>
            <w:tcW w:w="6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charges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845,765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910,577</w:t>
            </w:r>
          </w:p>
        </w:tc>
      </w:tr>
      <w:tr>
        <w:trPr>
          <w:trHeight w:val="230"/>
        </w:trPr>
        <w:tc>
          <w:tcPr>
            <w:tcW w:w="6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Cumulative compensation costs incurred on deductible equity awards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1,047,149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884,049</w:t>
            </w:r>
          </w:p>
        </w:tc>
      </w:tr>
      <w:tr>
        <w:trPr>
          <w:trHeight w:val="223"/>
        </w:trPr>
        <w:tc>
          <w:tcPr>
            <w:tcW w:w="6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19,846,928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19,444,049</w:t>
            </w:r>
          </w:p>
        </w:tc>
      </w:tr>
      <w:tr>
        <w:trPr>
          <w:trHeight w:val="162"/>
        </w:trPr>
        <w:tc>
          <w:tcPr>
            <w:tcW w:w="6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(1,313,965)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(1,974,787)</w:t>
            </w:r>
          </w:p>
        </w:tc>
      </w:tr>
      <w:tr>
        <w:trPr>
          <w:trHeight w:val="223"/>
        </w:trPr>
        <w:tc>
          <w:tcPr>
            <w:tcW w:w="6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18,532,963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17,469,262</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deferred tax asset valuation allowance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(18,511,161)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(17,382,052)</w:t>
            </w:r>
          </w:p>
        </w:tc>
      </w:tr>
      <w:tr>
        <w:trPr>
          <w:trHeight w:val="248"/>
        </w:trPr>
        <w:tc>
          <w:tcPr>
            <w:tcW w:w="6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amount and year of expiration of the Company's federal and state net operating loss carryforwards as of</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 of expiration</w:t>
            </w:r>
          </w:p>
        </w:tc>
        <w:tc>
          <w:tcPr>
            <w:tcW w:w="360" w:type="dxa"/>
            <w:vAlign w:val="bottom"/>
          </w:tcPr>
          <w:p>
            <w:pPr>
              <w:spacing w:after="0"/>
              <w:rPr>
                <w:sz w:val="18"/>
                <w:szCs w:val="18"/>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420" w:type="dxa"/>
            <w:vAlign w:val="bottom"/>
          </w:tcPr>
          <w:p>
            <w:pPr>
              <w:spacing w:after="0"/>
              <w:rPr>
                <w:sz w:val="18"/>
                <w:szCs w:val="18"/>
                <w:color w:val="auto"/>
              </w:rPr>
            </w:pPr>
          </w:p>
        </w:tc>
        <w:tc>
          <w:tcPr>
            <w:tcW w:w="138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State</w:t>
            </w:r>
          </w:p>
        </w:tc>
        <w:tc>
          <w:tcPr>
            <w:tcW w:w="0" w:type="dxa"/>
            <w:vAlign w:val="bottom"/>
          </w:tcPr>
          <w:p>
            <w:pPr>
              <w:spacing w:after="0"/>
              <w:rPr>
                <w:sz w:val="1"/>
                <w:szCs w:val="1"/>
                <w:color w:val="auto"/>
              </w:rPr>
            </w:pPr>
          </w:p>
        </w:tc>
      </w:tr>
      <w:tr>
        <w:trPr>
          <w:trHeight w:val="145"/>
        </w:trPr>
        <w:tc>
          <w:tcPr>
            <w:tcW w:w="5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0" w:type="dxa"/>
            <w:vAlign w:val="bottom"/>
          </w:tcPr>
          <w:p>
            <w:pPr>
              <w:spacing w:after="0"/>
              <w:rPr>
                <w:sz w:val="1"/>
                <w:szCs w:val="1"/>
                <w:color w:val="auto"/>
              </w:rPr>
            </w:pPr>
          </w:p>
        </w:tc>
      </w:tr>
      <w:tr>
        <w:trPr>
          <w:trHeight w:val="23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2021 - 2029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49,392,824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44,153,819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461,280</w:t>
            </w:r>
          </w:p>
        </w:tc>
        <w:tc>
          <w:tcPr>
            <w:tcW w:w="0" w:type="dxa"/>
            <w:vAlign w:val="bottom"/>
          </w:tcPr>
          <w:p>
            <w:pPr>
              <w:spacing w:after="0"/>
              <w:rPr>
                <w:sz w:val="1"/>
                <w:szCs w:val="1"/>
                <w:color w:val="auto"/>
              </w:rPr>
            </w:pPr>
          </w:p>
        </w:tc>
      </w:tr>
      <w:tr>
        <w:trPr>
          <w:trHeight w:val="23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2031 - 2039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7,534,351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9,947,070</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gridSpan w:val="2"/>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Indefinite Period</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5,493,258</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383,869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 federal and state net operating loss carryforwards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57,181,428</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60,198,158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benefit includes the following components for the years ended December 31:</w:t>
      </w:r>
    </w:p>
    <w:p>
      <w:pPr>
        <w:spacing w:after="0" w:line="187"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and other</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(16,636)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(59,243)</w:t>
            </w:r>
          </w:p>
        </w:tc>
      </w:tr>
      <w:tr>
        <w:trPr>
          <w:trHeight w:val="22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144,724</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(16,636)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(59,243)</w:t>
            </w:r>
          </w:p>
        </w:tc>
      </w:tr>
      <w:tr>
        <w:trPr>
          <w:trHeight w:val="250"/>
        </w:trPr>
        <w:tc>
          <w:tcPr>
            <w:tcW w:w="4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(3,682,772)</w:t>
            </w:r>
          </w:p>
        </w:tc>
      </w:tr>
      <w:tr>
        <w:trPr>
          <w:trHeight w:val="229"/>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(432,874)</w:t>
            </w:r>
          </w:p>
        </w:tc>
      </w:tr>
      <w:tr>
        <w:trPr>
          <w:trHeight w:val="223"/>
        </w:trPr>
        <w:tc>
          <w:tcPr>
            <w:tcW w:w="4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0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1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(4,115,646)</w:t>
            </w:r>
          </w:p>
        </w:tc>
      </w:tr>
      <w:tr>
        <w:trPr>
          <w:trHeight w:val="248"/>
        </w:trPr>
        <w:tc>
          <w:tcPr>
            <w:tcW w:w="4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(16,636)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(4,174,889)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effective income tax rate for 2019, 2018 and 2017 reconciles with the federal statutory tax rate as follows: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15"/>
        </w:trPr>
        <w:tc>
          <w:tcPr>
            <w:tcW w:w="5160" w:type="dxa"/>
            <w:vAlign w:val="bottom"/>
            <w:gridSpan w:val="2"/>
          </w:tcPr>
          <w:p>
            <w:pPr>
              <w:ind w:left="47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145"/>
        </w:trPr>
        <w:tc>
          <w:tcPr>
            <w:tcW w:w="39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expense at statutory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176"/>
        </w:trPr>
        <w:tc>
          <w:tcPr>
            <w:tcW w:w="5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State income tax expense (net of federal income tax</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w:t>
            </w: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Permanent differences associated with general</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credits</w:t>
            </w: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tax rate</w:t>
            </w:r>
          </w:p>
        </w:tc>
        <w:tc>
          <w:tcPr>
            <w:tcW w:w="2000" w:type="dxa"/>
            <w:vAlign w:val="bottom"/>
            <w:gridSpan w:val="3"/>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3"/>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tax expense</w:t>
            </w: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the Company determined that it was not more likely than not that its net deferred tax assets would be realized. As such, the Company’s income tax provision for the year ended December 31, 2017 reflected a full valuation allowance against net deferred tax assets with the exception of the deferred tax asset for alternative minimum tax (“AMT”) credit carryforwards discussed further below. The Company’s position is unchanged as of both December 31, 2018 and December 31, 2019.</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to 21%; (2) eliminating the corporate alternative minimum tax (“AMT”) and changing how AMT credits can be realized; (3) capital expensing; and (4) creating new limitations on deductible interest expense and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analysis of the impact of the Tax Act, we recorded a net tax benefit of $0.1 million in the period ended December 31, 2017. This net tax benefit consisted entirely of the release of the valuation allowance against AMT credits that will be realizable under the Tax Act in future periods.</w:t>
      </w:r>
    </w:p>
    <w:p>
      <w:pPr>
        <w:spacing w:after="0" w:line="95"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it will continue to pay minimal taxes in future periods through the continued utilization of net operating loss carryforwards, as it is able to achieve taxable income through its operations.</w:t>
      </w:r>
    </w:p>
    <w:p>
      <w:pPr>
        <w:spacing w:after="0" w:line="94"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The Company is no longer subject to U.S. federal tax examinations for tax years before 2016, and with few exceptions, the Company is not subject to examination by state tax authorities for tax years which ended before 2016. Loss carryforwards and credit carryforwards generated or utilized in years earlier than 2016 remain subject to examination and adjustment. During 2012, the 2009 federal tax return was examined by the Internal Revenue Service with no significant findings or adjustments. The Company has no unrecognized tax benefits in 2019, 2018 and 2017.</w:t>
      </w:r>
    </w:p>
    <w:p>
      <w:pPr>
        <w:spacing w:after="0" w:line="10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tab/>
        <w:t>Stock-Based Compensation Plans</w:t>
      </w:r>
    </w:p>
    <w:p>
      <w:pPr>
        <w:spacing w:after="0" w:line="148" w:lineRule="exact"/>
        <w:rPr>
          <w:sz w:val="20"/>
          <w:szCs w:val="20"/>
          <w:color w:val="auto"/>
        </w:rPr>
      </w:pPr>
    </w:p>
    <w:p>
      <w:pPr>
        <w:jc w:val="both"/>
        <w:ind w:left="80" w:firstLine="324"/>
        <w:spacing w:after="0" w:line="256" w:lineRule="auto"/>
        <w:rPr>
          <w:sz w:val="20"/>
          <w:szCs w:val="20"/>
          <w:color w:val="auto"/>
        </w:rPr>
      </w:pPr>
      <w:r>
        <w:rPr>
          <w:rFonts w:ascii="Times New Roman" w:cs="Times New Roman" w:eastAsia="Times New Roman" w:hAnsi="Times New Roman"/>
          <w:sz w:val="18"/>
          <w:szCs w:val="18"/>
          <w:color w:val="auto"/>
        </w:rPr>
        <w:t>The Company has grants outstanding under three equity compensation plans, with two of the plans available for future grants of equity compensation awards to employees, consultants and directors. All of the equity plans were approved by shareholders. The 2007 Long-Term Incentive Compensation Plan (the "2007 Plan") and the 2007 Directors’ Incentive Plan (the "Directors’ Plan") superseded the 1999 Stock Option Plan. The 2007 Plan and the Directors’ Plan provide for the issuance of stock options, stock appreciation rights and restricted stock. Vesting is determined on a grant-by-grant basis in accordance with the terms of the plans and the related grant agreements. The Company has reserved 2.4 million shares of common stock for issuance under the 2007 Plan and 250,000 shares for issuance under the Directors’ Plan.</w:t>
      </w:r>
    </w:p>
    <w:p>
      <w:pPr>
        <w:spacing w:after="0" w:line="120"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stock options is generally 100% of the fair market value of the underlying common stock on the grant date. The maximum contractual term of stock options is ten years from the date of grant, except for incentive stock options granted to 10% shareholders, which is five years.</w:t>
      </w:r>
    </w:p>
    <w:p>
      <w:pPr>
        <w:spacing w:after="0" w:line="94"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During 2011, the Company began issuing shares of restricted stock with no exercise price to employees and directors. Restricted stock issued to employees generally cliff-vests on the fourth anniversary of the date of grant. Restricted stock issued to directors vests on the one year anniversary of the date of grant.</w:t>
      </w:r>
    </w:p>
    <w:p>
      <w:pPr>
        <w:spacing w:after="0" w:line="95" w:lineRule="exact"/>
        <w:rPr>
          <w:sz w:val="20"/>
          <w:szCs w:val="20"/>
          <w:color w:val="auto"/>
        </w:rPr>
      </w:pPr>
    </w:p>
    <w:p>
      <w:pPr>
        <w:jc w:val="both"/>
        <w:ind w:left="80" w:right="20" w:firstLine="324"/>
        <w:spacing w:after="0" w:line="282" w:lineRule="auto"/>
        <w:rPr>
          <w:sz w:val="20"/>
          <w:szCs w:val="20"/>
          <w:color w:val="auto"/>
        </w:rPr>
      </w:pPr>
      <w:r>
        <w:rPr>
          <w:rFonts w:ascii="Times New Roman" w:cs="Times New Roman" w:eastAsia="Times New Roman" w:hAnsi="Times New Roman"/>
          <w:sz w:val="18"/>
          <w:szCs w:val="18"/>
          <w:color w:val="auto"/>
        </w:rPr>
        <w:t>Stock compensation expense is presented as a component of general and administrative expense in the consolidated statements of operations. Stock compensation expense consisted of the following for the years ended December 31:</w:t>
      </w:r>
    </w:p>
    <w:p>
      <w:pPr>
        <w:spacing w:after="0" w:line="137"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145"/>
        </w:trPr>
        <w:tc>
          <w:tcPr>
            <w:tcW w:w="4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employees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1,244,606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1,032,094</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nonemployees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82,969</w:t>
            </w: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foundation contribution</w:t>
            </w:r>
          </w:p>
        </w:tc>
        <w:tc>
          <w:tcPr>
            <w:tcW w:w="4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372,500</w:t>
            </w:r>
          </w:p>
        </w:tc>
      </w:tr>
      <w:tr>
        <w:trPr>
          <w:trHeight w:val="22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1,485,898</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1,364,698</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1,487,563</w:t>
            </w:r>
          </w:p>
        </w:tc>
      </w:tr>
      <w:tr>
        <w:trPr>
          <w:trHeight w:val="20"/>
        </w:trPr>
        <w:tc>
          <w:tcPr>
            <w:tcW w:w="4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At December 31, 2019, there was approximately $2.1 million of unrecognized compensation cost related to share-based payments, which is expected to be recognized over a weighted-average period of 2.5 years. This amount relates primarily to unrecognized compensation cost for employee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Stock option activity for 2019 and 2018 was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5"/>
                <w:szCs w:val="15"/>
                <w:color w:val="auto"/>
              </w:rPr>
            </w:pPr>
          </w:p>
        </w:tc>
        <w:tc>
          <w:tcPr>
            <w:tcW w:w="12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gridSpan w:val="3"/>
            <w:vMerge w:val="continue"/>
          </w:tcPr>
          <w:p>
            <w:pPr>
              <w:spacing w:after="0"/>
              <w:rPr>
                <w:sz w:val="15"/>
                <w:szCs w:val="15"/>
                <w:color w:val="auto"/>
              </w:rPr>
            </w:pPr>
          </w:p>
        </w:tc>
        <w:tc>
          <w:tcPr>
            <w:tcW w:w="16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remaining</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w:t>
            </w:r>
          </w:p>
        </w:tc>
        <w:tc>
          <w:tcPr>
            <w:tcW w:w="220" w:type="dxa"/>
            <w:vAlign w:val="bottom"/>
          </w:tcPr>
          <w:p>
            <w:pPr>
              <w:spacing w:after="0"/>
              <w:rPr>
                <w:sz w:val="15"/>
                <w:szCs w:val="15"/>
                <w:color w:val="auto"/>
              </w:rPr>
            </w:pPr>
          </w:p>
        </w:tc>
        <w:tc>
          <w:tcPr>
            <w:tcW w:w="12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34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2017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2019</w:t>
            </w:r>
          </w:p>
        </w:tc>
        <w:tc>
          <w:tcPr>
            <w:tcW w:w="17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Borders>
              <w:top w:val="single" w:sz="8" w:color="CCEEFF"/>
            </w:tcBorders>
            <w:vMerge w:val="continue"/>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grant any stock options and there were no options exercised during 2019, 2018 and 2017. Information related to the stock option plans during 2019, 2018 and 2017 was as follows: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Weighted-average fair value of</w:t>
            </w:r>
          </w:p>
        </w:tc>
        <w:tc>
          <w:tcPr>
            <w:tcW w:w="960" w:type="dxa"/>
            <w:vAlign w:val="bottom"/>
            <w:vMerge w:val="restart"/>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5"/>
                <w:szCs w:val="15"/>
                <w:color w:val="auto"/>
              </w:rPr>
            </w:pPr>
          </w:p>
        </w:tc>
        <w:tc>
          <w:tcPr>
            <w:tcW w:w="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9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activity was as follows: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3"/>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4"/>
                <w:szCs w:val="14"/>
                <w:color w:val="auto"/>
              </w:rPr>
            </w:pPr>
          </w:p>
        </w:tc>
        <w:tc>
          <w:tcPr>
            <w:tcW w:w="1040" w:type="dxa"/>
            <w:vAlign w:val="bottom"/>
            <w:gridSpan w:val="3"/>
          </w:tcPr>
          <w:p>
            <w:pPr>
              <w:jc w:val="center"/>
              <w:ind w:left="56"/>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center"/>
              <w:ind w:left="56"/>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20" w:type="dxa"/>
            <w:vAlign w:val="bottom"/>
          </w:tcPr>
          <w:p>
            <w:pPr>
              <w:spacing w:after="0"/>
              <w:rPr>
                <w:sz w:val="18"/>
                <w:szCs w:val="18"/>
                <w:color w:val="auto"/>
              </w:rPr>
            </w:pPr>
          </w:p>
        </w:tc>
        <w:tc>
          <w:tcPr>
            <w:tcW w:w="1040" w:type="dxa"/>
            <w:vAlign w:val="bottom"/>
            <w:gridSpan w:val="3"/>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December 31, 2017</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767,845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granted</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261,680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vested</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Shares forfeited</w:t>
            </w: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December 31, 2018</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833,741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granted</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vested</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Shares forfeited</w:t>
            </w:r>
          </w:p>
        </w:tc>
        <w:tc>
          <w:tcPr>
            <w:tcW w:w="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December 31, 2019</w:t>
            </w:r>
          </w:p>
        </w:tc>
        <w:tc>
          <w:tcPr>
            <w:tcW w:w="9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814,949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3" w:name="page54"/>
    <w:bookmarkEnd w:id="5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restricted stock granted was based on the closing market price of the Company’s common stock on the date of grant. The restricted stock grants are included in the diluted weighted shares outstanding computation until they cliff-vest. Once vested they are included in the basic weighted shares outstanding computation.</w:t>
      </w:r>
    </w:p>
    <w:p>
      <w:pPr>
        <w:spacing w:after="0" w:line="9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62"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2019, 2018 and 2017, the Company contributed approximately $50,000 in each year to the Plan as an employer match of participant contributions.</w:t>
      </w:r>
    </w:p>
    <w:p>
      <w:pPr>
        <w:spacing w:after="0" w:line="116"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color w:val="auto"/>
        </w:rPr>
        <w:t>In 2012 and 2013, the Company established non-qualified unfunded deferred compensation plans that allow participants to defer receipt of a portion of their compensation. The liability under the plans, reflected in other long term liabilities in the consolidated balance sheet, was $2.3 million and $1.6 million as of December 31, 2019 and 2018, respectively. The Company had assets consisting of company-owned life insurance contracts generally designated to pay benefits of the deferred compensation plans reflected in other assets in the consolidated balance sheet of $3.1 million and $2.3 million as of December 31, 2019 and 2018, respectively.</w:t>
      </w:r>
    </w:p>
    <w:p>
      <w:pPr>
        <w:spacing w:after="0" w:line="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tab/>
        <w:t>Leases</w:t>
      </w:r>
    </w:p>
    <w:p>
      <w:pPr>
        <w:spacing w:after="0" w:line="162"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The Company is obligated under long-term real estate leases for corporate office space that was extended during the third quarter of 2015. Prior to this extension, the lease would have expired in October 2016, the lease is now set to expire in October 2022. In addition, the research lab space at CET, under an agreement amended in July 2012, is leased through April 2023, with an option to extend the lease through April 2028. The Company also subleases a portion of the space under these leases.</w:t>
      </w:r>
    </w:p>
    <w:p>
      <w:pPr>
        <w:spacing w:after="0" w:line="112" w:lineRule="exact"/>
        <w:rPr>
          <w:sz w:val="20"/>
          <w:szCs w:val="20"/>
          <w:color w:val="auto"/>
        </w:rPr>
      </w:pPr>
    </w:p>
    <w:p>
      <w:pPr>
        <w:jc w:val="both"/>
        <w:ind w:left="80" w:right="20" w:firstLine="324"/>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as follows for the years ended December 31:</w:t>
      </w:r>
    </w:p>
    <w:p>
      <w:pPr>
        <w:spacing w:after="0" w:line="117"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142"/>
        </w:trPr>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1,246,143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1,136,610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1,074,437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688,020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662,358</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573,494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2016-02. ASU 2016-02’s core principle is to increase transparency and comparability among organizations by recognizing lease assets and liabilities on the balance sheet and disclosing key information. The Company adopted ASU 2016-02 under the alternative transition method (the effective date approach). It allowed the Company to initially apply the new lease guidance at the adoption date (rather than at the beginning of the earliest period presented). Prior periods have not been adjusted.</w:t>
      </w:r>
    </w:p>
    <w:p>
      <w:pPr>
        <w:spacing w:after="0" w:line="99"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The primary effect of adopting ASU 2016-02 to the Company was to record right-of-use assets and obligations for the leases currently classified as operating leases. The Company’s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Cumberland Emerging Technologies (“CET”),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majority-owned subsidiary, where it operates the CET Life Sciences Center. This lease currently expires in April 2023. The Company did not have any leases classified as finance leases at January 1, 2019 or December 31, 2019. The new lease accounting standard did not have a significant impact on the Company's Condensed Consolidated Statements of Operations and Comprehensive Income (Loss) for any period presented.</w:t>
      </w:r>
    </w:p>
    <w:p>
      <w:pPr>
        <w:spacing w:after="0" w:line="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elected the package of practical expedients offered in the transition guidance which allows management not to reassess lease identification, lease classification and initial direct costs at the adoption date.</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operating leases resulted in initial ROU assets of $3.6 million and lease liabilities of $3.8 million as of January 1, 2019 for non-cancelable operating leases with original lease terms in excess of one year.</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remaining lease term is 3.4 years and the weighted-average incremental borrowing rate used to discount the present value of the remaining lease payments is 7.42%.</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Lease Position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2019, the Company recorded the following on the Condensed Consolidated Balance Sheet:</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7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80" w:type="dxa"/>
            <w:vAlign w:val="bottom"/>
          </w:tcPr>
          <w:p>
            <w:pPr>
              <w:spacing w:after="0"/>
              <w:rPr>
                <w:sz w:val="20"/>
                <w:szCs w:val="20"/>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2,960,569</w:t>
            </w:r>
          </w:p>
        </w:tc>
      </w:tr>
      <w:tr>
        <w:trPr>
          <w:trHeight w:val="22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2,960,569</w:t>
            </w:r>
          </w:p>
        </w:tc>
      </w:tr>
      <w:tr>
        <w:trPr>
          <w:trHeight w:val="20"/>
        </w:trPr>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776"/>
        </w:trPr>
        <w:tc>
          <w:tcPr>
            <w:tcW w:w="37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8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r>
      <w:tr>
        <w:trPr>
          <w:trHeight w:val="230"/>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920,431</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3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2,076,472</w:t>
            </w:r>
          </w:p>
        </w:tc>
      </w:tr>
      <w:tr>
        <w:trPr>
          <w:trHeight w:val="248"/>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2,996,903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Cumulative future minimum sublease income under non-cancelable operating subleases totals approximately $0.7 million and will be paid through the leases ending in October 2022 and April 2023. Future minimum lease payments under non-cancelable operating leases (with initial or remaining lease terms in excess of one year) are as follows:</w:t>
      </w:r>
    </w:p>
    <w:p>
      <w:pPr>
        <w:spacing w:after="0" w:line="135" w:lineRule="exact"/>
        <w:rPr>
          <w:sz w:val="20"/>
          <w:szCs w:val="20"/>
          <w:color w:val="auto"/>
        </w:rPr>
      </w:pPr>
    </w:p>
    <w:tbl>
      <w:tblPr>
        <w:tblLayout w:type="fixed"/>
        <w:tblInd w:w="2280" w:type="dxa"/>
        <w:tblCellMar>
          <w:top w:w="0" w:type="dxa"/>
          <w:left w:w="0" w:type="dxa"/>
          <w:bottom w:w="0" w:type="dxa"/>
          <w:right w:w="0" w:type="dxa"/>
        </w:tblCellMar>
      </w:tblP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2019:</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1,120,066</w:t>
            </w:r>
          </w:p>
        </w:tc>
      </w:tr>
      <w:tr>
        <w:trPr>
          <w:trHeight w:val="230"/>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1,144,889</w:t>
            </w:r>
          </w:p>
        </w:tc>
      </w:tr>
      <w:tr>
        <w:trPr>
          <w:trHeight w:val="22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1,019,313</w:t>
            </w:r>
          </w:p>
        </w:tc>
      </w:tr>
      <w:tr>
        <w:trPr>
          <w:trHeight w:val="229"/>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92,478</w:t>
            </w:r>
          </w:p>
        </w:tc>
      </w:tr>
      <w:tr>
        <w:trPr>
          <w:trHeight w:val="230"/>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After 2023</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3,376,746</w:t>
            </w:r>
          </w:p>
        </w:tc>
      </w:tr>
      <w:tr>
        <w:trPr>
          <w:trHeight w:val="230"/>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Interest</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(379,843)</w:t>
            </w:r>
          </w:p>
        </w:tc>
      </w:tr>
      <w:tr>
        <w:trPr>
          <w:trHeight w:val="248"/>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2,996,903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future minimum lease commitments, under Topic 840, predecessor to Topic 842, are as follows:</w:t>
      </w:r>
    </w:p>
    <w:p>
      <w:pPr>
        <w:spacing w:after="0" w:line="198"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5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As of December 31, 2018:</w:t>
            </w: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959,902</w:t>
            </w:r>
          </w:p>
        </w:tc>
      </w:tr>
      <w:tr>
        <w:trPr>
          <w:trHeight w:val="229"/>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980,720</w:t>
            </w:r>
          </w:p>
        </w:tc>
      </w:tr>
      <w:tr>
        <w:trPr>
          <w:trHeight w:val="23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1,001,603</w:t>
            </w:r>
          </w:p>
        </w:tc>
      </w:tr>
      <w:tr>
        <w:trPr>
          <w:trHeight w:val="230"/>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871,969</w:t>
            </w:r>
          </w:p>
        </w:tc>
      </w:tr>
      <w:tr>
        <w:trPr>
          <w:trHeight w:val="229"/>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44,508</w:t>
            </w:r>
          </w:p>
        </w:tc>
      </w:tr>
      <w:tr>
        <w:trPr>
          <w:trHeight w:val="230"/>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After 2023</w:t>
            </w: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62"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The Company owns marketable securities that are solely classified as trading securities as of December 31, 2019. All of these securities had a maturity date of less than ninety days and classified as cash and cash equivalents at December 31, 2019. There were no transfers of assets between levels within the fair value hierarchy. The following table summarizes the fair value of these marketable securities by level within the fair value hierarchy:</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5,034,955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5,034,955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loan pools - variable rate</w:t>
            </w:r>
          </w:p>
        </w:tc>
        <w:tc>
          <w:tcPr>
            <w:tcW w:w="94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2,504,551</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cash investments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751,173</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2,119,607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2,119,607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fair value of marketable</w:t>
            </w:r>
          </w:p>
        </w:tc>
        <w:tc>
          <w:tcPr>
            <w:tcW w:w="940" w:type="dxa"/>
            <w:vAlign w:val="bottom"/>
            <w:vMerge w:val="restart"/>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2,119,607</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2,119,607</w:t>
            </w:r>
          </w:p>
        </w:tc>
        <w:tc>
          <w:tcPr>
            <w:tcW w:w="14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5,034,955</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3,255,724</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8,290,679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securities</w:t>
            </w:r>
          </w:p>
        </w:tc>
        <w:tc>
          <w:tcPr>
            <w:tcW w:w="9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all other financial instruments outstanding as of December 31, 2019 and 2018 approximate their carrying values. There were no changes to the valuation techniques for the Level 2 marketable securities during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56" w:name="page57"/>
    <w:bookmarkEnd w:id="5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tab/>
        <w:t>Market Concentrations</w:t>
      </w:r>
    </w:p>
    <w:p>
      <w:pPr>
        <w:spacing w:after="0" w:line="148"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The Company is focused on the acquisition, development and commercialization of branded prescription products. 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spacing w:after="0" w:line="112" w:lineRule="exact"/>
        <w:rPr>
          <w:sz w:val="20"/>
          <w:szCs w:val="20"/>
          <w:color w:val="auto"/>
        </w:rPr>
      </w:pPr>
    </w:p>
    <w:p>
      <w:pPr>
        <w:ind w:left="8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customers are wholesale pharmaceutical distributors in the U.S. Total revenues by customer for each customer representing 10% or more of consolidated revenues are summarized below for the years ended December 31:</w:t>
      </w:r>
    </w:p>
    <w:p>
      <w:pPr>
        <w:spacing w:after="0" w:line="137"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17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145"/>
        </w:trPr>
        <w:tc>
          <w:tcPr>
            <w:tcW w:w="3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1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Customer 2</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1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less than 10% of total</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353"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net of allowances, due from the customers representing 10% or more of consolidated revenue was 59% and 72% at December 31, 2019 and 2018, respectively.</w:t>
      </w:r>
    </w:p>
    <w:p>
      <w:pPr>
        <w:spacing w:after="0" w:line="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(18)</w:t>
        <w:tab/>
        <w:t>Manufacturing and Supply Agreements</w:t>
      </w:r>
    </w:p>
    <w:p>
      <w:pPr>
        <w:spacing w:after="0" w:line="162"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pacing w:after="0" w:line="9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(19)</w:t>
        <w:tab/>
        <w:t>Employment Agreements</w:t>
      </w:r>
    </w:p>
    <w:p>
      <w:pPr>
        <w:spacing w:after="0" w:line="162" w:lineRule="exact"/>
        <w:rPr>
          <w:sz w:val="20"/>
          <w:szCs w:val="20"/>
          <w:color w:val="auto"/>
        </w:rPr>
      </w:pPr>
    </w:p>
    <w:p>
      <w:pPr>
        <w:jc w:val="both"/>
        <w:ind w:left="8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all its full-time employees. Each employment agreement provides for a salary for services performed, a potential annual bonus and, if applicable, a grant of restricted common shares pursuant to a restricted stock agreement.</w:t>
      </w:r>
    </w:p>
    <w:p>
      <w:pPr>
        <w:spacing w:after="0" w:line="185"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(20)</w:t>
        <w:tab/>
        <w:t>Discontinued Operations</w:t>
      </w:r>
    </w:p>
    <w:p>
      <w:pPr>
        <w:spacing w:after="0" w:line="162"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In 2016, Cumberland entered into an agreement with Clinigen Group Plc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 Ethyol and Totect are collectively referred to herein as the "Products."</w:t>
      </w:r>
    </w:p>
    <w:p>
      <w:pPr>
        <w:spacing w:after="0" w:line="95" w:lineRule="exact"/>
        <w:rPr>
          <w:sz w:val="20"/>
          <w:szCs w:val="20"/>
          <w:color w:val="auto"/>
        </w:rPr>
      </w:pPr>
    </w:p>
    <w:p>
      <w:pPr>
        <w:jc w:val="both"/>
        <w:ind w:left="80" w:firstLine="324"/>
        <w:spacing w:after="0" w:line="255" w:lineRule="auto"/>
        <w:rPr>
          <w:sz w:val="20"/>
          <w:szCs w:val="20"/>
          <w:color w:val="auto"/>
        </w:rPr>
      </w:pPr>
      <w:r>
        <w:rPr>
          <w:rFonts w:ascii="Times New Roman" w:cs="Times New Roman" w:eastAsia="Times New Roman" w:hAnsi="Times New Roman"/>
          <w:sz w:val="18"/>
          <w:szCs w:val="18"/>
          <w:color w:val="auto"/>
        </w:rPr>
        <w:t>Early in 2019, Cumberland announced a strategic review the Company's brands, capabilities, and international partners. This review followed an accelerated business development initiative, which resulted in a series of transactions. Because of that progress, Cumberland felt that it was prudent to take a fresh look at our product portfolio, partners, and organization to ensure proper focus and capabilities. During May 2019, following the strategic review, Cumberland entered into the Dissolution Agreement with Clinigen in which the Company returned the exclusive rights to commercialize Ethyol and Totect (“the Products”) in the United States to Clinigen. This Dissolution Agreement originally targeted a transition from the Company's arrangements with Clinigen effective September 30, 2019, but was then amended to change the transition date to December 31, 2019. Under the terms of the Dissolution Agreement, Cumberland was no longer responsible for the distribution, marketing and promotion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either the Products or any competing products after December 31, 2019. In exchange for the return of these product license rights and the non-compete provisions of the Dissolution Agreement, Cumberland is receiving $5 million in financial consideration paid in quarterly installments over the two-years following the transition date.</w:t>
      </w:r>
    </w:p>
    <w:p>
      <w:pPr>
        <w:spacing w:after="0" w:line="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exit from the Ethyol and Totect Products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Products provided revenue, incurred direct expenses and resulted in discontinued operations income during the periods presented. The following amounts have been separated from continuing operations, as discontinued operations, for all periods presented. The direct expenses separated for discontinued operations do not reflect the direct selling and marketing costs attributable to the individuals at Cumberland responsible for promotion of the Products. Subsequent to the transaction date, those sales and marketing individuals who supported the Products shifted their efforts from the Products and continue to support other Cumberland brands.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145"/>
        </w:trPr>
        <w:tc>
          <w:tcPr>
            <w:tcW w:w="5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13,145,344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11,396,871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14,827,504</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products sold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1,330,704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1,361,273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1,952,575</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Marketing and 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6,149,463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6,253,374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8,076,904</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5,665,177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3,782,224</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4,798,025</w:t>
            </w:r>
          </w:p>
        </w:tc>
      </w:tr>
      <w:tr>
        <w:trPr>
          <w:trHeight w:val="20"/>
        </w:trPr>
        <w:tc>
          <w:tcPr>
            <w:tcW w:w="5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December 31, 2019 current assets associated with discontinued operations included $0.5 million in the remaining inventory for the Products sold and returned to Clinigen as part of the transaction. Except for the Products' inventory as of December 31, 2019, no other operating assets and no liabilities were transferred to Clinigen, as such the accounts receivable and accounts payable associated with discontinued operations were not sold or disposed of as part of the Dissolution Agreement. The following assets and liabilities have been presented as assets associated with discontinued operations or liabilities associated with discontinued operations, as appropriate, in the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78"/>
        </w:trPr>
        <w:tc>
          <w:tcPr>
            <w:tcW w:w="6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1,384,254</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2,294,922</w:t>
            </w:r>
          </w:p>
        </w:tc>
      </w:tr>
      <w:tr>
        <w:trPr>
          <w:trHeight w:val="22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2,462,724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3,706,897</w:t>
            </w:r>
          </w:p>
        </w:tc>
      </w:tr>
      <w:tr>
        <w:trPr>
          <w:trHeight w:val="20"/>
        </w:trPr>
        <w:tc>
          <w:tcPr>
            <w:tcW w:w="6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73"/>
        </w:trPr>
        <w:tc>
          <w:tcPr>
            <w:tcW w:w="6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78"/>
        </w:trPr>
        <w:tc>
          <w:tcPr>
            <w:tcW w:w="6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2,882,656</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666,457</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3,549,113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(21)</w:t>
        <w:tab/>
        <w:t>Commitments and Contingencies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62"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certain Kristalose assets during 2011, the Company was required to make quarterly payments based on a percentage of Kristalose net sales through November 2018. The payments were treated as consideration for the assets acquired and were capitalized. They are being amortized over the remaining expected useful life of the acquired asset, currently through 2026.</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connection with its licensing agreements for Caldolor, the Company is required to pay royalties based on net sales over the life of the product.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Royalty expense is recognized as a component of selling and marketing expense in the period that revenue is recognized.</w:t>
      </w:r>
    </w:p>
    <w:p>
      <w:pPr>
        <w:spacing w:after="0" w:line="126"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its licensing agreements for Ethyol and Totect, the Company was required to pay royalties based on net sales. The royalty expense was recognized as a component of selling and marketing expense in the period the associated revenue was recognized through the end of the licensing period, December 31, 2019.</w:t>
      </w:r>
    </w:p>
    <w:p>
      <w:pPr>
        <w:spacing w:after="0" w:line="108"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48"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color w:val="auto"/>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spacing w:after="0" w:line="112"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Since 2012, Cumberland has to continued to vigorously defend and protect its Acetadote product and related intellectual property rights including the use of all its legal options.</w:t>
      </w:r>
    </w:p>
    <w:p>
      <w:pPr>
        <w:spacing w:after="0" w:line="94"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other legal proceedings in the ordinary course of its business. In the opinion of management, the liability associated with these matters, will not have a material adverse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(22)</w:t>
        <w:tab/>
        <w:t>Quarterly Financial Information (Unaudited)</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unaudited operating results for each fiscal quarter of 2019 and 2018:</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Fourth</w:t>
            </w:r>
          </w:p>
        </w:tc>
        <w:tc>
          <w:tcPr>
            <w:tcW w:w="280" w:type="dxa"/>
            <w:vAlign w:val="bottom"/>
          </w:tcPr>
          <w:p>
            <w:pPr>
              <w:spacing w:after="0"/>
              <w:rPr>
                <w:sz w:val="16"/>
                <w:szCs w:val="16"/>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8,729,860</w:t>
            </w:r>
          </w:p>
        </w:tc>
        <w:tc>
          <w:tcPr>
            <w:tcW w:w="1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9,417,443</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6,935,439</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9,305,553</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34,388,295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(1,373,424)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(3,196,436)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(1,187,553)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(3,316,286)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(3,369,328)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(9,211,688)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1,147,136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2,396,981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5,665,177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(1,953,668)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(3,537,759)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Earnings (loss) per share attributable to common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shareholders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 - 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 - basic</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 - diluted</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5,918,758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7,084,843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5,853,451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10,487,842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29,344,894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(3,315,936)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(1,919,189)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(2,644,614)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(3,293,257)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(3,255,903)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(1,795,661)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(2,501,752)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1,050,211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3,782,224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(2,379,239)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(720,688)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(1,643,044)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(2,220,097)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(6,963,068)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Earnings (loss) per share attributable to common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shareholders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 - 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Discontinued operations - basic</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 - 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Discontinued operations - diluted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820" w:hanging="327"/>
        <w:spacing w:after="0" w:line="280" w:lineRule="auto"/>
        <w:tabs>
          <w:tab w:leader="none" w:pos="85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nature of interim earnings per share calculations, the sum of the quarterly earnings (loss) per share amounts may not equal the reported earnings (loss) per share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(23)</w:t>
        <w:tab/>
        <w:t>Subsequent events</w:t>
      </w:r>
    </w:p>
    <w:p>
      <w:pPr>
        <w:spacing w:after="0" w:line="135"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(“COVID-19”) as a global pandemic, which continues to spread throughout the United States and around the world. As of March 20, 2020, the Company is aware of changes in its business as a result of COVID-19 but uncertain of the impacts of those changes on its consolidated statements of position, operations or cash flows. Management believes any disruption, when and if experienced, could be temporary; however, there is uncertainty around when any disruption might occur, the duration and hence the potential impact. As a result, we are unable to estimate the potential impact on our business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61" w:name="page62"/>
    <w:bookmarkEnd w:id="61"/>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285"/>
        </w:trPr>
        <w:tc>
          <w:tcPr>
            <w:tcW w:w="2880" w:type="dxa"/>
            <w:vAlign w:val="bottom"/>
          </w:tcPr>
          <w:p>
            <w:pPr>
              <w:spacing w:after="0"/>
              <w:rPr>
                <w:sz w:val="24"/>
                <w:szCs w:val="24"/>
                <w:color w:val="auto"/>
              </w:rPr>
            </w:pPr>
          </w:p>
        </w:tc>
        <w:tc>
          <w:tcPr>
            <w:tcW w:w="6400" w:type="dxa"/>
            <w:vAlign w:val="bottom"/>
            <w:gridSpan w:val="13"/>
          </w:tcPr>
          <w:p>
            <w:pPr>
              <w:jc w:val="center"/>
              <w:ind w:right="811"/>
              <w:spacing w:after="0"/>
              <w:rPr>
                <w:sz w:val="20"/>
                <w:szCs w:val="20"/>
                <w:color w:val="auto"/>
              </w:rPr>
            </w:pPr>
            <w:r>
              <w:rPr>
                <w:rFonts w:ascii="Times New Roman" w:cs="Times New Roman" w:eastAsia="Times New Roman" w:hAnsi="Times New Roman"/>
                <w:sz w:val="18"/>
                <w:szCs w:val="18"/>
                <w:b w:val="1"/>
                <w:bCs w:val="1"/>
                <w:color w:val="auto"/>
                <w:w w:val="99"/>
              </w:rPr>
              <w:t>CUMBERLAND PHARMACEUTICALS INC. AND SUBSIDIARIES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00" w:type="dxa"/>
            <w:vAlign w:val="bottom"/>
            <w:gridSpan w:val="8"/>
          </w:tcPr>
          <w:p>
            <w:pPr>
              <w:jc w:val="center"/>
              <w:ind w:right="920"/>
              <w:spacing w:after="0"/>
              <w:rPr>
                <w:sz w:val="20"/>
                <w:szCs w:val="20"/>
                <w:color w:val="auto"/>
              </w:rPr>
            </w:pPr>
            <w:r>
              <w:rPr>
                <w:rFonts w:ascii="Times New Roman" w:cs="Times New Roman" w:eastAsia="Times New Roman" w:hAnsi="Times New Roman"/>
                <w:sz w:val="18"/>
                <w:szCs w:val="18"/>
                <w:color w:val="auto"/>
                <w:w w:val="99"/>
              </w:rPr>
              <w:t>Valuation and Qualifying Accounts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jc w:val="center"/>
              <w:ind w:left="133"/>
              <w:spacing w:after="0"/>
              <w:rPr>
                <w:sz w:val="20"/>
                <w:szCs w:val="20"/>
                <w:color w:val="auto"/>
              </w:rPr>
            </w:pPr>
            <w:r>
              <w:rPr>
                <w:rFonts w:ascii="Times New Roman" w:cs="Times New Roman" w:eastAsia="Times New Roman" w:hAnsi="Times New Roman"/>
                <w:sz w:val="18"/>
                <w:szCs w:val="18"/>
                <w:color w:val="auto"/>
                <w:w w:val="99"/>
              </w:rPr>
              <w:t>Years ended December 31, 2019, 2018 and 2017</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288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122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44"/>
        </w:trPr>
        <w:tc>
          <w:tcPr>
            <w:tcW w:w="2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Allowance for uncollectible amounts,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discounts, chargebacks, and</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credits issued for damaged products: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 the years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jc w:val="right"/>
              <w:ind w:right="1971"/>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446,514</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3,371,446</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(3,491,263)</w:t>
            </w: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326,697</w:t>
            </w:r>
          </w:p>
        </w:tc>
        <w:tc>
          <w:tcPr>
            <w:tcW w:w="0" w:type="dxa"/>
            <w:vAlign w:val="bottom"/>
          </w:tcPr>
          <w:p>
            <w:pPr>
              <w:spacing w:after="0"/>
              <w:rPr>
                <w:sz w:val="1"/>
                <w:szCs w:val="1"/>
                <w:color w:val="auto"/>
              </w:rPr>
            </w:pPr>
          </w:p>
        </w:tc>
      </w:tr>
      <w:tr>
        <w:trPr>
          <w:trHeight w:val="230"/>
        </w:trPr>
        <w:tc>
          <w:tcPr>
            <w:tcW w:w="2880" w:type="dxa"/>
            <w:vAlign w:val="bottom"/>
          </w:tcPr>
          <w:p>
            <w:pPr>
              <w:jc w:val="right"/>
              <w:ind w:right="1971"/>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4,610,899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(4,133,176)</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804,420</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jc w:val="right"/>
              <w:ind w:right="1971"/>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804,420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5,915,066</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(5,927,435)</w:t>
            </w: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792,051</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Valuation allowance for deferred tax</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 the years ended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jc w:val="right"/>
              <w:ind w:right="1971"/>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388,500</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(665,039)</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15,908,774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15,632,235</w:t>
            </w:r>
          </w:p>
        </w:tc>
        <w:tc>
          <w:tcPr>
            <w:tcW w:w="0" w:type="dxa"/>
            <w:vAlign w:val="bottom"/>
          </w:tcPr>
          <w:p>
            <w:pPr>
              <w:spacing w:after="0"/>
              <w:rPr>
                <w:sz w:val="1"/>
                <w:szCs w:val="1"/>
                <w:color w:val="auto"/>
              </w:rPr>
            </w:pPr>
          </w:p>
        </w:tc>
      </w:tr>
      <w:tr>
        <w:trPr>
          <w:trHeight w:val="230"/>
        </w:trPr>
        <w:tc>
          <w:tcPr>
            <w:tcW w:w="2880" w:type="dxa"/>
            <w:vAlign w:val="bottom"/>
          </w:tcPr>
          <w:p>
            <w:pPr>
              <w:jc w:val="right"/>
              <w:ind w:right="1971"/>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15,632,235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1,749,817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17,382,052</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jc w:val="right"/>
              <w:ind w:right="1971"/>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17,382,052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1,129,109</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Composed of actual returns and credits for chargebacks and cash discounts.</w:t>
      </w:r>
    </w:p>
    <w:p>
      <w:pPr>
        <w:spacing w:after="0" w:line="153" w:lineRule="exact"/>
        <w:rPr>
          <w:rFonts w:ascii="Times New Roman" w:cs="Times New Roman" w:eastAsia="Times New Roman" w:hAnsi="Times New Roman"/>
          <w:sz w:val="16"/>
          <w:szCs w:val="16"/>
          <w:color w:val="auto"/>
        </w:rPr>
      </w:pPr>
    </w:p>
    <w:p>
      <w:pPr>
        <w:ind w:right="160" w:firstLine="8"/>
        <w:spacing w:after="0" w:line="280" w:lineRule="auto"/>
        <w:tabs>
          <w:tab w:leader="none" w:pos="22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$4,202,854 related to increase in the valuation allowance during the year, net of $4,867,893 related to the revaluation of deferred income tax balances for new rates under the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decimal"/>
      <w:start w:val="4"/>
    </w:lvl>
  </w:abstractNum>
  <w:abstractNum w:abstractNumId="12">
    <w:nsid w:val="25E45D32"/>
    <w:multiLevelType w:val="hybridMultilevel"/>
    <w:lvl w:ilvl="0">
      <w:lvlJc w:val="left"/>
      <w:lvlText w:val="(%1)"/>
      <w:numFmt w:val="decimal"/>
      <w:start w:val="6"/>
    </w:lvl>
  </w:abstractNum>
  <w:abstractNum w:abstractNumId="13">
    <w:nsid w:val="519B500D"/>
    <w:multiLevelType w:val="hybridMultilevel"/>
    <w:lvl w:ilvl="0">
      <w:lvlJc w:val="left"/>
      <w:lvlText w:val="(%1)"/>
      <w:numFmt w:val="decimal"/>
      <w:start w:val="9"/>
    </w:lvl>
  </w:abstractNum>
  <w:abstractNum w:abstractNumId="14">
    <w:nsid w:val="431BD7B7"/>
    <w:multiLevelType w:val="hybridMultilevel"/>
    <w:lvl w:ilvl="0">
      <w:lvlJc w:val="left"/>
      <w:lvlText w:val="(%1)"/>
      <w:numFmt w:val="decimal"/>
      <w:start w:val="10"/>
    </w:lvl>
    <w:lvl w:ilvl="1">
      <w:lvlJc w:val="left"/>
      <w:lvlText w:val="(%2)"/>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7"/>
    </w:lvl>
  </w:abstractNum>
  <w:abstractNum w:abstractNumId="17">
    <w:nsid w:val="257130A3"/>
    <w:multiLevelType w:val="hybridMultilevel"/>
    <w:lvl w:ilvl="0">
      <w:lvlJc w:val="left"/>
      <w:lvlText w:val="(%1)"/>
      <w:numFmt w:val="lowerLetter"/>
      <w:start w:val="8"/>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2020-12-10T16:22:40Z</dcterms:created>
  <dcterms:modified xsi:type="dcterms:W3CDTF">2020-12-10T16:22:40Z</dcterms:modified>
</cp:coreProperties>
</file>