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pPr>
      <w:r>
        <w:rPr>
          <w:rFonts w:ascii="Times New Roman;serif" w:hAnsi="Times New Roman;serif"/>
          <w:b/>
          <w:color w:val="000000"/>
          <w:sz w:val="20"/>
        </w:rPr>
        <w:t>Commission file number: 001-33637</w:t>
      </w:r>
      <w:r>
        <w:rPr>
          <w:color w:val="000000"/>
        </w:rPr>
        <w:t> </w:t>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 xml:space="preserve">Cumberland Pharmaceuticals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901" w:type="dxa"/>
        <w:jc w:val="center"/>
        <w:tblInd w:w="0" w:type="dxa"/>
        <w:tblLayout w:type="fixed"/>
        <w:tblCellMar>
          <w:top w:w="28" w:type="dxa"/>
          <w:left w:w="28" w:type="dxa"/>
          <w:bottom w:w="28" w:type="dxa"/>
          <w:right w:w="28" w:type="dxa"/>
        </w:tblCellMar>
      </w:tblPr>
      <w:tblGrid>
        <w:gridCol w:w="1116"/>
        <w:gridCol w:w="983"/>
        <w:gridCol w:w="991"/>
        <w:gridCol w:w="109"/>
        <w:gridCol w:w="109"/>
        <w:gridCol w:w="109"/>
        <w:gridCol w:w="433"/>
        <w:gridCol w:w="433"/>
        <w:gridCol w:w="618"/>
      </w:tblGrid>
      <w:tr>
        <w:trPr/>
        <w:tc>
          <w:tcPr>
            <w:tcW w:w="11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Nashville,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37203</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(615) 255-0068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9003" w:type="dxa"/>
        <w:jc w:val="center"/>
        <w:tblInd w:w="0" w:type="dxa"/>
        <w:tblLayout w:type="fixed"/>
        <w:tblCellMar>
          <w:top w:w="28" w:type="dxa"/>
          <w:left w:w="28" w:type="dxa"/>
          <w:bottom w:w="28" w:type="dxa"/>
          <w:right w:w="28" w:type="dxa"/>
        </w:tblCellMar>
      </w:tblPr>
      <w:tblGrid>
        <w:gridCol w:w="887"/>
        <w:gridCol w:w="779"/>
        <w:gridCol w:w="779"/>
        <w:gridCol w:w="308"/>
        <w:gridCol w:w="308"/>
        <w:gridCol w:w="308"/>
        <w:gridCol w:w="475"/>
        <w:gridCol w:w="475"/>
        <w:gridCol w:w="475"/>
        <w:gridCol w:w="308"/>
        <w:gridCol w:w="308"/>
        <w:gridCol w:w="308"/>
        <w:gridCol w:w="962"/>
        <w:gridCol w:w="962"/>
        <w:gridCol w:w="1361"/>
      </w:tblGrid>
      <w:tr>
        <w:trPr/>
        <w:tc>
          <w:tcPr>
            <w:tcW w:w="8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9003"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4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4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100" w:after="283"/>
        <w:jc w:val="both"/>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erif" w:hAnsi="Times New Roman;serif"/>
          <w:b w:val="false"/>
          <w:color w:val="000000"/>
          <w:sz w:val="19"/>
        </w:rPr>
        <w:t>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both"/>
        <w:rPr/>
      </w:pPr>
      <w:r>
        <w:rPr>
          <w:rFonts w:ascii="Times New Roman;serif" w:hAnsi="Times New Roman;serif"/>
          <w:b w:val="false"/>
          <w:color w:val="000000"/>
          <w:sz w:val="19"/>
        </w:rPr>
        <w:t xml:space="preserve">Indicate by check mark whether the registrant is a large accelerated filer, an accelerated filer, a non-accelerated filer, a smaller reporting company, or an emerging growth company. See the definitions of </w:t>
      </w:r>
      <w:r>
        <w:rPr>
          <w:rFonts w:ascii="Times New Roman;serif" w:hAnsi="Times New Roman;serif"/>
          <w:b w:val="false"/>
          <w:color w:val="000000"/>
          <w:sz w:val="20"/>
          <w:shd w:fill="FFFFFF" w:val="clear"/>
        </w:rPr>
        <w:t>"</w:t>
      </w:r>
      <w:r>
        <w:rPr>
          <w:rFonts w:ascii="Times New Roman;serif" w:hAnsi="Times New Roman;serif"/>
          <w:b w:val="false"/>
          <w:color w:val="000000"/>
          <w:sz w:val="19"/>
        </w:rPr>
        <w:t>large accelerated filer,</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19"/>
        </w:rPr>
        <w:t>accelerated filer,</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19"/>
        </w:rPr>
        <w:t>smaller reporting company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19"/>
        </w:rPr>
        <w:t xml:space="preserve">and </w:t>
      </w:r>
      <w:r>
        <w:rPr>
          <w:rFonts w:ascii="Times New Roman;serif" w:hAnsi="Times New Roman;serif"/>
          <w:b w:val="false"/>
          <w:color w:val="000000"/>
          <w:sz w:val="20"/>
          <w:shd w:fill="FFFFFF" w:val="clear"/>
        </w:rPr>
        <w:t>"</w:t>
      </w:r>
      <w:r>
        <w:rPr>
          <w:rFonts w:ascii="Times New Roman;serif" w:hAnsi="Times New Roman;serif"/>
          <w:b w:val="false"/>
          <w:color w:val="000000"/>
          <w:sz w:val="19"/>
        </w:rPr>
        <w:t>emerging growth company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19"/>
        </w:rPr>
        <w:t>in Rule 12b-2 of the Exchange Act.</w:t>
      </w:r>
    </w:p>
    <w:tbl>
      <w:tblPr>
        <w:tblW w:w="5989" w:type="dxa"/>
        <w:jc w:val="left"/>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80" w:after="283"/>
        <w:jc w:val="both"/>
        <w:rPr>
          <w:rFonts w:ascii="Times New Roman;serif" w:hAnsi="Times New Roman;serif"/>
          <w:b w:val="false"/>
          <w:color w:val="000000"/>
          <w:sz w:val="19"/>
        </w:rPr>
      </w:pPr>
      <w:r>
        <w:rPr>
          <w:rFonts w:ascii="Times New Roman;serif" w:hAnsi="Times New Roman;serif"/>
          <w:b w:val="false"/>
          <w:color w:val="000000"/>
          <w:sz w:val="19"/>
        </w:rPr>
        <w:t>Indicate the number of shares outstanding of each of the issuer’s classes of common stock, as of the latest practicable date: 14,983,107 shares of common stock as of May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INDEX</w:t>
      </w:r>
    </w:p>
    <w:tbl>
      <w:tblPr>
        <w:tblW w:w="8351" w:type="dxa"/>
        <w:jc w:val="left"/>
        <w:tblInd w:w="0" w:type="dxa"/>
        <w:tblLayout w:type="fixed"/>
        <w:tblCellMar>
          <w:top w:w="28" w:type="dxa"/>
          <w:left w:w="28" w:type="dxa"/>
          <w:bottom w:w="28" w:type="dxa"/>
          <w:right w:w="28" w:type="dxa"/>
        </w:tblCellMar>
      </w:tblPr>
      <w:tblGrid>
        <w:gridCol w:w="2889"/>
        <w:gridCol w:w="2542"/>
        <w:gridCol w:w="2548"/>
        <w:gridCol w:w="109"/>
        <w:gridCol w:w="109"/>
        <w:gridCol w:w="154"/>
      </w:tblGrid>
      <w:tr>
        <w:trPr/>
        <w:tc>
          <w:tcPr>
            <w:tcW w:w="288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10">
              <w:r>
                <w:rPr>
                  <w:rStyle w:val="InternetLink"/>
                  <w:rFonts w:ascii="Times New Roman;serif" w:hAnsi="Times New Roman;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10">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13">
              <w:r>
                <w:rPr>
                  <w:rStyle w:val="InternetLink"/>
                  <w:rFonts w:ascii="Times New Roman;serif" w:hAnsi="Times New Roman;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13">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16">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16">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19">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19">
              <w:r>
                <w:rPr>
                  <w:rStyle w:val="InternetLink"/>
                  <w:rFonts w:ascii="Times New Roman;serif" w:hAnsi="Times New Roman;serif"/>
                  <w:b w:val="false"/>
                  <w:color w:val="0000FF"/>
                  <w:sz w:val="20"/>
                  <w:u w:val="single"/>
                </w:rPr>
                <w:t>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22">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22">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25">
              <w:r>
                <w:rPr>
                  <w:rStyle w:val="InternetLink"/>
                  <w:rFonts w:ascii="Times New Roman;serif" w:hAnsi="Times New Roman;serif"/>
                  <w:b w:val="false"/>
                  <w:color w:val="0000FF"/>
                  <w:sz w:val="20"/>
                  <w:u w:val="single"/>
                </w:rPr>
                <w:t>Condensed Consolidated Statements of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25">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28">
              <w:r>
                <w:rPr>
                  <w:rStyle w:val="InternetLink"/>
                  <w:rFonts w:ascii="Times New Roman;serif" w:hAnsi="Times New Roman;serif"/>
                  <w:b w:val="false"/>
                  <w:color w:val="0000FF"/>
                  <w:sz w:val="20"/>
                  <w:u w:val="single"/>
                </w:rPr>
                <w:t>Notes to the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28">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6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67">
              <w:r>
                <w:rPr>
                  <w:rStyle w:val="InternetLink"/>
                  <w:rFonts w:ascii="Times New Roman;serif" w:hAnsi="Times New Roman;serif"/>
                  <w:b w:val="false"/>
                  <w:color w:val="0000FF"/>
                  <w:sz w:val="20"/>
                  <w:u w:val="single"/>
                </w:rPr>
                <w:t>20</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88">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88">
              <w:r>
                <w:rPr>
                  <w:rStyle w:val="InternetLink"/>
                  <w:rFonts w:ascii="Times New Roman;serif" w:hAnsi="Times New Roman;serif"/>
                  <w:b w:val="false"/>
                  <w:color w:val="0000FF"/>
                  <w:sz w:val="20"/>
                  <w:u w:val="single"/>
                </w:rPr>
                <w:t>30</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91">
              <w:r>
                <w:rPr>
                  <w:rStyle w:val="InternetLink"/>
                  <w:rFonts w:ascii="Times New Roman;serif" w:hAnsi="Times New Roman;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91">
              <w:r>
                <w:rPr>
                  <w:rStyle w:val="InternetLink"/>
                  <w:rFonts w:ascii="Times New Roman;serif" w:hAnsi="Times New Roman;serif"/>
                  <w:b w:val="false"/>
                  <w:color w:val="0000FF"/>
                  <w:sz w:val="20"/>
                  <w:u w:val="single"/>
                </w:rPr>
                <w:t>31</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94">
              <w:r>
                <w:rPr>
                  <w:rStyle w:val="InternetLink"/>
                  <w:rFonts w:ascii="Times New Roman;serif" w:hAnsi="Times New Roman;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94">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97">
              <w:r>
                <w:rPr>
                  <w:rStyle w:val="InternetLink"/>
                  <w:rFonts w:ascii="Times New Roman;serif" w:hAnsi="Times New Roman;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97">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100">
              <w:r>
                <w:rPr>
                  <w:rStyle w:val="InternetLink"/>
                  <w:rFonts w:ascii="Times New Roman;serif" w:hAnsi="Times New Roman;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100">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103">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103">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109">
              <w:r>
                <w:rPr>
                  <w:rStyle w:val="InternetLink"/>
                  <w:rFonts w:ascii="Times New Roman;serif" w:hAnsi="Times New Roman;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106">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6. Exhibits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FF"/>
                <w:sz w:val="20"/>
                <w:u w:val="single"/>
              </w:rPr>
            </w:pPr>
            <w:r>
              <w:rPr>
                <w:rFonts w:ascii="Times New Roman;serif" w:hAnsi="Times New Roman;serif"/>
                <w:b w:val="false"/>
                <w:color w:val="0000FF"/>
                <w:sz w:val="20"/>
                <w:u w:val="single"/>
              </w:rPr>
              <w:t>#</w:t>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3afcf7bc7c40589e6db95f3fba76c3_115">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3afcf7bc7c40589e6db95f3fba76c3_115">
              <w:r>
                <w:rPr>
                  <w:rStyle w:val="InternetLink"/>
                  <w:rFonts w:ascii="Times New Roman;serif" w:hAnsi="Times New Roman;serif"/>
                  <w:b w:val="false"/>
                  <w:color w:val="0000FF"/>
                  <w:sz w:val="20"/>
                  <w:u w:val="single"/>
                </w:rPr>
                <w:t>34</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4"/>
        <w:gridCol w:w="2202"/>
        <w:gridCol w:w="1985"/>
        <w:gridCol w:w="213"/>
        <w:gridCol w:w="1092"/>
        <w:gridCol w:w="110"/>
        <w:gridCol w:w="109"/>
        <w:gridCol w:w="109"/>
        <w:gridCol w:w="109"/>
        <w:gridCol w:w="229"/>
        <w:gridCol w:w="1173"/>
        <w:gridCol w:w="170"/>
      </w:tblGrid>
      <w:tr>
        <w:trPr/>
        <w:tc>
          <w:tcPr>
            <w:tcW w:w="270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11,007,245 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14,261,978 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16,944,780 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6,225,518 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2,066,198 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2,445,276 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32,789,257 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37,060,267 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inventories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9,875,505 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9,253,090 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12,793,249 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14,027,921 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7,618,720 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8,343,832 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Co-commercialization investment</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3,986,780 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2,926,214 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2,973,378 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70,995,020 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16,537,072 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18,567,546 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 liabilities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4,487,137 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12,978,680 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12,635,095 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34,488,051 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36,744,919 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 long term</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5,240,733 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4,343,892 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5,619,332 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5,822,153 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49,692,008 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52,279,770 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100,000,000 shares authorized; 14,983,107 and 14,956,627 shares issued and outstanding as of March 31, 2026, and December 31, 2025, respectively</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51,730,222 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(30,093,698)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(26,804,059)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21,636,524 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24,880,322 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21,303,012 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24,544,222 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70,995,020 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76,823,992 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385" w:type="dxa"/>
        <w:jc w:val="center"/>
        <w:tblInd w:w="0" w:type="dxa"/>
        <w:tblLayout w:type="fixed"/>
        <w:tblCellMar>
          <w:top w:w="28" w:type="dxa"/>
          <w:left w:w="28" w:type="dxa"/>
          <w:bottom w:w="28" w:type="dxa"/>
          <w:right w:w="28" w:type="dxa"/>
        </w:tblCellMar>
      </w:tblPr>
      <w:tblGrid>
        <w:gridCol w:w="2098"/>
        <w:gridCol w:w="1851"/>
        <w:gridCol w:w="1856"/>
        <w:gridCol w:w="211"/>
        <w:gridCol w:w="1051"/>
        <w:gridCol w:w="109"/>
        <w:gridCol w:w="109"/>
        <w:gridCol w:w="109"/>
        <w:gridCol w:w="109"/>
        <w:gridCol w:w="211"/>
        <w:gridCol w:w="1081"/>
        <w:gridCol w:w="109"/>
        <w:gridCol w:w="109"/>
        <w:gridCol w:w="109"/>
        <w:gridCol w:w="109"/>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Co-commercialization investment loss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 subsidiary attributable to noncontrolling interests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attributable to common shareholders</w:t>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diluted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65"/>
        <w:gridCol w:w="2229"/>
        <w:gridCol w:w="2236"/>
        <w:gridCol w:w="211"/>
        <w:gridCol w:w="1081"/>
        <w:gridCol w:w="109"/>
        <w:gridCol w:w="109"/>
        <w:gridCol w:w="109"/>
        <w:gridCol w:w="109"/>
        <w:gridCol w:w="211"/>
        <w:gridCol w:w="1081"/>
        <w:gridCol w:w="155"/>
      </w:tblGrid>
      <w:tr>
        <w:trPr/>
        <w:tc>
          <w:tcPr>
            <w:tcW w:w="256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Co-commercialization investment loss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non-cash contingent consideration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surrender value of life insurance policies over premiums paid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assets and liabilities affecting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3,898,517 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surrender value of life insurance policies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of investment in manufacturing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(1,228,186)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ATM offering,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line of credit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(10,035,437)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 of contingent consideration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in connection with repurchase of common shares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(5,526,102)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(2,855,771)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17,964,184 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15,108,413 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60"/>
        <w:jc w:val="center"/>
        <w:rPr/>
      </w:pPr>
      <w:r>
        <w:rPr/>
      </w:r>
    </w:p>
    <w:tbl>
      <w:tblPr>
        <w:tblW w:w="10205" w:type="dxa"/>
        <w:jc w:val="left"/>
        <w:tblInd w:w="0" w:type="dxa"/>
        <w:tblLayout w:type="fixed"/>
        <w:tblCellMar>
          <w:top w:w="28" w:type="dxa"/>
          <w:left w:w="28" w:type="dxa"/>
          <w:bottom w:w="28" w:type="dxa"/>
          <w:right w:w="28" w:type="dxa"/>
        </w:tblCellMar>
      </w:tblPr>
      <w:tblGrid>
        <w:gridCol w:w="788"/>
        <w:gridCol w:w="416"/>
        <w:gridCol w:w="417"/>
        <w:gridCol w:w="540"/>
        <w:gridCol w:w="541"/>
        <w:gridCol w:w="226"/>
        <w:gridCol w:w="109"/>
        <w:gridCol w:w="109"/>
        <w:gridCol w:w="109"/>
        <w:gridCol w:w="211"/>
        <w:gridCol w:w="1081"/>
        <w:gridCol w:w="109"/>
        <w:gridCol w:w="109"/>
        <w:gridCol w:w="109"/>
        <w:gridCol w:w="109"/>
        <w:gridCol w:w="223"/>
        <w:gridCol w:w="1179"/>
        <w:gridCol w:w="115"/>
        <w:gridCol w:w="109"/>
        <w:gridCol w:w="109"/>
        <w:gridCol w:w="109"/>
        <w:gridCol w:w="290"/>
        <w:gridCol w:w="1161"/>
        <w:gridCol w:w="151"/>
        <w:gridCol w:w="109"/>
        <w:gridCol w:w="109"/>
        <w:gridCol w:w="109"/>
        <w:gridCol w:w="211"/>
        <w:gridCol w:w="1081"/>
        <w:gridCol w:w="157"/>
      </w:tblGrid>
      <w:tr>
        <w:trPr/>
        <w:tc>
          <w:tcPr>
            <w:tcW w:w="7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13,952,624 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(23,967,931)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(307,517)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22,545,977 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issuances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4,715,950 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14,961,137 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51,367,883 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(22,710,863)</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(316,401)</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28,340,619 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8"/>
        <w:gridCol w:w="416"/>
        <w:gridCol w:w="417"/>
        <w:gridCol w:w="540"/>
        <w:gridCol w:w="541"/>
        <w:gridCol w:w="226"/>
        <w:gridCol w:w="109"/>
        <w:gridCol w:w="109"/>
        <w:gridCol w:w="109"/>
        <w:gridCol w:w="211"/>
        <w:gridCol w:w="1081"/>
        <w:gridCol w:w="109"/>
        <w:gridCol w:w="109"/>
        <w:gridCol w:w="109"/>
        <w:gridCol w:w="109"/>
        <w:gridCol w:w="223"/>
        <w:gridCol w:w="1179"/>
        <w:gridCol w:w="115"/>
        <w:gridCol w:w="109"/>
        <w:gridCol w:w="109"/>
        <w:gridCol w:w="109"/>
        <w:gridCol w:w="290"/>
        <w:gridCol w:w="1161"/>
        <w:gridCol w:w="151"/>
        <w:gridCol w:w="109"/>
        <w:gridCol w:w="109"/>
        <w:gridCol w:w="109"/>
        <w:gridCol w:w="211"/>
        <w:gridCol w:w="1081"/>
        <w:gridCol w:w="157"/>
      </w:tblGrid>
      <w:tr>
        <w:trPr/>
        <w:tc>
          <w:tcPr>
            <w:tcW w:w="78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14,956,627 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(26,804,059)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(336,100)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24,544,222 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(3,289,639)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14,983,107 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51,730,222 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(30,093,698)</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(333,512)</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21,303,012 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CUMBERLAND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160" w:after="283"/>
        <w:jc w:val="both"/>
        <w:rPr/>
      </w:pPr>
      <w:r>
        <w:rPr>
          <w:rFonts w:ascii="Times New Roman;serif" w:hAnsi="Times New Roman;serif"/>
          <w:b w:val="false"/>
          <w:color w:val="000000"/>
          <w:sz w:val="20"/>
        </w:rPr>
        <w:t>Cumberland Pharmaceuticals Inc. (</w:t>
      </w:r>
      <w:r>
        <w:rPr>
          <w:rFonts w:ascii="Times New Roman;serif" w:hAnsi="Times New Roman;serif"/>
          <w:b w:val="false"/>
          <w:color w:val="000000"/>
          <w:sz w:val="20"/>
          <w:shd w:fill="FFFFFF" w:val="clear"/>
        </w:rPr>
        <w:t>"</w:t>
      </w:r>
      <w:r>
        <w:rPr>
          <w:rFonts w:ascii="Times New Roman;serif" w:hAnsi="Times New Roman;serif"/>
          <w:b w:val="false"/>
          <w:color w:val="000000"/>
          <w:sz w:val="20"/>
        </w:rPr>
        <w:t>Cumberland,</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Company,</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or as used in the context of </w:t>
      </w:r>
      <w:r>
        <w:rPr>
          <w:rFonts w:ascii="Times New Roman;serif" w:hAnsi="Times New Roman;serif"/>
          <w:b w:val="false"/>
          <w:color w:val="000000"/>
          <w:sz w:val="20"/>
          <w:shd w:fill="FFFFFF" w:val="clear"/>
        </w:rPr>
        <w:t>"</w:t>
      </w:r>
      <w:r>
        <w:rPr>
          <w:rFonts w:ascii="Times New Roman;serif" w:hAnsi="Times New Roman;serif"/>
          <w:b w:val="false"/>
          <w:color w:val="000000"/>
          <w:sz w:val="20"/>
        </w:rPr>
        <w:t>we,</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us,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shd w:fill="FFFFFF" w:val="clear"/>
        </w:rPr>
        <w:t>"</w:t>
      </w:r>
      <w:r>
        <w:rPr>
          <w:rFonts w:ascii="Times New Roman;serif" w:hAnsi="Times New Roman;serif"/>
          <w:b w:val="false"/>
          <w:color w:val="000000"/>
          <w:sz w:val="20"/>
        </w:rPr>
        <w:t>our</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 is a specialty pharmaceutical company focused on the acquisition, development and commercialization of branded prescription pharmaceuticals. We are dedicated to our mission of working together to provide unique products that improve the quality of patient care.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forces in the United States. We continue to build a network of established international partners with the needed regulatory and commercial capabilities to register and provide our medicines to patients in their countries. </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Cumberland’s growth strategy involves maximizing the potential of our existing brands, while continuing to build a portfolio of differentiated products. Our current portfolio includes seven products approved by the U.S. Food and Drug Administration ("FDA") in the United States. We also continue to build international partnerships to bring our medicines to patients in other countries. Additionally, we look for opportunities to expand our brands into new patient populations through clinical trials, new product presentations and our support of select, investigator-initiated studies. </w:t>
      </w:r>
      <w:r>
        <w:rPr>
          <w:rFonts w:ascii="Times New Roman;serif" w:hAnsi="Times New Roman;serif"/>
          <w:b w:val="false"/>
          <w:color w:val="000000"/>
          <w:sz w:val="20"/>
        </w:rPr>
        <w:t xml:space="preserve">Meanwhile, our clinical team is developing a pipeline of new product candidates to address poorly met medical needs. We also pursue opportunities to acquire additional marketed brands as well as late-stage development product candidates in our target medical specialties.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products are manufactured by third parties, which are overseen by our quality control and manufacturing professionals. We work closely with our warehousing and distribution partners to make our products available in the U.S.</w:t>
      </w:r>
    </w:p>
    <w:p>
      <w:pPr>
        <w:pStyle w:val="TextBody"/>
        <w:bidi w:val="0"/>
        <w:spacing w:lineRule="auto" w:line="288" w:before="160" w:after="283"/>
        <w:jc w:val="both"/>
        <w:rPr/>
      </w:pPr>
      <w:r>
        <w:rPr>
          <w:rFonts w:ascii="Times New Roman;serif" w:hAnsi="Times New Roman;serif"/>
          <w:b w:val="false"/>
          <w:color w:val="000000"/>
          <w:sz w:val="20"/>
        </w:rPr>
        <w:t xml:space="preserve">In the opinion of management, the accompanying unaudited condensed consolidated financial statements of the Company have been prepared on a basis consistent with the December 31, 2025,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SEC</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2025 (the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2025 Annual Report on Form 10-K</w:t>
      </w:r>
      <w:r>
        <w:rPr>
          <w:rFonts w:ascii="Times New Roman;serif" w:hAnsi="Times New Roman;serif"/>
          <w:b w:val="false"/>
          <w:color w:val="000000"/>
          <w:sz w:val="20"/>
          <w:shd w:fill="FFFFFF" w:val="clear"/>
        </w:rPr>
        <w:t>"</w:t>
      </w:r>
      <w:r>
        <w:rPr>
          <w:rFonts w:ascii="Times New Roman;serif" w:hAnsi="Times New Roman;serif"/>
          <w:b w:val="false"/>
          <w:color w:val="000000"/>
          <w:sz w:val="20"/>
        </w:rPr>
        <w:t>). The results of operations for the three months ended March 31, 2026, are not necessarily indicative of the results to be expected for the entire fiscal year or any future period.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Accounting Guidance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60" w:after="120"/>
        <w:ind w:left="0" w:right="0" w:firstLine="360"/>
        <w:jc w:val="both"/>
        <w:rPr/>
      </w:pPr>
      <w:r>
        <w:rPr>
          <w:rFonts w:ascii="Times New Roman;serif" w:hAnsi="Times New Roman;serif"/>
          <w:b w:val="false"/>
          <w:color w:val="000000"/>
          <w:sz w:val="20"/>
        </w:rPr>
        <w:t xml:space="preserve">In November 2023, the Financial Accounting Standards Board ("FASB") issued final guidance in Accounting Standards Update ("ASU") 2023-07, </w:t>
      </w:r>
      <w:r>
        <w:rPr>
          <w:rFonts w:ascii="Times New Roman;serif" w:hAnsi="Times New Roman;serif"/>
          <w:b w:val="false"/>
          <w:i/>
          <w:color w:val="000000"/>
          <w:sz w:val="20"/>
        </w:rPr>
        <w:t>Segment Reporting (Topic 280): Improvements to Reportable Segment Disclosures,</w:t>
      </w:r>
      <w:r>
        <w:rPr>
          <w:color w:val="000000"/>
        </w:rPr>
        <w:t xml:space="preserve"> </w:t>
      </w:r>
      <w:r>
        <w:rPr>
          <w:rFonts w:ascii="Times New Roman;serif" w:hAnsi="Times New Roman;serif"/>
          <w:b w:val="false"/>
          <w:color w:val="000000"/>
          <w:sz w:val="20"/>
        </w:rPr>
        <w:t>which is intended to improve transparency of segment disclosures, primarily through expanded disclosures for significant segment expenses. The guidance is effective for annual periods beginning in 2024 and interim periods beginning in 2025. With the Company having only one segment, the adoption, effective January 1, 2024, did not have a material impact on the Company’s consolidated financial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No. 2023-09, Income Taxes (Topic 740): Improvements to Income Tax Disclosures ("Update 2023-09"), which expands income tax disclosure requirements to include additional information related to the rate reconciliation of our effective tax rates to statutory rates as well as additional disaggregation of taxes paid. The amendments in Update 2023-09 also remove disclosures related to certain unrecognized tax benefits and deferred taxes. Update 2023-09 is effective for fiscal years beginning after December 15, 2024, with early adoption permitted. We adopted Update 2023-09 effective for the year ended December 31, 2025 on a prospective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 which requires companies to disclose additional information for certain relevant expense categories in the Statements of Operations and within the notes to the financial statements. ASU 2024-03 is effective for annual periods beginning after December 15, 2026, and interim periods beginning after December 15, 2027, with early adoption permitted and can be applied either prospectively to financial statements issued for reporting periods after the effective date, or retrospectively to prior periods which are presented in the financial statements. We are currently assessing the impact of the requirements on our consolidated financial statements and disclosures.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Use of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Segments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Trade and Note Receivables Policy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 application of Current Expected Credit Losses (CECL) to all of its financial instruments including trade and note receivables. CECL is applicable to all financial instruments measured at amortized cost.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a.Internal or external credit score/rating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b.Risk ratings or classification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c.Financial asset type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d.Size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e.Effective interest rate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f.Term</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g.Geographical location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h.Historical or expected credit loss patterns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i.Reasonable and supportable forecast periods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standard requires entities to pool financial assets but allows them to choose which risk characteristics to use. Under the requirements of the guidance, the Company reassesses at the end of each reporting period whether the pool of assets continues to display similar risk characteristics.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over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EARNINGS (LOSS)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numerator and denominator used to calculate basic and diluted earnings (loss) per share for the three months ended March 31, 2026 and 2025:</w:t>
      </w:r>
    </w:p>
    <w:tbl>
      <w:tblPr>
        <w:tblW w:w="7584" w:type="dxa"/>
        <w:jc w:val="left"/>
        <w:tblInd w:w="0" w:type="dxa"/>
        <w:tblLayout w:type="fixed"/>
        <w:tblCellMar>
          <w:top w:w="28" w:type="dxa"/>
          <w:left w:w="28" w:type="dxa"/>
          <w:bottom w:w="28" w:type="dxa"/>
          <w:right w:w="28" w:type="dxa"/>
        </w:tblCellMar>
      </w:tblPr>
      <w:tblGrid>
        <w:gridCol w:w="1641"/>
        <w:gridCol w:w="1446"/>
        <w:gridCol w:w="1458"/>
        <w:gridCol w:w="211"/>
        <w:gridCol w:w="1051"/>
        <w:gridCol w:w="109"/>
        <w:gridCol w:w="109"/>
        <w:gridCol w:w="109"/>
        <w:gridCol w:w="109"/>
        <w:gridCol w:w="211"/>
        <w:gridCol w:w="976"/>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basic</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other securities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 diluted</w:t>
            </w:r>
          </w:p>
        </w:tc>
        <w:tc>
          <w:tcPr>
            <w:tcW w:w="12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15,259,824 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668" w:type="dxa"/>
            <w:gridSpan w:val="6"/>
            <w:tcBorders/>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restricted stock awards and options to purchase 688,907 and 810,211 shares of common stock, respectively, were outstanding but were not included in the computation of diluted earnings per share because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Product Revenues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revenues from contracts with customers under ASC 606.</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The Company’s net revenues consisted of the following for the three months ended March 31, 2026 and 2025:</w:t>
      </w:r>
    </w:p>
    <w:tbl>
      <w:tblPr>
        <w:tblW w:w="5125" w:type="dxa"/>
        <w:jc w:val="center"/>
        <w:tblInd w:w="0" w:type="dxa"/>
        <w:tblLayout w:type="fixed"/>
        <w:tblCellMar>
          <w:top w:w="28" w:type="dxa"/>
          <w:left w:w="28" w:type="dxa"/>
          <w:bottom w:w="28" w:type="dxa"/>
          <w:right w:w="28" w:type="dxa"/>
        </w:tblCellMar>
      </w:tblPr>
      <w:tblGrid>
        <w:gridCol w:w="585"/>
        <w:gridCol w:w="513"/>
        <w:gridCol w:w="522"/>
        <w:gridCol w:w="211"/>
        <w:gridCol w:w="976"/>
        <w:gridCol w:w="109"/>
        <w:gridCol w:w="109"/>
        <w:gridCol w:w="109"/>
        <w:gridCol w:w="109"/>
        <w:gridCol w:w="211"/>
        <w:gridCol w:w="1081"/>
        <w:gridCol w:w="109"/>
        <w:gridCol w:w="109"/>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Talicia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Omeclamox-Pak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RediTrex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regard to Vaprisol, we are in the process of transitioning to a new manufacturing partner, who was issued an FDA Form 483 in the second quarter of 2022. In April 2026, we received notification that these FDA Form 483 related issues have been satisfactorily resolved. We plan to resubmit our application for their facility to the FDA for approval in the second quarter of 2026. For the three months ended March 31, 2026 and 2025, the amounts represent routine sales deduction adjustments.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late 2023, we discontinued the sales of Omeclamox-Pak and expensed the remaining brand intangible assets. For the three months ended March 31, 2026 and 2025, the amounts noted resulted from routine sales deduction adjustments.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June 30, 2023, the Company returned all rights of RediTrex back to Nordic B.V., and will receive a long-term royalty on any sales of the product in the future. For the three months ended March 31, 2026 and 2025, the amounts noted resulted from routine sales deduction adjustments.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Other Revenues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early 2025, Cumberland received a $3.0 million milestone payment from our distribution partner in China associated with the approval of Vibativ for that market. 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revenues also include lease income generated by CET’s Life Sciences Center, which is a research facility that provides scientists with access to flexible lab space and other resources to develop biomedical products. This lease income, as noted in Footnote 5 - Leases, was approximately $0.2 million for the three months ended March 31, 2026 and 2025.</w:t>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works closely with third parties to manufacture and package finished goods for sale. Based on the arrangements with the manufacturer or 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March 31, 2026 and December 31, 2025, there were no cumulative net realizable value charges for potential obsolescence and discontinuance losses necessary.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the active pharmaceutical ingredient ("API") for Kristalose and Sancuso and maintains the inventory of that raw material. API for the Company's Vaprisol and Vibativ brands were included in the assets associated with the acquisition of those brands and are also included in the raw materials inventory.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these APIs are consumed in the manufacture of our products, the value of the API involved is transferred from raw materials to finished goods.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Consigned inventory represents Authorized Generic inventory stored with our partner until shipment to their customers.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Company's net inventories consisted of the following:</w:t>
      </w:r>
    </w:p>
    <w:tbl>
      <w:tblPr>
        <w:tblW w:w="7012" w:type="dxa"/>
        <w:jc w:val="left"/>
        <w:tblInd w:w="0" w:type="dxa"/>
        <w:tblLayout w:type="fixed"/>
        <w:tblCellMar>
          <w:top w:w="28" w:type="dxa"/>
          <w:left w:w="28" w:type="dxa"/>
          <w:bottom w:w="28" w:type="dxa"/>
          <w:right w:w="28" w:type="dxa"/>
        </w:tblCellMar>
      </w:tblPr>
      <w:tblGrid>
        <w:gridCol w:w="1141"/>
        <w:gridCol w:w="1000"/>
        <w:gridCol w:w="1008"/>
        <w:gridCol w:w="109"/>
        <w:gridCol w:w="109"/>
        <w:gridCol w:w="109"/>
        <w:gridCol w:w="217"/>
        <w:gridCol w:w="1111"/>
        <w:gridCol w:w="112"/>
        <w:gridCol w:w="109"/>
        <w:gridCol w:w="109"/>
        <w:gridCol w:w="109"/>
        <w:gridCol w:w="278"/>
        <w:gridCol w:w="1288"/>
        <w:gridCol w:w="203"/>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work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10,061,130 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9,832,293 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5,268,211 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5,646,315 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15,329,341 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15,478,608 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non-current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(9,875,505)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(9,253,090)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classified as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5,453,836 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6,225,518 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Company's non-current inventories consisted of the following:</w:t>
      </w:r>
    </w:p>
    <w:tbl>
      <w:tblPr>
        <w:tblW w:w="7060" w:type="dxa"/>
        <w:jc w:val="left"/>
        <w:tblInd w:w="0" w:type="dxa"/>
        <w:tblLayout w:type="fixed"/>
        <w:tblCellMar>
          <w:top w:w="28" w:type="dxa"/>
          <w:left w:w="28" w:type="dxa"/>
          <w:bottom w:w="28" w:type="dxa"/>
          <w:right w:w="28" w:type="dxa"/>
        </w:tblCellMar>
      </w:tblPr>
      <w:tblGrid>
        <w:gridCol w:w="1276"/>
        <w:gridCol w:w="1120"/>
        <w:gridCol w:w="1128"/>
        <w:gridCol w:w="234"/>
        <w:gridCol w:w="1085"/>
        <w:gridCol w:w="121"/>
        <w:gridCol w:w="109"/>
        <w:gridCol w:w="109"/>
        <w:gridCol w:w="109"/>
        <w:gridCol w:w="278"/>
        <w:gridCol w:w="1288"/>
        <w:gridCol w:w="203"/>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raw materials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5,557,928 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4,883,895 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 raw materials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 raw materials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1,171,603 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raw materials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 raw materials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Ifetroban raw materials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 finished Ggoods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finished goods</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 finished goods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classified as non-current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9,875,505 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9,253,090 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15, 2021, Cumberland entered into a lease (the "Broadwest Lease"), pursuant to which the Company leases approximately 16,903 rentable square feet of space (the "Leased Premise") at the Broadwest office campus located in Nashville, Tennessee with 1600 West End Avenue Partners, LLC (the "Landlord"). The Leased Premise serves as the Company's corporate headquarters. The initial term of the Lease is one hundred fifty-seven (157) months, with two consecutive options to renew for a period of 5 years each, with the commencement date of October 25, 2022. This lease currently expires in November 2035.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was used to build out the space.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24, 2022, CET provided the notice of exercise to extend the lease with The Gateway to Nashville, LLC (the "Gateway Lease") for five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Also included within the right-of-use assets are start up expenditures related to new supply agreements with Nephron Pharmaceuticals Corporation ("Nephron") for our Vaprisol product, Kindos Pharmaceuticals Co., Ltd. ("Kindos") for our Vibativ and Acetadote products and Recipharm Pharmaservices Pvt. Ltd ("Recipharm") for our ifetroban study drug. These expenditures are classified as embedded leases resulting in right-of-use assets with the carrying value being reduced straight-line over the life of the contracts. As of March 31, 2026, the right-of-use assets for Nephron, Kindos and Recipharm were $0.6 million, $1.2 million and $1.2 million, respectively, and are included in the total right-of-use assets of $7.6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the commencement date of each lease. Incremental borrowing rates reflect the Company’s estimated interest rates for collateralized borrowings over similar lease terms.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for the Broadwest Lease and Gateway Lease is 8.7 years and 8.9 years at March 31, 2026 and December 31, 2025, respectively. The weighted-average incremental borrowing rate used to discount the present value of the remaining lease payments for both leases is 9.35% and 9.36% at March 31, 2026 and December 31, 2025, respectively.</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Lease Position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Company's lease assets and liabilities were as follows:</w:t>
      </w:r>
    </w:p>
    <w:tbl>
      <w:tblPr>
        <w:tblW w:w="6415" w:type="dxa"/>
        <w:jc w:val="left"/>
        <w:tblInd w:w="0" w:type="dxa"/>
        <w:tblLayout w:type="fixed"/>
        <w:tblCellMar>
          <w:top w:w="28" w:type="dxa"/>
          <w:left w:w="28" w:type="dxa"/>
          <w:bottom w:w="28" w:type="dxa"/>
          <w:right w:w="28" w:type="dxa"/>
        </w:tblCellMar>
      </w:tblPr>
      <w:tblGrid>
        <w:gridCol w:w="1042"/>
        <w:gridCol w:w="917"/>
        <w:gridCol w:w="920"/>
        <w:gridCol w:w="234"/>
        <w:gridCol w:w="1085"/>
        <w:gridCol w:w="121"/>
        <w:gridCol w:w="109"/>
        <w:gridCol w:w="109"/>
        <w:gridCol w:w="109"/>
        <w:gridCol w:w="278"/>
        <w:gridCol w:w="1288"/>
        <w:gridCol w:w="203"/>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Right-of-Use Assets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7,618,720 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8,343,832 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31" w:type="dxa"/>
        <w:jc w:val="left"/>
        <w:tblInd w:w="0" w:type="dxa"/>
        <w:tblLayout w:type="fixed"/>
        <w:tblCellMar>
          <w:top w:w="28" w:type="dxa"/>
          <w:left w:w="28" w:type="dxa"/>
          <w:bottom w:w="28" w:type="dxa"/>
          <w:right w:w="28" w:type="dxa"/>
        </w:tblCellMar>
      </w:tblPr>
      <w:tblGrid>
        <w:gridCol w:w="1158"/>
        <w:gridCol w:w="1015"/>
        <w:gridCol w:w="1022"/>
        <w:gridCol w:w="234"/>
        <w:gridCol w:w="1085"/>
        <w:gridCol w:w="121"/>
        <w:gridCol w:w="109"/>
        <w:gridCol w:w="109"/>
        <w:gridCol w:w="109"/>
        <w:gridCol w:w="278"/>
        <w:gridCol w:w="1288"/>
        <w:gridCol w:w="203"/>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 Liabilities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current liabilities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467,774 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non-current liabilities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4,343,892 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4,471,965 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4,829,054 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4,939,739 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cumulative future minimum sublease income under non-cancelable operating subleases totals approximately $0.1 million which includes the 90-day notice required for lease termination. Future minimum lease payments under non-cancelable operating leases (with initial or remaining lease terms in excess of one year) are as follows:</w:t>
      </w:r>
    </w:p>
    <w:tbl>
      <w:tblPr>
        <w:tblW w:w="6101" w:type="dxa"/>
        <w:jc w:val="left"/>
        <w:tblInd w:w="0" w:type="dxa"/>
        <w:tblLayout w:type="fixed"/>
        <w:tblCellMar>
          <w:top w:w="28" w:type="dxa"/>
          <w:left w:w="28" w:type="dxa"/>
          <w:bottom w:w="28" w:type="dxa"/>
          <w:right w:w="28" w:type="dxa"/>
        </w:tblCellMar>
      </w:tblPr>
      <w:tblGrid>
        <w:gridCol w:w="1500"/>
        <w:gridCol w:w="1316"/>
        <w:gridCol w:w="1324"/>
        <w:gridCol w:w="109"/>
        <w:gridCol w:w="109"/>
        <w:gridCol w:w="109"/>
        <w:gridCol w:w="257"/>
        <w:gridCol w:w="1190"/>
        <w:gridCol w:w="187"/>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Maturity of Lease Liabilities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684,558 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934,180 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3,529,586 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7,206,930 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2,377,876 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4,829,054 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jc w:val="both"/>
        <w:rPr>
          <w:rFonts w:ascii="Times New Roman;serif" w:hAnsi="Times New Roman;serif"/>
          <w:b w:val="false"/>
          <w:color w:val="000000"/>
          <w:sz w:val="20"/>
        </w:rPr>
      </w:pPr>
      <w:r>
        <w:rPr>
          <w:rFonts w:ascii="Times New Roman;serif" w:hAnsi="Times New Roman;serif"/>
          <w:b w:val="false"/>
          <w:color w:val="000000"/>
          <w:sz w:val="20"/>
        </w:rPr>
        <w:t>Rent expense is recognized over the expected term of the lease, including renewal option periods, if applicable, on a straight-line basis as a component of general and administrative expense. Rent expense and sublease income were as follows:</w:t>
      </w:r>
    </w:p>
    <w:tbl>
      <w:tblPr>
        <w:tblW w:w="4693" w:type="dxa"/>
        <w:jc w:val="center"/>
        <w:tblInd w:w="0" w:type="dxa"/>
        <w:tblLayout w:type="fixed"/>
        <w:tblCellMar>
          <w:top w:w="28" w:type="dxa"/>
          <w:left w:w="28" w:type="dxa"/>
          <w:bottom w:w="28" w:type="dxa"/>
          <w:right w:w="28" w:type="dxa"/>
        </w:tblCellMar>
      </w:tblPr>
      <w:tblGrid>
        <w:gridCol w:w="538"/>
        <w:gridCol w:w="472"/>
        <w:gridCol w:w="475"/>
        <w:gridCol w:w="220"/>
        <w:gridCol w:w="861"/>
        <w:gridCol w:w="113"/>
        <w:gridCol w:w="113"/>
        <w:gridCol w:w="113"/>
        <w:gridCol w:w="113"/>
        <w:gridCol w:w="220"/>
        <w:gridCol w:w="861"/>
        <w:gridCol w:w="113"/>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163,850 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158,629 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SHAREHOLDERS’ EQUITY AND DEBT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currently has a share repurchase program available to repurchase its common stock pursuant to Rule 10b-18 of the Securities Exchange Act of 1934, as amended (the "Exchange Act"). In January 2019, the Company's Board of Directors established the current $10 million repurchase program to replace the prior authorizations. During the three months ended March 31, 2026 and March 31, 2025, the Company repurchased 20,245 and 53,837 shares of common stock for $0.1 million and approximately $0.2 million, respectively. At March 31, 2026, there remains approximately $2.1 million available under the current repurchase program for common share repurchases.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Share Sales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filed an updated Form S-3 with the SEC in December 2023, which was declared effective December 26, 2023 (the "Current Registration Statement"). The Company entered into an agreement with H.C. Wainwright &amp; Co., LLC ("H.C. Wainwright") to establish a new At the Market ("ATM") program under the Current Registration Statement. On March 20, 2024, the Company filed a related prospectus supplement in connection with the sale and issuance of shares having an aggregate gross sales price of up to $5.8 million. On February 5, 2025, the Company issued 1,000,000 shares under an ATM for an aggregate amount of $5.5 million. As a result of this transaction, deferred offering costs of $0.6 million related to the ATM were reclassified as a reduction of paid-in-capital. On February 14, 2025, the Company filed a prospectus supplement to amend the previous prospectus supplement to increase the maximum gross sales price from $5.8 million to $10 million. The Company intends to continue an ATM feature through H.C. Wainwright, that would allow the Company to additionally issue shares of its common stock.</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Share Grants and Incentive Stock Options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March 31, 2025, the Company issued 37,250 shares and 35,110 shares of restricted stock, respectively, to advisors and directors. Restricted stock issued to advisors generally cliff-vests on the fourth anniversary of the date of grant and for directors on the one-year anniversary of the date of grant. During the three months ended March 31, 2026 and March 31, 2025, the Company also issued 173,000 and 177,100 incentive stock options, respectively, to employees that cliff-vest on the fourth anniversary of the date of grant, and are largely set to expire in 2036 and 2035, respectively.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 compensation expense is presented as a component of general and administrative expense in the condensed consolidated statements of operations as it relates to these restricted share grants and options. For the three months ended March 31, 2026 and 2025, stock compensation expense was $0.1 million for each period. For the three months ended March 31, 2026 and 2025, we recorded a credit of $6,229 and $3,503, respectively, to stock compensation expense related to the forfeiture of unvested incentive stock options.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Debt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5, 2023, the Company entered into a new Revolving Credit Loan Agreement (the "Loan Agreement") with Pinnacle Bank. This facility provides for an aggregate principal funding amount of up to $25 million. The initial revolving line of credit was up to $20 million, with the ability for Cumberland to increase the amount to $25 million, under certain conditions. It had a 3-year term expiring on October 1, 2026. The interest rate is based on Benchmark (Term SOFR) plus 2.75%. Cumberland was initially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18, 2025, the Company entered into the First Amendment to the Revolving Credit Note and Second Amendment to the Credit Loan Agreement. The Amendment provides for a principal available for borrowing of up to $15 million. The Company has the right to request an increase of up to an additional $10 million. The aggregate principal funding amount remains unchanged of up to $25 million. The Company is subject to a financial covenant, maintenance of a Minimum Fixed Charge Coverage Ratio determined on a quarterly basis, along with Borrowing Base Requirements, as defined. The Amendment extends the maturity date to October 1, 2027.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$5.2 million in borrowings outstanding under its revolving credit facility. The applicable interest rate under the Loan Agreement was 6.375% at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approximately $52.6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2026 and beyond, through the continued utilization of these net operating loss carryforwards, on any taxable income generated from our operations.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taxes and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COLLABORATIVE AGREEMENTS</w:t>
      </w:r>
    </w:p>
    <w:p>
      <w:pPr>
        <w:pStyle w:val="TextBody"/>
        <w:bidi w:val="0"/>
        <w:spacing w:lineRule="auto" w:line="288" w:before="160" w:after="283"/>
        <w:jc w:val="both"/>
        <w:rPr/>
      </w:pPr>
      <w:r>
        <w:rPr>
          <w:rFonts w:ascii="Times New Roman;serif" w:hAnsi="Times New Roman;serif"/>
          <w:b w:val="false"/>
          <w:color w:val="000000"/>
          <w:sz w:val="20"/>
        </w:rPr>
        <w:t xml:space="preserve">Cumberland is a party to several collaborative arrangements with research institutions to identify and pursue promising pharmaceutical product candidates. The funding for these programs is primarily provided through SBIR/STTR programs and other grant awards. The Company has determined that these collaborative agreements, with the exception of the collaborative payment discussed in Note 10, related to Vibativ and Sancuso contingent consideration payments, do not meet the criteria for accounting under ASC Topic 808, </w:t>
      </w:r>
      <w:r>
        <w:rPr>
          <w:rFonts w:ascii="Times New Roman;serif" w:hAnsi="Times New Roman;serif"/>
          <w:b w:val="false"/>
          <w:i/>
          <w:color w:val="000000"/>
          <w:sz w:val="20"/>
        </w:rPr>
        <w:t>Collaborative Agreements</w:t>
      </w:r>
      <w:r>
        <w:rPr>
          <w:rFonts w:ascii="Times New Roman;serif" w:hAnsi="Times New Roman;serif"/>
          <w:b w:val="false"/>
          <w:color w:val="000000"/>
          <w:sz w:val="20"/>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(10) PRODUCT ACQUISITIONS AND RETURN OF PRODUCT RIGHTS</w:t>
      </w:r>
    </w:p>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Vibativ</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an annual $3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fair value of the contingent consideration liability that is remeasured on a recurring basis. The contingent consideration earned and accrued in operating expenses is paid to Theravance quarterly.</w:t>
      </w:r>
    </w:p>
    <w:tbl>
      <w:tblPr>
        <w:tblW w:w="7985" w:type="dxa"/>
        <w:jc w:val="left"/>
        <w:tblInd w:w="0" w:type="dxa"/>
        <w:tblLayout w:type="fixed"/>
        <w:tblCellMar>
          <w:top w:w="28" w:type="dxa"/>
          <w:left w:w="28" w:type="dxa"/>
          <w:bottom w:w="28" w:type="dxa"/>
          <w:right w:w="28" w:type="dxa"/>
        </w:tblCellMar>
      </w:tblPr>
      <w:tblGrid>
        <w:gridCol w:w="2405"/>
        <w:gridCol w:w="2113"/>
        <w:gridCol w:w="2126"/>
        <w:gridCol w:w="211"/>
        <w:gridCol w:w="97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royalty during the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liability of $3.3 million was accounted for as $1.7 million of other current liabilities and $1.6 million of other long-term liabilities on the condensed consolidated balance sheet as of March 31, 2026.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Sancuso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 2022, Cumberland acquired the U.S. rights to the FDA-approved oncology-supportive care medicine Sancuso from Kyowa Kirin, Inc. ("Kyowa Kirin"), the U.S. affiliate of Japan-based Kyowa Kirin Co., Ltd.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acquired U.S. rights to Sancuso and assumed full commercial responsibility for the product in the United States – including its marketing, promotion, distribution, manufacturing and medical support activities. The product’s FDA registration was subsequently transferred from Kyowa Kirin to Cumberland in August 2023.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has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January 2023, Cumberland made a $1.0 million milestone payment to Kyowa Kirin based on the FDA approval of a manufacturing site for the product. In October 2023, Cumberland made a $0.5 million milestone payment based on the successful transfer of the product’s FDA registration from Kyowa Kirin to Cumberland.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remaining $2.0 million in milestones are tied to achievement of certain annual sales levels for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Cumberland has agreed to initially pay a royalty of 10% of on-going net sales of Sancuso. That royalty rate was subsequently reduced to 5% in early 2025.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fair value of the contingent consideration liability that is remeasured on a recurring basis.</w:t>
      </w:r>
    </w:p>
    <w:tbl>
      <w:tblPr>
        <w:tblW w:w="7985" w:type="dxa"/>
        <w:jc w:val="left"/>
        <w:tblInd w:w="0" w:type="dxa"/>
        <w:tblLayout w:type="fixed"/>
        <w:tblCellMar>
          <w:top w:w="28" w:type="dxa"/>
          <w:left w:w="28" w:type="dxa"/>
          <w:bottom w:w="28" w:type="dxa"/>
          <w:right w:w="28" w:type="dxa"/>
        </w:tblCellMar>
      </w:tblPr>
      <w:tblGrid>
        <w:gridCol w:w="2405"/>
        <w:gridCol w:w="2113"/>
        <w:gridCol w:w="2126"/>
        <w:gridCol w:w="211"/>
        <w:gridCol w:w="97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of milestones and royalty during the period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contingent consideration liability earned and accrued in operating expenses is paid to Kyowa Kirin quarterly. The contingent consideration liability of $1.1 million was accounted for as $0.7 million of current liabilities and $0.4 million of other long-term liabilities on the condensed consolidated balance sheet as of March 31, 2026.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RediTrex</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12, 2022, Cumberland entered into an amendment to an agreement with Nordic Group B.V.("Nordic") returning all the U.S. rights to RediTrex back to Nordic including the trademark and market authorization effective June 30, 2023. The companies have cooperated on the transition and Cumberland will receive a long-term royalty on any Nordic sales of the product.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SEGMENT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one reportable segment which is specialty pharmaceutical products. The Company's chief operating decision maker (“CODM”) is its chief executive officer. The CODM uses consolidated, single segment financial information for purposes of evaluating performance, planning and forecasting future period financial results, and allocating resources. 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selected financial information of the Company’s single operating segment for the three months ended March 31, 2026 and 2025 .</w:t>
      </w:r>
    </w:p>
    <w:tbl>
      <w:tblPr>
        <w:tblW w:w="6912" w:type="dxa"/>
        <w:jc w:val="left"/>
        <w:tblInd w:w="0" w:type="dxa"/>
        <w:tblLayout w:type="fixed"/>
        <w:tblCellMar>
          <w:top w:w="28" w:type="dxa"/>
          <w:left w:w="28" w:type="dxa"/>
          <w:bottom w:w="28" w:type="dxa"/>
          <w:right w:w="28" w:type="dxa"/>
        </w:tblCellMar>
      </w:tblPr>
      <w:tblGrid>
        <w:gridCol w:w="1171"/>
        <w:gridCol w:w="1033"/>
        <w:gridCol w:w="1036"/>
        <w:gridCol w:w="217"/>
        <w:gridCol w:w="1083"/>
        <w:gridCol w:w="112"/>
        <w:gridCol w:w="112"/>
        <w:gridCol w:w="112"/>
        <w:gridCol w:w="112"/>
        <w:gridCol w:w="217"/>
        <w:gridCol w:w="1114"/>
        <w:gridCol w:w="112"/>
        <w:gridCol w:w="109"/>
        <w:gridCol w:w="109"/>
        <w:gridCol w:w="109"/>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9,131,317 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11,713,055 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1,933,889 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5,064,875 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4,231,980 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2,554,475 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expenses</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12,260,609 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10,421,108 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(3,129,292)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(3,137,100)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Co-commercialization investment loss</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1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SUBSEQUENT EVENT</w:t>
      </w:r>
    </w:p>
    <w:p>
      <w:pPr>
        <w:pStyle w:val="TextBody"/>
        <w:bidi w:val="0"/>
        <w:spacing w:lineRule="auto" w:line="288" w:before="160" w:after="283"/>
        <w:jc w:val="both"/>
        <w:rPr/>
      </w:pPr>
      <w:r>
        <w:rPr>
          <w:rFonts w:ascii="Times New Roman;serif" w:hAnsi="Times New Roman;serif"/>
          <w:b w:val="false"/>
          <w:color w:val="000000"/>
          <w:sz w:val="20"/>
        </w:rPr>
        <w:t>On April 22, 2026, Cumberland entered into a strategic transaction (the “Transaction”) to integrate its commercial products with the U.S. branded business of an affiliate of Apotex Inc., a corporation incorporated under the laws of the Province of Ontario (“Apotex”), in exchange for $100,000,000 payable at the closing of the Transaction. Through the Transaction, Apotex will create a U.S. branded pharmaceutical platform to build upon, by delivering specialty medicines that improve the quality of patient care. The Transaction will be effected through an Asset Purchase Agreement whereby Apotex will acquire specified assets, including inventory, relating to the Company’s FDA-approved products, which consist of Acetadote</w:t>
      </w:r>
      <w:r>
        <w:rPr>
          <w:rFonts w:ascii="Times New Roman;serif" w:hAnsi="Times New Roman;serif"/>
          <w:b w:val="false"/>
          <w:color w:val="000000"/>
          <w:sz w:val="13"/>
        </w:rPr>
        <w:t>®</w:t>
      </w:r>
      <w:r>
        <w:rPr>
          <w:rFonts w:ascii="Times New Roman;serif" w:hAnsi="Times New Roman;serif"/>
          <w:b w:val="false"/>
          <w:color w:val="000000"/>
          <w:sz w:val="20"/>
        </w:rPr>
        <w:t>, Caldolor</w:t>
      </w:r>
      <w:r>
        <w:rPr>
          <w:rFonts w:ascii="Times New Roman;serif" w:hAnsi="Times New Roman;serif"/>
          <w:b w:val="false"/>
          <w:color w:val="000000"/>
          <w:sz w:val="13"/>
        </w:rPr>
        <w:t>®</w:t>
      </w:r>
      <w:r>
        <w:rPr>
          <w:rFonts w:ascii="Times New Roman;serif" w:hAnsi="Times New Roman;serif"/>
          <w:b w:val="false"/>
          <w:color w:val="000000"/>
          <w:sz w:val="20"/>
        </w:rPr>
        <w:t>, Kristalose</w:t>
      </w:r>
      <w:r>
        <w:rPr>
          <w:rFonts w:ascii="Times New Roman;serif" w:hAnsi="Times New Roman;serif"/>
          <w:b w:val="false"/>
          <w:color w:val="000000"/>
          <w:sz w:val="13"/>
        </w:rPr>
        <w:t>®</w:t>
      </w:r>
      <w:r>
        <w:rPr>
          <w:rFonts w:ascii="Times New Roman;serif" w:hAnsi="Times New Roman;serif"/>
          <w:b w:val="false"/>
          <w:color w:val="000000"/>
          <w:sz w:val="20"/>
        </w:rPr>
        <w:t>, Sancuso</w:t>
      </w:r>
      <w:r>
        <w:rPr>
          <w:rFonts w:ascii="Times New Roman;serif" w:hAnsi="Times New Roman;serif"/>
          <w:b w:val="false"/>
          <w:color w:val="000000"/>
          <w:sz w:val="13"/>
        </w:rPr>
        <w:t>®</w:t>
      </w:r>
      <w:r>
        <w:rPr>
          <w:rFonts w:ascii="Times New Roman;serif" w:hAnsi="Times New Roman;serif"/>
          <w:b w:val="false"/>
          <w:color w:val="000000"/>
          <w:sz w:val="20"/>
        </w:rPr>
        <w:t>, Vaprisol</w:t>
      </w:r>
      <w:r>
        <w:rPr>
          <w:rFonts w:ascii="Times New Roman;serif" w:hAnsi="Times New Roman;serif"/>
          <w:b w:val="false"/>
          <w:color w:val="000000"/>
          <w:sz w:val="13"/>
        </w:rPr>
        <w:t xml:space="preserve">® </w:t>
      </w:r>
      <w:r>
        <w:rPr>
          <w:rFonts w:ascii="Times New Roman;serif" w:hAnsi="Times New Roman;serif"/>
          <w:b w:val="false"/>
          <w:color w:val="000000"/>
          <w:sz w:val="20"/>
        </w:rPr>
        <w:t>and Vibativ</w:t>
      </w:r>
      <w:r>
        <w:rPr>
          <w:rFonts w:ascii="Times New Roman;serif" w:hAnsi="Times New Roman;serif"/>
          <w:b w:val="false"/>
          <w:color w:val="000000"/>
          <w:sz w:val="13"/>
        </w:rPr>
        <w:t>®</w:t>
      </w:r>
      <w:r>
        <w:rPr>
          <w:rFonts w:ascii="Times New Roman;serif" w:hAnsi="Times New Roman;serif"/>
          <w:b w:val="false"/>
          <w:color w:val="000000"/>
          <w:sz w:val="20"/>
        </w:rPr>
        <w:t>, as well as the Company’s certain product related equity interests. Cumberland will retain the assets associated with Cumberland Emerging Technologies, Inc. and the Company’s ifetroban product candidates, which the Company intends to continue to develop following the closing of the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Apotex agreed that, in the event, that prior to the two-year anniversary of the closing of the Transaction, Apotex, or its affiliates is awarded a contract by the United States Department of Health and Human Services (or any division thereof) for the supply of Vibativ for certain specified uses, then Apotex must provide a milestone payment to the Company, subject to the terms and conditions set forth in the Agreement, including the achievement of certain net sales associated with such contract. At the closing of the Transaction, Cumberland intends to enter into a transition services agreement with Apotex, pursuant to which Cumberland will provide Apotex and its affiliates certain transition services following the date of the closing of the Transaction in accordance with the terms and conditions set forth in the transition services agreement. As consideration for the provision of the transition services, Apotex and its affiliates will pay Cumberland $150,000 per month plus reimbursement of certain pre-approved pass-through costs. In addition to the Asset Purchase Agreement, Apotex will also make a one-time payment to Cumberland on the one-year anniversary of the closing of the Transaction to reimburse Cumberland for finished goods inventory received by Apotex in the Transaction in an aggregate amount of $9 million, less finished goods inventory sold by Cumberland on behalf of Apotex under the transition services agreement to be entered into in connection with the closing of the Transaction. A complete estimate of this subsequent event’s financial impact cannot be made at this time.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Transaction has been unanimously approved by the Company’s board of directors (the “Board”). The affirmative vote of the holders of a majority of all outstanding shares of the Company’s stock entitled to vote on the proposal, in person or by proxy, is required to approve the Transaction. The Board has recommended that the Company’s shareholders vote in favor of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4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Disclosure regarding forward-looking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2025,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Pharmaceuticals Inc. ("Cumberland," the "Company," or as used in the context of "we," "us," or "our"), is a specialty pharmaceutical company focused on the acquisition, development and commercialization of branded prescription pharmaceuticals. We are dedicated to our mission of working together to provide unique products that improve the quality of patient care.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We have built a network of established international partners with the needed regulatory and commercial capabilities to register and provide our medicines to patients in their countries.</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portfolio of brands approved for marketing by the U.S. Food and Drug Administration ("FDA") includes: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Acetadote</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acetylcysteine</w:t>
      </w:r>
      <w:r>
        <w:rPr>
          <w:rFonts w:ascii="Times New Roman;serif" w:hAnsi="Times New Roman;serif"/>
          <w:b w:val="false"/>
          <w:color w:val="000000"/>
          <w:sz w:val="20"/>
          <w:shd w:fill="FFFFFF" w:val="clear"/>
        </w:rPr>
        <w:t>) injection, for the treatment of acetaminophen poisoning;</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color w:val="000000"/>
          <w:sz w:val="20"/>
          <w:shd w:fill="FFFFFF" w:val="clear"/>
        </w:rPr>
        <w:t>Caldolor</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ibuprofen</w:t>
      </w:r>
      <w:r>
        <w:rPr>
          <w:rFonts w:ascii="Times New Roman;serif" w:hAnsi="Times New Roman;serif"/>
          <w:b w:val="false"/>
          <w:color w:val="000000"/>
          <w:sz w:val="20"/>
          <w:shd w:fill="FFFFFF" w:val="clear"/>
        </w:rPr>
        <w:t>) injection, for the treatment of pain and fever;</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Kristalose</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lactulose</w:t>
      </w:r>
      <w:r>
        <w:rPr>
          <w:rFonts w:ascii="Times New Roman;serif" w:hAnsi="Times New Roman;serif"/>
          <w:b w:val="false"/>
          <w:color w:val="000000"/>
          <w:sz w:val="20"/>
          <w:shd w:fill="FFFFFF" w:val="clear"/>
        </w:rPr>
        <w:t>) oral solution, a prescription laxative for the treatment of constipation;</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Sancuso</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granisetron</w:t>
      </w:r>
      <w:r>
        <w:rPr>
          <w:rFonts w:ascii="Times New Roman;serif" w:hAnsi="Times New Roman;serif"/>
          <w:b w:val="false"/>
          <w:color w:val="000000"/>
          <w:sz w:val="20"/>
          <w:shd w:fill="FFFFFF" w:val="clear"/>
        </w:rPr>
        <w:t>) transdermal, for the prevention of nausea and vomiting in patients receiving certain types of chemotherapy treatment;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Vaprisol</w:t>
      </w:r>
      <w:r>
        <w:rPr>
          <w:rFonts w:ascii="Times New Roman;serif" w:hAnsi="Times New Roman;serif"/>
          <w:b/>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conivaptan</w:t>
      </w:r>
      <w:r>
        <w:rPr>
          <w:rFonts w:ascii="Times New Roman;serif" w:hAnsi="Times New Roman;serif"/>
          <w:b w:val="false"/>
          <w:color w:val="000000"/>
          <w:sz w:val="20"/>
          <w:shd w:fill="FFFFFF" w:val="clear"/>
        </w:rPr>
        <w:t>) injection, to raise serum sodium levels in hospitalized patients with euvolemic and hypervolemic hyponatremia</w:t>
      </w:r>
      <w:r>
        <w:rPr>
          <w:rFonts w:ascii="Times New Roman;serif" w:hAnsi="Times New Roman;serif"/>
          <w:b w:val="false"/>
          <w:color w:val="B5082E"/>
          <w:sz w:val="20"/>
          <w:shd w:fill="FFFFFF" w:val="clear"/>
        </w:rPr>
        <w: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Vibativ</w:t>
      </w:r>
      <w:r>
        <w:rPr>
          <w:rFonts w:ascii="Times New Roman;serif" w:hAnsi="Times New Roman;serif"/>
          <w:b/>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telavancin</w:t>
      </w:r>
      <w:r>
        <w:rPr>
          <w:rFonts w:ascii="Times New Roman;serif" w:hAnsi="Times New Roman;serif"/>
          <w:b w:val="false"/>
          <w:color w:val="000000"/>
          <w:sz w:val="20"/>
          <w:shd w:fill="FFFFFF" w:val="clear"/>
        </w:rPr>
        <w:t xml:space="preserve">) injection, for the treatment of certain serious bacterial infections including hospital-acquired and ventilator-associated bacterial pneumonia, as well as complicated skin and skin structure infections; and </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Talicia</w:t>
      </w:r>
      <w:r>
        <w:rPr>
          <w:rFonts w:ascii="Times New Roman;serif" w:hAnsi="Times New Roman;serif"/>
          <w:b/>
          <w:color w:val="000000"/>
          <w:sz w:val="13"/>
          <w:shd w:fill="FFFFFF" w:val="clear"/>
        </w:rPr>
        <w:t>®</w:t>
      </w:r>
      <w:r>
        <w:rPr>
          <w:color w:val="000000"/>
        </w:rPr>
        <w:t xml:space="preserve"> </w:t>
      </w:r>
      <w:r>
        <w:rPr>
          <w:rFonts w:ascii="Times New Roman;serif" w:hAnsi="Times New Roman;serif"/>
          <w:b w:val="false"/>
          <w:color w:val="000000"/>
          <w:sz w:val="20"/>
          <w:shd w:fill="FFFFFF" w:val="clear"/>
        </w:rPr>
        <w:t>(</w:t>
      </w:r>
      <w:r>
        <w:rPr>
          <w:rFonts w:ascii="Times New Roman;serif" w:hAnsi="Times New Roman;serif"/>
          <w:b w:val="false"/>
          <w:i/>
          <w:color w:val="000000"/>
          <w:sz w:val="20"/>
          <w:shd w:fill="FFFFFF" w:val="clear"/>
        </w:rPr>
        <w:t>omeprazole magnesium, amoxicillin and rifabutin</w:t>
      </w:r>
      <w:r>
        <w:rPr>
          <w:rFonts w:ascii="Times New Roman;serif" w:hAnsi="Times New Roman;serif"/>
          <w:b w:val="false"/>
          <w:color w:val="000000"/>
          <w:sz w:val="20"/>
          <w:shd w:fill="FFFFFF" w:val="clear"/>
        </w:rPr>
        <w:t xml:space="preserve">) oral capsule, for the treatment of </w:t>
      </w:r>
      <w:r>
        <w:rPr>
          <w:rFonts w:ascii="Times New Roman;serif" w:hAnsi="Times New Roman;serif"/>
          <w:b w:val="false"/>
          <w:i/>
          <w:color w:val="000000"/>
          <w:sz w:val="20"/>
          <w:shd w:fill="FFFFFF" w:val="clear"/>
        </w:rPr>
        <w:t>H. pylori</w:t>
      </w:r>
      <w:r>
        <w:rPr>
          <w:color w:val="000000"/>
          <w:shd w:fill="FFFFFF" w:val="clear"/>
        </w:rPr>
        <w:t xml:space="preserve"> </w:t>
      </w:r>
      <w:r>
        <w:rPr>
          <w:rFonts w:ascii="Times New Roman;serif" w:hAnsi="Times New Roman;serif"/>
          <w:b w:val="false"/>
          <w:color w:val="000000"/>
          <w:sz w:val="20"/>
          <w:shd w:fill="FFFFFF" w:val="clear"/>
        </w:rPr>
        <w:t>infection.</w:t>
      </w:r>
    </w:p>
    <w:p>
      <w:pPr>
        <w:pStyle w:val="TextBody"/>
        <w:bidi w:val="0"/>
        <w:spacing w:lineRule="auto" w:line="288" w:before="160" w:after="283"/>
        <w:jc w:val="both"/>
        <w:rPr/>
      </w:pPr>
      <w:r>
        <w:rPr>
          <w:rFonts w:ascii="Times New Roman;serif" w:hAnsi="Times New Roman;serif"/>
          <w:b w:val="false"/>
          <w:color w:val="000000"/>
          <w:sz w:val="20"/>
        </w:rPr>
        <w:t xml:space="preserve">In addition to these commercial brands, we have announced breakthrough results in a clinical study of our ifetroban product candidate in patients with cardiomyopathy associated with </w:t>
      </w:r>
      <w:r>
        <w:rPr>
          <w:rFonts w:ascii="Times New Roman;serif" w:hAnsi="Times New Roman;serif"/>
          <w:b w:val="false"/>
          <w:i/>
          <w:color w:val="000000"/>
          <w:sz w:val="20"/>
        </w:rPr>
        <w:t xml:space="preserve">Duchenne muscular dystrophy </w:t>
      </w:r>
      <w:r>
        <w:rPr>
          <w:rFonts w:ascii="Times New Roman;serif" w:hAnsi="Times New Roman;serif"/>
          <w:b w:val="false"/>
          <w:color w:val="000000"/>
          <w:sz w:val="20"/>
        </w:rPr>
        <w:t xml:space="preserve">(“DMD”). This rare, fatal genetic neuromuscular disease results in deterioration of the skeletal, heart and lung muscles. We then completed and submitted a clinical study report to the FDA and began interactions to determine their remaining development requirements.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also have Phase II clinical programs underway evaluating our ifetroban product candidate in patients with 1) Systemic Sclerosis (“SSc”) or scleroderma, a debilitating autoimmune disorder characterized by diffuse fibrosis of the skin and internal organs and 2) Idiopathic Pulmonary Fibrosis (“IPF”), the most common form of progressive fibrosing interstitial lung disease. Investigational new study applications have been cleared by the FDA enabling us to launch clinical studies in each of these areas.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Cumberland has built core competencies for the acquisition, development and commercialization of pharmaceutical products in the U.S., and we can leverage this existing infrastructure to support our continued growth. Our management team consists of pharmaceutical industry veterans with experience in business development, product development, regulatory, manufacturing, sales, marketing and finance.</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Our business development </w:t>
      </w:r>
      <w:r>
        <w:rPr>
          <w:rFonts w:ascii="Times New Roman;serif" w:hAnsi="Times New Roman;serif"/>
          <w:b w:val="false"/>
          <w:color w:val="000000"/>
          <w:sz w:val="20"/>
        </w:rPr>
        <w:t>team identifies, evaluates and negotiates product acquisition, licensing and co-promotion arrangements.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GROWTH 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Cumberland’s current growth strategy, prior to closing the transaction with Apotex Inc., involves maximizing the potential of our existing brands, while continuing to build a portfolio of differentiated products. We currently own rights to seven products approved by the FDA in the United States. We have also established international partnerships to bring our medicines to patients in other countries.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Additionally, we look for opportunities to expand our brands into new patient populations through clinical trials, new product presentations and our support of select, investigator-initiated studies. Meanwhile, our clinical team is developing a pipeline of new product candidates to address poorly met medical needs. We also pursue opportunities to acquire additional marketed brands, as well as late-stage development product candidates in our target medical specialties.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supplementing these activities with the earlier-stage product development at Cumberland Emerging Technologies ("CET"), our majority-owned subsidiary. CET partners with academic research institutions to identify and support the progress of promising new product candidates, which Cumberland can further develop and commercialize.</w:t>
      </w:r>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Specifically, we are seeking long-term, sustainable growth by: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 xml:space="preserve">Supporting and expanding the use of our marketed products. </w:t>
      </w:r>
      <w:r>
        <w:rPr>
          <w:rFonts w:ascii="Times New Roman;serif" w:hAnsi="Times New Roman;serif"/>
          <w:b w:val="false"/>
          <w:color w:val="000000"/>
          <w:sz w:val="20"/>
          <w:shd w:fill="FFFFFF" w:val="clear"/>
        </w:rPr>
        <w:t>We continue to evaluate our products following their FDA approval to determine if additional clinical data could expand their market and use. For example, we have secured pediatric approval of Acetadote and Caldolor and expanded the labeling for both brands accordingly. We also added pre-surgery dosing for Caldolor, and more recently included newborns to the patients who can benefit from the product.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Selectively adding complementary brands.</w:t>
      </w:r>
      <w:r>
        <w:rPr>
          <w:color w:val="000000"/>
          <w:shd w:fill="FFFFFF" w:val="clear"/>
        </w:rPr>
        <w:t xml:space="preserve"> </w:t>
      </w:r>
      <w:r>
        <w:rPr>
          <w:rFonts w:ascii="Times New Roman;serif" w:hAnsi="Times New Roman;serif"/>
          <w:b w:val="false"/>
          <w:color w:val="000000"/>
          <w:sz w:val="20"/>
          <w:shd w:fill="FFFFFF" w:val="clear"/>
        </w:rPr>
        <w:t>In addition to our product development activities, we are also seeking to acquire approved brands or 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Progressing our clinical pipeline and incubating future product opportunities at CET.</w:t>
      </w:r>
      <w:r>
        <w:rPr>
          <w:color w:val="000000"/>
          <w:shd w:fill="FFFFFF" w:val="clear"/>
        </w:rPr>
        <w:t xml:space="preserve"> </w:t>
      </w:r>
      <w:r>
        <w:rPr>
          <w:rFonts w:ascii="Times New Roman;serif" w:hAnsi="Times New Roman;serif"/>
          <w:b w:val="false"/>
          <w:color w:val="000000"/>
          <w:sz w:val="20"/>
          <w:shd w:fill="FFFFFF" w:val="clear"/>
        </w:rPr>
        <w:t>We believe it is important to build a pipeline of innovative new product opportunities, as we are doing through our ifetroban Phase II development programs. We are also supplementing our acquisitions and late-stage development activities with the early-stage product development activities at CET.</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Leveraging our infrastructure through co-promotion partnerships.</w:t>
      </w:r>
      <w:r>
        <w:rPr>
          <w:color w:val="000000"/>
          <w:shd w:fill="FFFFFF" w:val="clear"/>
        </w:rPr>
        <w:t xml:space="preserve"> </w:t>
      </w:r>
      <w:r>
        <w:rPr>
          <w:rFonts w:ascii="Times New Roman;serif" w:hAnsi="Times New Roman;serif"/>
          <w:b w:val="false"/>
          <w:color w:val="000000"/>
          <w:sz w:val="20"/>
          <w:shd w:fill="FFFFFF" w:val="clear"/>
        </w:rPr>
        <w:t>We believe that our commercial infrastructure can help drive prescription volume and product sales. We also look for select partners that can complement our capabilities and enhance opportunities for our brands. For example, our co-promotion partnerships have allowed us to expand the support for Kristalose across the United States.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 xml:space="preserve">Building an international contribution to our business. </w:t>
      </w:r>
      <w:r>
        <w:rPr>
          <w:rFonts w:ascii="Times New Roman;serif" w:hAnsi="Times New Roman;serif"/>
          <w:b w:val="false"/>
          <w:color w:val="000000"/>
          <w:sz w:val="20"/>
          <w:shd w:fill="FFFFFF" w:val="clear"/>
        </w:rPr>
        <w:t>We hold the worldwide rights to all our brands except for Sancuso, as we acquired only the U.S. rights for that product. We have established our own commercial capabilities, including three sales divisions, that focus on the U.S. market for our products. We are also working with a network of established international partners to register our products and make them available to patients in their countries. We will continue to support our partners’ registration and commercialization efforts in their respective territories. The acquisition of Vibativ resulted in several new international partners and market opportunities.</w:t>
      </w:r>
    </w:p>
    <w:p>
      <w:pPr>
        <w:pStyle w:val="TextBody"/>
        <w:bidi w:val="0"/>
        <w:spacing w:lineRule="auto" w:line="288" w:before="160" w:after="283"/>
        <w:ind w:left="0" w:right="0" w:hanging="360"/>
        <w:jc w:val="both"/>
        <w:rPr/>
      </w:pPr>
      <w:r>
        <w:rPr>
          <w:color w:val="000000"/>
        </w:rPr>
        <w:t>•</w:t>
      </w:r>
      <w:r>
        <w:rPr>
          <w:rFonts w:ascii="Times New Roman;serif" w:hAnsi="Times New Roman;serif"/>
          <w:b/>
          <w:color w:val="000000"/>
          <w:sz w:val="20"/>
          <w:shd w:fill="FFFFFF" w:val="clear"/>
        </w:rPr>
        <w:t>Managing our operations with financial discipline.</w:t>
      </w:r>
      <w:r>
        <w:rPr>
          <w:color w:val="000000"/>
          <w:shd w:fill="FFFFFF" w:val="clear"/>
        </w:rPr>
        <w:t xml:space="preserve"> </w:t>
      </w:r>
      <w:r>
        <w:rPr>
          <w:rFonts w:ascii="Times New Roman;serif" w:hAnsi="Times New Roman;serif"/>
          <w:b w:val="false"/>
          <w:color w:val="000000"/>
          <w:sz w:val="20"/>
          <w:shd w:fill="FFFFFF" w:val="clear"/>
        </w:rPr>
        <w:t>We continually work to manage our expenses in line with our revenues to deliver positive cash flow from operations. We also seek to maintain favorable gross margins and a strong balance sheet.</w:t>
      </w:r>
    </w:p>
    <w:p>
      <w:pPr>
        <w:pStyle w:val="TextBody"/>
        <w:bidi w:val="0"/>
        <w:spacing w:before="160" w:after="283"/>
        <w:jc w:val="left"/>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Strategic Transaction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recently announced a Strategic Transaction with Apotex, the largest Canadian-based pharmaceutical company to integrate our branded U.S. commercial businesses. Under the terms of the agreement, Apotex will acquire our portfolio of FDA-approved brands for $100 million in cash consideration, subject to our shareholders’ approval and certain other customary closing conditions.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Apotex agreed that, in the event, that prior to the two-year anniversary of the closing of the Transaction, Apotex, or its affiliates is awarded a contract by the United States Department of Health and Human Services (or any division thereof) for the supply of Vibativ for certain specified uses, then Apotex must provide a milestone payment to the Company, subject to the terms and conditions set forth in the Agreement, including the achievement of certain net sales associated with such contract. At the closing of the Transaction, Cumberland intends to enter into a transition services agreement with Apotex, pursuant to which Cumberland will provide Apotex and its affiliates certain transition services following the date of the closing of the Transaction in accordance with the terms and conditions set forth in the transition services agreement. As consideration for the provision of the transition services, Apotex and its affiliates will pay Cumberland $150,000 per month plus reimbursement of certain pre-approved pass-through costs. In addition to the Asset Purchase Agreement, Apotex will also make a one-time payment to Cumberland on the one-year anniversary of the closing of the Transaction to reimburse Cumberland for finished goods inventory received by Apotex in the Transaction in an aggregate amount of $9 million, less finished goods inventory sold by Cumberland on behalf of Apotex under the transition services agreement to be entered into in connection with the closing of the Transaction.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Transaction is designed to unlock value and sharpen our focus on advancing our pipeline of differentiated product candidates designed to address unmet medical needs. Following the closing of the Transaction, we will retain our development programs, as well as our majority ownership in Cumberland Emerging Technologies. This positions Cumberland to then operate with the profile of a development-stage biopharmaceutical organization.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Fast Track Designation from the FDA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FDA granted Fast Track Designation for our ifetroban candidate product, targeting a fatal form of heart disease in Duchenne muscular dystrophy (DMD) patients.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designation is intended to accelerate the development and review of therapies addressing serious conditions with unmet medical needs. Importantly, it allows for more frequent FDA interaction, rolling data submissions and earlier guidance throughout the approval process. The program previously received both Orphan Drug and Rare Pediatric Disease designations from the FDA.</w:t>
      </w:r>
    </w:p>
    <w:p>
      <w:pPr>
        <w:pStyle w:val="TextBody"/>
        <w:bidi w:val="0"/>
        <w:spacing w:lineRule="auto" w:line="288" w:before="160" w:after="283"/>
        <w:jc w:val="both"/>
        <w:rPr/>
      </w:pPr>
      <w:r>
        <w:rPr>
          <w:rFonts w:ascii="Times New Roman;serif" w:hAnsi="Times New Roman;serif"/>
          <w:b/>
          <w:color w:val="000000"/>
          <w:sz w:val="20"/>
        </w:rPr>
        <w:t>U.S. Promotional Launch of Talicia</w:t>
      </w:r>
      <w:r>
        <w:rPr>
          <w:rFonts w:ascii="Times New Roman;serif" w:hAnsi="Times New Roman;serif"/>
          <w:b/>
          <w:color w:val="000000"/>
          <w:sz w:val="13"/>
        </w:rPr>
        <w:t>®</w:t>
      </w:r>
      <w:r>
        <w:rPr>
          <w:color w:val="000000"/>
        </w:rPr>
        <w:t xml:space="preserv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we announced the launch of our national sales promotion for Talicia, under our co-commercialization agreement with Talicia Holding Inc., which we jointly own with RedHill Biopharma. Under this agreement, we assumed responsibility for the distribution and sales promotion of the brand in the U.S.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part of the launch, we are utilizing our existing field sales division which also promotes Kristalose, with supporting marketing initiatives designed to increase awareness among gastroenterologists and other prescribers.</w:t>
      </w:r>
    </w:p>
    <w:p>
      <w:pPr>
        <w:pStyle w:val="TextBody"/>
        <w:bidi w:val="0"/>
        <w:spacing w:lineRule="auto" w:line="288" w:before="160" w:after="283"/>
        <w:jc w:val="both"/>
        <w:rPr/>
      </w:pPr>
      <w:r>
        <w:rPr>
          <w:rFonts w:ascii="Times New Roman;serif" w:hAnsi="Times New Roman;serif"/>
          <w:b/>
          <w:color w:val="000000"/>
          <w:sz w:val="20"/>
        </w:rPr>
        <w:t>New Sancuso</w:t>
      </w:r>
      <w:r>
        <w:rPr>
          <w:rFonts w:ascii="Times New Roman;serif" w:hAnsi="Times New Roman;serif"/>
          <w:b/>
          <w:color w:val="000000"/>
          <w:sz w:val="13"/>
        </w:rPr>
        <w:t>®</w:t>
      </w:r>
      <w:r>
        <w:rPr>
          <w:color w:val="000000"/>
        </w:rPr>
        <w:t xml:space="preserve"> </w:t>
      </w:r>
      <w:r>
        <w:rPr>
          <w:rFonts w:ascii="Times New Roman;serif" w:hAnsi="Times New Roman;serif"/>
          <w:b/>
          <w:color w:val="000000"/>
          <w:sz w:val="20"/>
        </w:rPr>
        <w:t>Website</w:t>
      </w:r>
    </w:p>
    <w:p>
      <w:pPr>
        <w:pStyle w:val="TextBody"/>
        <w:bidi w:val="0"/>
        <w:spacing w:lineRule="auto" w:line="288" w:before="160" w:after="283"/>
        <w:jc w:val="both"/>
        <w:rPr/>
      </w:pPr>
      <w:r>
        <w:rPr>
          <w:rFonts w:ascii="Times New Roman;serif" w:hAnsi="Times New Roman;serif"/>
          <w:b w:val="false"/>
          <w:color w:val="000000"/>
          <w:sz w:val="20"/>
        </w:rPr>
        <w:t>In March 2026, we announced the launch of the new Sancuso website, which is designed to provide health care professionals and patients with enhanced access to educational resources, clinical information and expert insights related to the prevention of chemotherapy-induced nausea and vomiting. The website also features the brand’s key message</w:t>
      </w:r>
      <w:r>
        <w:rPr>
          <w:rFonts w:ascii="Times New Roman;serif" w:hAnsi="Times New Roman;serif"/>
          <w:b w:val="false"/>
          <w:i/>
          <w:color w:val="000000"/>
          <w:sz w:val="20"/>
        </w:rPr>
        <w:t>: “Sancuso – the Difference between Life and Living”</w:t>
      </w:r>
      <w:r>
        <w:rPr>
          <w:rFonts w:ascii="Times New Roman;serif" w:hAnsi="Times New Roman;serif"/>
          <w:b w:val="false"/>
          <w:color w:val="000000"/>
          <w:sz w:val="20"/>
        </w:rPr>
        <w:t>.</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pPr>
      <w:r>
        <w:rPr>
          <w:rFonts w:ascii="Times New Roman;serif" w:hAnsi="Times New Roman;serif"/>
          <w:b/>
          <w:color w:val="000000"/>
          <w:sz w:val="20"/>
        </w:rPr>
        <w:t>Expanded Indication for Caldolor</w:t>
      </w:r>
      <w:r>
        <w:rPr>
          <w:rFonts w:ascii="Times New Roman;serif" w:hAnsi="Times New Roman;serif"/>
          <w:b/>
          <w:color w:val="000000"/>
          <w:sz w:val="13"/>
        </w:rPr>
        <w:t>®</w:t>
      </w:r>
      <w:r>
        <w:rPr>
          <w:color w:val="000000"/>
        </w:rPr>
        <w:t xml:space="preserve"> </w:t>
      </w:r>
    </w:p>
    <w:p>
      <w:pPr>
        <w:pStyle w:val="TextBody"/>
        <w:bidi w:val="0"/>
        <w:spacing w:lineRule="auto" w:line="288" w:before="160" w:after="283"/>
        <w:jc w:val="both"/>
        <w:rPr/>
      </w:pPr>
      <w:r>
        <w:rPr>
          <w:rFonts w:ascii="Times New Roman;serif" w:hAnsi="Times New Roman;serif"/>
          <w:b w:val="false"/>
          <w:color w:val="000000"/>
          <w:sz w:val="20"/>
        </w:rPr>
        <w:t xml:space="preserve">In April 2026, we announced approval from the FDA for an expanded indication for Caldolor. </w:t>
      </w:r>
      <w:r>
        <w:rPr>
          <w:rFonts w:ascii="Times New Roman;serif" w:hAnsi="Times New Roman;serif"/>
          <w:b w:val="false"/>
          <w:color w:val="000000"/>
          <w:sz w:val="21"/>
        </w:rPr>
        <w:t>The</w:t>
      </w:r>
      <w:r>
        <w:rPr>
          <w:color w:val="000000"/>
        </w:rPr>
        <w:t xml:space="preserve"> </w:t>
      </w:r>
      <w:r>
        <w:rPr>
          <w:rFonts w:ascii="Times New Roman;serif" w:hAnsi="Times New Roman;serif"/>
          <w:b w:val="false"/>
          <w:color w:val="000000"/>
          <w:sz w:val="20"/>
        </w:rPr>
        <w:t>indication now includes the management of postoperative pain. This approval enhances the clinical utility of Caldolor and supports its role in non-opioid, and opioid-sparing pain management strategies.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With this update, Caldolor is indicated for use in adult and pediatric patients ages 3 months and older for: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Management of mild to moderate pain, including postoperative pain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Management of moderate to severe pain, including postoperative pain, as an adjunct to opioid analgesics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Reduction of fever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expanded labeling further broadens Caldolor’s use across perioperative and acute care settings.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Tariffs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April 2, 2026, President Trump issued a proclamation under Section 232 of the Trade Expansion Act of 1962, significantly imposing new tariffs on patented pharmaceuticals and pharmaceutical ingredients. We are carefully assessing how these new rules may affect our operations and supply chains. It appears that the tariffs will not apply to our products that are not patented, and that our products originating in Europe and India may involve a low tariff rate based on trade agreements between the U.S. and those countries.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160" w:after="283"/>
        <w:jc w:val="both"/>
        <w:rPr/>
      </w:pPr>
      <w:r>
        <w:rPr>
          <w:rFonts w:ascii="Times New Roman;serif" w:hAnsi="Times New Roman;serif"/>
          <w:b w:val="false"/>
          <w:color w:val="000000"/>
          <w:sz w:val="20"/>
        </w:rPr>
        <w:t>We have entered an exciting time for our Company. While we continue to operate our commercial business, we are also planning to implement the transformational transaction with Apotex</w:t>
      </w:r>
      <w:r>
        <w:rPr>
          <w:rFonts w:ascii="Times New Roman;serif" w:hAnsi="Times New Roman;serif"/>
          <w:b w:val="false"/>
          <w:color w:val="B5082E"/>
          <w:sz w:val="20"/>
        </w:rPr>
        <w:t xml:space="preserve">, </w:t>
      </w:r>
      <w:r>
        <w:rPr>
          <w:rFonts w:ascii="Times New Roman;serif" w:hAnsi="Times New Roman;serif"/>
          <w:b w:val="false"/>
          <w:color w:val="000000"/>
          <w:sz w:val="20"/>
        </w:rPr>
        <w:t xml:space="preserve">following a decision by our shareholders to approve it and satisfaction of the other conditions to closing. We look forward to the opportunity to increase the focus on our pipeline of new medicines that address unmet medical needs for patients. </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60" w:after="283"/>
        <w:jc w:val="both"/>
        <w:rPr/>
      </w:pPr>
      <w:r>
        <w:rPr>
          <w:rFonts w:ascii="Times New Roman;serif" w:hAnsi="Times New Roman;serif"/>
          <w:b w:val="false"/>
          <w:color w:val="000000"/>
          <w:sz w:val="20"/>
        </w:rPr>
        <w:t xml:space="preserve">Please see a discussion of our critical accounting policies and significant judgments and estimates in Note 1 to the Company's Condensed Consolidated Financial Statements accompanying this report and the section entitled </w:t>
      </w:r>
      <w:r>
        <w:rPr>
          <w:rFonts w:ascii="Times New Roman;serif" w:hAnsi="Times New Roman;serif"/>
          <w:b w:val="false"/>
          <w:color w:val="000000"/>
          <w:sz w:val="20"/>
          <w:shd w:fill="FFFFFF" w:val="clear"/>
        </w:rPr>
        <w:t>"</w:t>
      </w:r>
      <w:r>
        <w:rPr>
          <w:rFonts w:ascii="Times New Roman;serif" w:hAnsi="Times New Roman;serif"/>
          <w:b w:val="false"/>
          <w:color w:val="000000"/>
          <w:sz w:val="20"/>
        </w:rPr>
        <w:t>Management’s Discussion and Analysis of Financial Condition and Results of Operations</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in our 2025 Annual Report on Form 10-K.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Accounting Estimates and Judgments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Three months ended March 31, 2026 compared to the three months ended March 31, 2025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interim statements of operations for continuing operations for the three months ended March 31, 2026 and 2025:</w:t>
      </w:r>
    </w:p>
    <w:tbl>
      <w:tblPr>
        <w:tblW w:w="8191" w:type="dxa"/>
        <w:jc w:val="left"/>
        <w:tblInd w:w="0" w:type="dxa"/>
        <w:tblLayout w:type="fixed"/>
        <w:tblCellMar>
          <w:top w:w="28" w:type="dxa"/>
          <w:left w:w="28" w:type="dxa"/>
          <w:bottom w:w="28" w:type="dxa"/>
          <w:right w:w="28" w:type="dxa"/>
        </w:tblCellMar>
      </w:tblPr>
      <w:tblGrid>
        <w:gridCol w:w="1171"/>
        <w:gridCol w:w="1033"/>
        <w:gridCol w:w="1036"/>
        <w:gridCol w:w="211"/>
        <w:gridCol w:w="1051"/>
        <w:gridCol w:w="109"/>
        <w:gridCol w:w="109"/>
        <w:gridCol w:w="109"/>
        <w:gridCol w:w="109"/>
        <w:gridCol w:w="211"/>
        <w:gridCol w:w="1081"/>
        <w:gridCol w:w="109"/>
        <w:gridCol w:w="109"/>
        <w:gridCol w:w="109"/>
        <w:gridCol w:w="109"/>
        <w:gridCol w:w="211"/>
        <w:gridCol w:w="1051"/>
        <w:gridCol w:w="109"/>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12,260,609 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10,421,108 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1,839,501 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Co-commercialization investment loss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net revenues by product for the periods presented: </w:t>
      </w:r>
    </w:p>
    <w:tbl>
      <w:tblPr>
        <w:tblW w:w="6387" w:type="dxa"/>
        <w:jc w:val="left"/>
        <w:tblInd w:w="0" w:type="dxa"/>
        <w:tblLayout w:type="fixed"/>
        <w:tblCellMar>
          <w:top w:w="28" w:type="dxa"/>
          <w:left w:w="28" w:type="dxa"/>
          <w:bottom w:w="28" w:type="dxa"/>
          <w:right w:w="28" w:type="dxa"/>
        </w:tblCellMar>
      </w:tblPr>
      <w:tblGrid>
        <w:gridCol w:w="585"/>
        <w:gridCol w:w="513"/>
        <w:gridCol w:w="522"/>
        <w:gridCol w:w="211"/>
        <w:gridCol w:w="976"/>
        <w:gridCol w:w="109"/>
        <w:gridCol w:w="109"/>
        <w:gridCol w:w="109"/>
        <w:gridCol w:w="109"/>
        <w:gridCol w:w="211"/>
        <w:gridCol w:w="1081"/>
        <w:gridCol w:w="109"/>
        <w:gridCol w:w="109"/>
        <w:gridCol w:w="109"/>
        <w:gridCol w:w="109"/>
        <w:gridCol w:w="211"/>
        <w:gridCol w:w="1051"/>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Talicia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Kristalose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Caldolor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Acetadote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Vaprisol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Omeclamox-Pak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RediTrex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11,713,055 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(2,581,738)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i/>
          <w:color w:val="000000"/>
          <w:sz w:val="20"/>
        </w:rPr>
        <w:t>Net revenues.</w:t>
      </w:r>
      <w:r>
        <w:rPr>
          <w:color w:val="000000"/>
        </w:rPr>
        <w:t xml:space="preserve"> </w:t>
      </w:r>
      <w:r>
        <w:rPr>
          <w:rFonts w:ascii="Times New Roman;serif" w:hAnsi="Times New Roman;serif"/>
          <w:b w:val="false"/>
          <w:color w:val="000000"/>
          <w:sz w:val="20"/>
        </w:rPr>
        <w:t>The total net revenues for the three months ended March 31, 2026, were $9.1 million compared to $11.7 million for the three months ended March 31, 2025. However, the 2025 revenues included a $3.0 million milestone payment associated with the approval of Vibativ in China.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Sancuso revenue was $2.9 million for the first quarter of 2026, compared to $2.3 million for the first quarter of 2025 primarily due to higher sales volume of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Vibativ revenue was $2.1 million for the three months ended March 31, 2026, compared to $1.4 million for the same prior year period, due to higher sales volumes, including growing shipments of the product's 4-Pak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Talicia revenue was $1.9 million for the three months ended March 31, 2026. Shipments of the brand began in October 2025, and therefore there were no product sales during the prior year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Kristalose revenue was $1.0 million for the first quarter of 2026 compared to $3.5 million for the same period in the prior year. The decrease was the result of lower sales volume primarily due to the timing of shipments to one of our co-promotion partners, in addition to increased generic substitution.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Caldolor revenue was $1.0 million for the first quarter of 2026, compared to $1.3 million for the first quarter of 2025. The decrease was primarily due to the timing of international shipments for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Acetadote revenue includes net sales of our Acetadote brand and our share of net sales from our Authorized Generic. During the first quarter of 2026, there was a decrease of $0.1 million in the product's revenue when compared to the prior year period due to being out of inventory for both presentations of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was no Vaprisol revenue for the three months ended March 31, 2026 as Cumberland is currently out of inventory of the product as we await FDA approval on a new manufacturer. The amount represents adjustments of deductions from previous sales of the product.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was $0.2 million for the three months ended March 31, 2026, compared to $3.1 million for the three months ended March 31, 2025. The decrease was primarily due to a milestone payment received in the first quarter of 2025. </w:t>
      </w:r>
    </w:p>
    <w:p>
      <w:pPr>
        <w:pStyle w:val="TextBody"/>
        <w:bidi w:val="0"/>
        <w:spacing w:lineRule="auto" w:line="288" w:before="160" w:after="283"/>
        <w:jc w:val="both"/>
        <w:rPr/>
      </w:pPr>
      <w:r>
        <w:rPr>
          <w:rFonts w:ascii="Times New Roman;serif" w:hAnsi="Times New Roman;serif"/>
          <w:b w:val="false"/>
          <w:i/>
          <w:color w:val="000000"/>
          <w:sz w:val="20"/>
        </w:rPr>
        <w:t>Cost of products sold</w:t>
      </w:r>
      <w:r>
        <w:rPr>
          <w:rFonts w:ascii="Times New Roman;serif" w:hAnsi="Times New Roman;serif"/>
          <w:b w:val="false"/>
          <w:color w:val="000000"/>
          <w:sz w:val="20"/>
        </w:rPr>
        <w:t>. The cost of products sold for the first quarter of 2026 and 2025 were $1.9 million and $1.4 million, respectively. Cost of products sold, as a percentage of net revenues, were 21.2% during the three months ended March 31, 2026, compared to 12.2% during the three months ended March 31, 2025. The percentage increase is primarily due to the impact of a $3.0 million milestone payment received in 2025.</w:t>
      </w:r>
    </w:p>
    <w:p>
      <w:pPr>
        <w:pStyle w:val="TextBody"/>
        <w:bidi w:val="0"/>
        <w:spacing w:lineRule="auto" w:line="288" w:before="160" w:after="283"/>
        <w:jc w:val="both"/>
        <w:rPr/>
      </w:pPr>
      <w:r>
        <w:rPr>
          <w:rFonts w:ascii="Times New Roman;serif" w:hAnsi="Times New Roman;serif"/>
          <w:b w:val="false"/>
          <w:i/>
          <w:color w:val="000000"/>
          <w:sz w:val="20"/>
        </w:rPr>
        <w:t>Selling and marketing</w:t>
      </w:r>
      <w:r>
        <w:rPr>
          <w:rFonts w:ascii="Times New Roman;serif" w:hAnsi="Times New Roman;serif"/>
          <w:b w:val="false"/>
          <w:color w:val="000000"/>
          <w:sz w:val="20"/>
        </w:rPr>
        <w:t>. The selling and marketing expenses for the first quarter of 2026 and 2025, were $5.1 million and $4.2 million, respectively. The increase is primarily due to the costs associated with the addition of Talicia.</w:t>
      </w:r>
    </w:p>
    <w:p>
      <w:pPr>
        <w:pStyle w:val="TextBody"/>
        <w:bidi w:val="0"/>
        <w:spacing w:lineRule="auto" w:line="288" w:before="160" w:after="283"/>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The research and development costs for the three months ended March 31, 2026 and 2025, were $1.5 million and $1.3 million, respectively. A portion of our research and development costs is variable based on the number of trials, study sites, number of patients and the cost per patient in each of our clinical programs. </w:t>
      </w:r>
    </w:p>
    <w:p>
      <w:pPr>
        <w:pStyle w:val="TextBody"/>
        <w:bidi w:val="0"/>
        <w:spacing w:lineRule="auto" w:line="288" w:before="160" w:after="283"/>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The general and administrative expense for the first quarter of 2026 was $2.6 million similar to $2.5 million for the same period in 2025.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statements of operations discussed above reflect the following impacts from Vibativ:</w:t>
      </w:r>
    </w:p>
    <w:tbl>
      <w:tblPr>
        <w:tblW w:w="6021"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11"/>
        <w:gridCol w:w="976"/>
        <w:gridCol w:w="109"/>
        <w:gridCol w:w="109"/>
        <w:gridCol w:w="109"/>
        <w:gridCol w:w="109"/>
        <w:gridCol w:w="211"/>
        <w:gridCol w:w="97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revenue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products sold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Vibativ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949,249 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3,593,949 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Net revenue for 2025 includes $2,975,000 related to a milestone payment received. </w:t>
      </w:r>
    </w:p>
    <w:p>
      <w:pPr>
        <w:pStyle w:val="TextBody"/>
        <w:bidi w:val="0"/>
        <w:spacing w:lineRule="auto" w:line="288" w:before="80" w:after="283"/>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The Vibativ inventory included in the costs of product sold during the period was acquired and paid for by Cumberland as part of the acquisition of the brand during 2018.</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statements of operations discussed above reflect the following impacts from Sancuso:</w:t>
      </w:r>
    </w:p>
    <w:tbl>
      <w:tblPr>
        <w:tblW w:w="6020" w:type="dxa"/>
        <w:jc w:val="left"/>
        <w:tblInd w:w="0" w:type="dxa"/>
        <w:tblLayout w:type="fixed"/>
        <w:tblCellMar>
          <w:top w:w="28" w:type="dxa"/>
          <w:left w:w="28" w:type="dxa"/>
          <w:bottom w:w="28" w:type="dxa"/>
          <w:right w:w="28" w:type="dxa"/>
        </w:tblCellMar>
      </w:tblPr>
      <w:tblGrid>
        <w:gridCol w:w="988"/>
        <w:gridCol w:w="868"/>
        <w:gridCol w:w="873"/>
        <w:gridCol w:w="109"/>
        <w:gridCol w:w="109"/>
        <w:gridCol w:w="109"/>
        <w:gridCol w:w="211"/>
        <w:gridCol w:w="976"/>
        <w:gridCol w:w="109"/>
        <w:gridCol w:w="109"/>
        <w:gridCol w:w="109"/>
        <w:gridCol w:w="109"/>
        <w:gridCol w:w="211"/>
        <w:gridCol w:w="97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Impact of 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Sancuso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1,886,267 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1,182,501 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i/>
          <w:color w:val="000000"/>
          <w:sz w:val="20"/>
        </w:rPr>
        <w:t>Amortization.</w:t>
      </w:r>
      <w:r>
        <w:rPr>
          <w:color w:val="000000"/>
        </w:rPr>
        <w:t xml:space="preserve"> </w:t>
      </w:r>
      <w:r>
        <w:rPr>
          <w:rFonts w:ascii="Times New Roman;serif" w:hAnsi="Times New Roman;serif"/>
          <w:b w:val="false"/>
          <w:color w:val="000000"/>
          <w:sz w:val="20"/>
        </w:rPr>
        <w:t xml:space="preserve">The amortization expense is the ratable use of our capitalized intangible assets including product and license rights, patents, trademarks and patent defense costs. Amortization for the three months ended March 31, 2026 and 2025, totaled approximately $1.2 million and $1.0 million, respectively. </w:t>
      </w:r>
    </w:p>
    <w:p>
      <w:pPr>
        <w:pStyle w:val="TextBody"/>
        <w:bidi w:val="0"/>
        <w:spacing w:lineRule="auto" w:line="288" w:before="160" w:after="283"/>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The income tax expense for the three months ended March 31, 2026, and for the three months ended March 31, 2025 was minimal for each year.</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Research and Development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primary components of our research and development expenses for the three months ended March 31, 2026 and 2025.</w:t>
      </w:r>
    </w:p>
    <w:tbl>
      <w:tblPr>
        <w:tblW w:w="7511" w:type="dxa"/>
        <w:jc w:val="left"/>
        <w:tblInd w:w="0" w:type="dxa"/>
        <w:tblLayout w:type="fixed"/>
        <w:tblCellMar>
          <w:top w:w="28" w:type="dxa"/>
          <w:left w:w="28" w:type="dxa"/>
          <w:bottom w:w="28" w:type="dxa"/>
          <w:right w:w="28" w:type="dxa"/>
        </w:tblCellMar>
      </w:tblPr>
      <w:tblGrid>
        <w:gridCol w:w="1418"/>
        <w:gridCol w:w="1247"/>
        <w:gridCol w:w="1249"/>
        <w:gridCol w:w="476"/>
        <w:gridCol w:w="464"/>
        <w:gridCol w:w="467"/>
        <w:gridCol w:w="246"/>
        <w:gridCol w:w="246"/>
        <w:gridCol w:w="246"/>
        <w:gridCol w:w="476"/>
        <w:gridCol w:w="404"/>
        <w:gridCol w:w="572"/>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tc>
        <w:tc>
          <w:tcPr>
            <w:tcW w:w="359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External research and development expenses</w:t>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500,745</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expenses</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408,208</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357,700</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external</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external expenses</w:t>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924,752</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783,596</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Internal research and development expenses</w:t>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477,594</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456,006</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internal</w:t>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56,090</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expenses</w:t>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533,684</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511,480</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476"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1,458,436</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1,295,076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liquidity and working capital as of March 31, 2026 and December 31, 2025:</w:t>
      </w:r>
    </w:p>
    <w:tbl>
      <w:tblPr>
        <w:tblW w:w="8530" w:type="dxa"/>
        <w:jc w:val="left"/>
        <w:tblInd w:w="0" w:type="dxa"/>
        <w:tblLayout w:type="fixed"/>
        <w:tblCellMar>
          <w:top w:w="28" w:type="dxa"/>
          <w:left w:w="28" w:type="dxa"/>
          <w:bottom w:w="28" w:type="dxa"/>
          <w:right w:w="28" w:type="dxa"/>
        </w:tblCellMar>
      </w:tblPr>
      <w:tblGrid>
        <w:gridCol w:w="1809"/>
        <w:gridCol w:w="1588"/>
        <w:gridCol w:w="1597"/>
        <w:gridCol w:w="217"/>
        <w:gridCol w:w="1111"/>
        <w:gridCol w:w="112"/>
        <w:gridCol w:w="109"/>
        <w:gridCol w:w="109"/>
        <w:gridCol w:w="109"/>
        <w:gridCol w:w="258"/>
        <w:gridCol w:w="1323"/>
        <w:gridCol w:w="188"/>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11,007,245 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11,444,693 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(current assets less current liabilities)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(1,698,794)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ratio (multiple of current assets to current liabilities)</w:t>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 availability</w:t>
            </w:r>
          </w:p>
        </w:tc>
        <w:tc>
          <w:tcPr>
            <w:tcW w:w="21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9,759,267 </w:t>
            </w:r>
          </w:p>
        </w:tc>
        <w:tc>
          <w:tcPr>
            <w:tcW w:w="11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9,759,267 </w:t>
            </w:r>
          </w:p>
        </w:tc>
        <w:tc>
          <w:tcPr>
            <w:tcW w:w="18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net changes in cash and cash equivalents for the three months ended March 31, 2026 and March 31, 2025:</w:t>
      </w:r>
    </w:p>
    <w:tbl>
      <w:tblPr>
        <w:tblW w:w="6458" w:type="dxa"/>
        <w:jc w:val="left"/>
        <w:tblInd w:w="0" w:type="dxa"/>
        <w:tblLayout w:type="fixed"/>
        <w:tblCellMar>
          <w:top w:w="28" w:type="dxa"/>
          <w:left w:w="28" w:type="dxa"/>
          <w:bottom w:w="28" w:type="dxa"/>
          <w:right w:w="28" w:type="dxa"/>
        </w:tblCellMar>
      </w:tblPr>
      <w:tblGrid>
        <w:gridCol w:w="1265"/>
        <w:gridCol w:w="1110"/>
        <w:gridCol w:w="1119"/>
        <w:gridCol w:w="211"/>
        <w:gridCol w:w="901"/>
        <w:gridCol w:w="109"/>
        <w:gridCol w:w="109"/>
        <w:gridCol w:w="109"/>
        <w:gridCol w:w="109"/>
        <w:gridCol w:w="211"/>
        <w:gridCol w:w="105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3,898,517 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(5,526,102)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(2,855,771)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net $0.4 million decrease in cash and cash equivalents for the three months ended March 31, 2026, was primarily attributable to $0.8 million of cash used in financing activities and $0.1 million of cash used in investing activities, partially offset by $0.4 million of cash provided by operating activities.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totaled $0.4 million for the three months ended March 31, 2026, primarily due to a $2.7 million decrease in accounts receivable, a $1.3 million increase in depreciation and amortization expense, a $0.7 million decrease in inventory and a $0.4 million decrease in other assets. These cash inflow items were partially offset by the $3.3 million net loss and $1.3 million due to a decrease in accounts payable and other current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totaled $0.1 million which was the result of an increase in cash surrender value of life insurance policies and additions to intangible assets.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totaled $0.8 million for the three months ended March 31, 2026, primarily due to $0.7 million for cash settlement of contingent consideration and $0.1 million in cash used to repurchase shares of our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net $2.9 million decrease in cash and cash equivalents for the three months ended March 31, 2025, was primarily attributable to $6.8 million of cash used in financing and investing activities, partially offset by $3.9 million of cash provided by operating activities. Cash provided by operating activities totaled $3.9 million for the three months ended March 31, 2025, primarily due to the $1.2 million net income, adjusted by adding back a $1.2 million decrease in accounts receivable, a $1.0 million decrease in inventory, $0.3 million in amortization of operating lease right-of-use assets and $1.0 million in depreciation and amortization expense, partially offset by deducting a $0.2 million decrease in operating lease liability and a $0.6 million decrease in accounts payable and other current liabilities. Cash used in financing activities totaled $5.5 million for the three months ended March 31, 2025, primarily due to $10.0 million in payments on our line of credit, $0.5 million for cash settlement of contingent consideration, and $0.2 million in cash used to repurchase shares of our common stock, partially offset by $5.3 million in proceeds from our ATM offering.</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Debt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September 5, 2023, the Company entered into a new Revolving Credit Loan Agreement with Pinnacle Bank. This facility provides for an aggregate principal funding amount of up to $25 million. The initial revolving line of credit was up to $20 million, with the ability for Cumberland to increase the amount to $25 million, under certain conditions. It had a three year term expiring on October 1, 2026. The interest rate is based on Benchmark (Term SOFR) plus 2.75%. Cumberland was subject to one financial covenant, the maintenance of a Funded Debt Ratio, determined on a quarterly basis. Borrowings under the line of credit are collateralized by substantially all of our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6, 2024, the Company entered into a First Amendment to the Loan Agreement which provided an alternative to the financial covenant by delivering to the lender a borrowing base certificate and complying with certain borrowing base requirements which set forth a maximum revolver amount equal to the lessor of (a) up to $20 million or (b) the sum of the Company's cash balances and eligible accounts receivable.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18, 2025, the Company entered into the First Amendment to the Revolving Credit Note and Second Amendment to the Credit Loan Agreement. The Amendment provides for a principal available for borrowing of up to $15 million. The Company has the right to request an increase of up to an additional $10 million. The aggregate principal funding amount remains unchanged of up to $25 million. The Company is subject to a financial covenant, maintenance of a Minimum Fixed Charge Coverage Ratio determined on a quarterly basis, along with Borrowing Base Requirements, as defined. The Amendment extends the maturity date to October 1,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did not engage in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March 31, 2026.</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 risk related to borrowings under our line of credit was based on Term SOFR plus an interest rate spread. The pricing under the Loan Agreement provides for an interest rate spread of 1.75% to 2.75% above Term SOFR with a minimum Term SOFR of 0.90%. The applicable interest rate under the Loan Agreement was 6.375% at March 31, 2026. As of March 31, 2026, we had $5.2 million in borrowings outstanding under our revolving credit facility.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Exchange Rate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three months ended March 31, 2026 and 2025. Neither a five percent increase nor decrease from current exchange rates would have a material effect on our operating results or financial condition.</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there has not been any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Part I, Item 1. Financial Statements, Notes to Unaudited Condensed Consolidated Financial Statements, Note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by month, during the three months ended March 31, 2026:</w:t>
      </w:r>
    </w:p>
    <w:tbl>
      <w:tblPr>
        <w:tblW w:w="10205" w:type="dxa"/>
        <w:jc w:val="center"/>
        <w:tblInd w:w="0" w:type="dxa"/>
        <w:tblLayout w:type="fixed"/>
        <w:tblCellMar>
          <w:top w:w="28" w:type="dxa"/>
          <w:left w:w="28" w:type="dxa"/>
          <w:bottom w:w="28" w:type="dxa"/>
          <w:right w:w="28" w:type="dxa"/>
        </w:tblCellMar>
      </w:tblPr>
      <w:tblGrid>
        <w:gridCol w:w="303"/>
        <w:gridCol w:w="266"/>
        <w:gridCol w:w="272"/>
        <w:gridCol w:w="109"/>
        <w:gridCol w:w="109"/>
        <w:gridCol w:w="109"/>
        <w:gridCol w:w="334"/>
        <w:gridCol w:w="334"/>
        <w:gridCol w:w="335"/>
        <w:gridCol w:w="109"/>
        <w:gridCol w:w="109"/>
        <w:gridCol w:w="109"/>
        <w:gridCol w:w="285"/>
        <w:gridCol w:w="285"/>
        <w:gridCol w:w="286"/>
        <w:gridCol w:w="109"/>
        <w:gridCol w:w="109"/>
        <w:gridCol w:w="109"/>
        <w:gridCol w:w="848"/>
        <w:gridCol w:w="848"/>
        <w:gridCol w:w="850"/>
        <w:gridCol w:w="109"/>
        <w:gridCol w:w="109"/>
        <w:gridCol w:w="109"/>
        <w:gridCol w:w="1067"/>
        <w:gridCol w:w="1067"/>
        <w:gridCol w:w="1517"/>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(or Units)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Paid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Share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(or Approximate Dollar Value) of Shares (or Units) that May be Purchased Under the Publicly Announced Plans or Programs</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$61,000.99</w:t>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36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20,245 shares were repurchased directly in private purchases at the then-current fair market value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modified or terminated a Rule 10b5-1 trading arrangement or a non-Rule 10b5-1 trading arrangement during the three months ended March 31, 2026, as such terms are defined under Item 408(a) of Regulation S-K.</w:t>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2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1"/>
        <w:gridCol w:w="202"/>
        <w:gridCol w:w="206"/>
        <w:gridCol w:w="109"/>
        <w:gridCol w:w="109"/>
        <w:gridCol w:w="109"/>
        <w:gridCol w:w="2744"/>
        <w:gridCol w:w="2673"/>
        <w:gridCol w:w="3802"/>
      </w:tblGrid>
      <w:tr>
        <w:trPr/>
        <w:tc>
          <w:tcPr>
            <w:tcW w:w="2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75" w:after="30"/>
              <w:jc w:val="both"/>
              <w:rPr/>
            </w:pPr>
            <w:hyperlink r:id="rId2">
              <w:r>
                <w:rPr>
                  <w:rStyle w:val="InternetLink"/>
                  <w:rFonts w:ascii="Times New Roman;serif" w:hAnsi="Times New Roman;serif"/>
                  <w:b w:val="false"/>
                  <w:color w:val="3051F2"/>
                  <w:sz w:val="20"/>
                  <w:u w:val="single"/>
                </w:rPr>
                <w:t>Employment Agreement dated March 4, 2026, effective as of January 1, 2026, by and between A.J. Kazimi and Cumberland Pharmaceuticals Inc., incorporated herein by reference to Exhibit 10.11 of the Company’s Annual Report on Form 10-K (File No. 001-33637) as filed with the SEC on March 9, 2026.</w:t>
              </w:r>
            </w:hyperlink>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3">
              <w:r>
                <w:rPr>
                  <w:rStyle w:val="InternetLink"/>
                  <w:rFonts w:ascii="Times New Roman;serif" w:hAnsi="Times New Roman;serif"/>
                  <w:b w:val="false"/>
                  <w:color w:val="3051F2"/>
                  <w:sz w:val="20"/>
                  <w:u w:val="single"/>
                </w:rPr>
                <w:t>Employment Agreement dated March 4, 2026, effective as of January 1, 2026, by and between Jim Herman and Cumberland Pharmaceuticals Inc. incorporated herein by reference to Exhibit 10.12 of the Company’s Annual Report on Form 10-K (File No. 001-33637) as filed with the SEC on March 9, 2026.</w:t>
              </w:r>
            </w:hyperlink>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4">
              <w:r>
                <w:rPr>
                  <w:rStyle w:val="InternetLink"/>
                  <w:rFonts w:ascii="Times New Roman;serif" w:hAnsi="Times New Roman;serif"/>
                  <w:b w:val="false"/>
                  <w:color w:val="3051F2"/>
                  <w:sz w:val="20"/>
                  <w:u w:val="single"/>
                </w:rPr>
                <w:t>Employment Agreement dated March 4, 2026, effective as of January 1, 2026, by and between Todd Anthony and Cumberland Pharmaceuticals Inc., incorporated herein by reference to Exhibit 10.13 of the Company’s Annual Report on Form 10-K (File No. 001-33637) as filed with the SEC on March 9, 2026.</w:t>
              </w:r>
            </w:hyperlink>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5">
              <w:r>
                <w:rPr>
                  <w:rStyle w:val="InternetLink"/>
                  <w:rFonts w:ascii="Times New Roman;serif" w:hAnsi="Times New Roman;serif"/>
                  <w:b w:val="false"/>
                  <w:color w:val="3051F2"/>
                  <w:sz w:val="20"/>
                  <w:u w:val="single"/>
                </w:rPr>
                <w:t>Employment Agreement dated March 4, 2026, effective as of January 1, 2026, by and between Chris Bitterman and Cumberland Pharmaceuticals Inc., incorporated herein by reference to Exhibit 10.14 of the Company’s Annual Report on Form 10-K (File No. 001-33637) as filed with the SEC on March 9, 2026.</w:t>
              </w:r>
            </w:hyperlink>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88" w:before="75" w:after="30"/>
              <w:jc w:val="both"/>
              <w:rPr/>
            </w:pPr>
            <w:hyperlink r:id="rId6">
              <w:r>
                <w:rPr>
                  <w:rStyle w:val="InternetLink"/>
                  <w:rFonts w:ascii="Times New Roman;serif" w:hAnsi="Times New Roman;serif"/>
                  <w:b w:val="false"/>
                  <w:color w:val="3051F2"/>
                  <w:sz w:val="20"/>
                  <w:u w:val="single"/>
                </w:rPr>
                <w:t>Employment Agreement dated March 4, 2026, effective as of January 1, 2026, by and between John M. Hamm and Cumberland Pharmaceuticals Inc., incorporated herein by reference to Exhibit 10.15 of the Company’s Annual Report on Form 10-K (File No. 001-33637) as filed with the SEC on March 9, 2026</w:t>
              </w:r>
            </w:hyperlink>
            <w:r>
              <w:rPr>
                <w:rFonts w:ascii="Times New Roman;serif" w:hAnsi="Times New Roman;serif"/>
                <w:b w:val="false"/>
                <w:color w:val="3051F2"/>
                <w:sz w:val="20"/>
              </w:rPr>
              <w:t>.</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1-exhibit311.htm">
              <w:r>
                <w:rPr>
                  <w:rStyle w:val="InternetLink"/>
                  <w:rFonts w:ascii="Times New Roman;serif" w:hAnsi="Times New Roman;serif"/>
                  <w:b w:val="false"/>
                  <w:color w:val="3051F2"/>
                  <w:sz w:val="20"/>
                  <w:u w:val="single"/>
                </w:rPr>
                <w:t>Certification of Chief Executive Officer Pursuant to Rule 13-14(a) of the Securities Exchange Act of 1934 as Adopted Pursuant to Section 302 of the Sarbanes-Oxley Act of 2002.</w:t>
              </w:r>
            </w:hyperlink>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1-exhibit312.htm">
              <w:r>
                <w:rPr>
                  <w:rStyle w:val="InternetLink"/>
                  <w:rFonts w:ascii="Times New Roman;serif" w:hAnsi="Times New Roman;serif"/>
                  <w:b w:val="false"/>
                  <w:color w:val="3051F2"/>
                  <w:sz w:val="20"/>
                  <w:u w:val="single"/>
                </w:rPr>
                <w:t>Certification of Chief Financial Officer Pursuant to Rule 13-14(a) of the Securities Exchange Act of 1934 as Adopted Pursuant to Section 302 of the Sarbanes-Oxley Act of 2002.</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6q1-exhibit321.htm">
              <w:r>
                <w:rPr>
                  <w:rStyle w:val="InternetLink"/>
                  <w:rFonts w:ascii="Times New Roman;serif" w:hAnsi="Times New Roman;serif"/>
                  <w:b w:val="false"/>
                  <w:color w:val="3051F2"/>
                  <w:sz w:val="20"/>
                  <w:u w:val="single"/>
                </w:rPr>
                <w:t>Certification of Chief Executive Officer and Chief Financial Officer Pursuant to 18 U.S.C. Section 1350, as Adopted Pursuant to Section 906 of the Sarbanes-Oxley Act of 2002.</w:t>
              </w:r>
            </w:hyperlink>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Filed herewith.</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9" w:type="dxa"/>
            <w:gridSpan w:val="3"/>
            <w:tcBorders/>
            <w:tcMar>
              <w:top w:w="0" w:type="dxa"/>
              <w:left w:w="0" w:type="dxa"/>
              <w:bottom w:w="0" w:type="dxa"/>
              <w:right w:w="0" w:type="dxa"/>
            </w:tcMar>
            <w:vAlign w:val="center"/>
          </w:tcPr>
          <w:p>
            <w:pPr>
              <w:pStyle w:val="TableContents"/>
              <w:bidi w:val="0"/>
              <w:spacing w:lineRule="auto" w:line="288" w:before="75" w:after="30"/>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Indicates a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8857"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109"/>
        <w:gridCol w:w="109"/>
        <w:gridCol w:w="109"/>
        <w:gridCol w:w="303"/>
        <w:gridCol w:w="303"/>
        <w:gridCol w:w="303"/>
        <w:gridCol w:w="303"/>
        <w:gridCol w:w="303"/>
        <w:gridCol w:w="303"/>
        <w:gridCol w:w="1271"/>
        <w:gridCol w:w="1271"/>
        <w:gridCol w:w="182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Duly Authorized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4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A.J. Kazimi, certify that:</w:t>
      </w:r>
    </w:p>
    <w:tbl>
      <w:tblPr>
        <w:tblW w:w="6056" w:type="dxa"/>
        <w:jc w:val="left"/>
        <w:tblInd w:w="0" w:type="dxa"/>
        <w:tblLayout w:type="fixed"/>
        <w:tblCellMar>
          <w:top w:w="28" w:type="dxa"/>
          <w:left w:w="28" w:type="dxa"/>
          <w:bottom w:w="28" w:type="dxa"/>
          <w:right w:w="28" w:type="dxa"/>
        </w:tblCellMar>
      </w:tblPr>
      <w:tblGrid>
        <w:gridCol w:w="124"/>
        <w:gridCol w:w="109"/>
        <w:gridCol w:w="109"/>
        <w:gridCol w:w="1674"/>
        <w:gridCol w:w="1674"/>
        <w:gridCol w:w="2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Form 10-Q of Cumberland Pharmaceuticals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956" w:type="dxa"/>
        <w:jc w:val="left"/>
        <w:tblInd w:w="0" w:type="dxa"/>
        <w:tblLayout w:type="fixed"/>
        <w:tblCellMar>
          <w:top w:w="28" w:type="dxa"/>
          <w:left w:w="28" w:type="dxa"/>
          <w:bottom w:w="28" w:type="dxa"/>
          <w:right w:w="28" w:type="dxa"/>
        </w:tblCellMar>
      </w:tblPr>
      <w:tblGrid>
        <w:gridCol w:w="417"/>
        <w:gridCol w:w="368"/>
        <w:gridCol w:w="370"/>
        <w:gridCol w:w="134"/>
        <w:gridCol w:w="134"/>
        <w:gridCol w:w="136"/>
        <w:gridCol w:w="109"/>
        <w:gridCol w:w="109"/>
        <w:gridCol w:w="109"/>
        <w:gridCol w:w="604"/>
        <w:gridCol w:w="604"/>
        <w:gridCol w:w="862"/>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A.J. Kazimi</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Kazimi</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Hamm, certify that:</w:t>
      </w:r>
    </w:p>
    <w:tbl>
      <w:tblPr>
        <w:tblW w:w="6056" w:type="dxa"/>
        <w:jc w:val="left"/>
        <w:tblInd w:w="0" w:type="dxa"/>
        <w:tblLayout w:type="fixed"/>
        <w:tblCellMar>
          <w:top w:w="28" w:type="dxa"/>
          <w:left w:w="28" w:type="dxa"/>
          <w:bottom w:w="28" w:type="dxa"/>
          <w:right w:w="28" w:type="dxa"/>
        </w:tblCellMar>
      </w:tblPr>
      <w:tblGrid>
        <w:gridCol w:w="124"/>
        <w:gridCol w:w="109"/>
        <w:gridCol w:w="109"/>
        <w:gridCol w:w="1674"/>
        <w:gridCol w:w="1674"/>
        <w:gridCol w:w="2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Form 10-Q of Cumberland Pharmaceuticals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95" w:type="dxa"/>
        <w:jc w:val="left"/>
        <w:tblInd w:w="0" w:type="dxa"/>
        <w:tblLayout w:type="fixed"/>
        <w:tblCellMar>
          <w:top w:w="28" w:type="dxa"/>
          <w:left w:w="28" w:type="dxa"/>
          <w:bottom w:w="28" w:type="dxa"/>
          <w:right w:w="28" w:type="dxa"/>
        </w:tblCellMar>
      </w:tblPr>
      <w:tblGrid>
        <w:gridCol w:w="417"/>
        <w:gridCol w:w="368"/>
        <w:gridCol w:w="370"/>
        <w:gridCol w:w="134"/>
        <w:gridCol w:w="134"/>
        <w:gridCol w:w="136"/>
        <w:gridCol w:w="109"/>
        <w:gridCol w:w="109"/>
        <w:gridCol w:w="109"/>
        <w:gridCol w:w="588"/>
        <w:gridCol w:w="588"/>
        <w:gridCol w:w="833"/>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CHIEF EXECUTIVE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fiscal quarter ended March 31, 2026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tbl>
      <w:tblPr>
        <w:tblW w:w="10062" w:type="dxa"/>
        <w:jc w:val="left"/>
        <w:tblInd w:w="0" w:type="dxa"/>
        <w:tblLayout w:type="fixed"/>
        <w:tblCellMar>
          <w:top w:w="28" w:type="dxa"/>
          <w:left w:w="28" w:type="dxa"/>
          <w:bottom w:w="28" w:type="dxa"/>
          <w:right w:w="28" w:type="dxa"/>
        </w:tblCellMar>
      </w:tblPr>
      <w:tblGrid>
        <w:gridCol w:w="124"/>
        <w:gridCol w:w="109"/>
        <w:gridCol w:w="109"/>
        <w:gridCol w:w="2841"/>
        <w:gridCol w:w="2841"/>
        <w:gridCol w:w="4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J. Kazimi</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Kazimi</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Hamm</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8, 2026</w:t>
            </w:r>
          </w:p>
        </w:tc>
      </w:tr>
    </w:tbl>
    <w:p>
      <w:pPr>
        <w:pStyle w:val="TextBody"/>
        <w:bidi w:val="0"/>
        <w:spacing w:lineRule="auto" w:line="288" w:before="0" w:after="0"/>
        <w:jc w:val="left"/>
        <w:rPr>
          <w:color w:val="000000"/>
        </w:rPr>
      </w:pPr>
      <w:r>
        <w:rPr>
          <w:color w:val="000000"/>
        </w:rPr>
        <w:t> </w:t>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7294/000108729426000020/ex1011-ajkazimixemployment.htm" TargetMode="External"/><Relationship Id="rId3" Type="http://schemas.openxmlformats.org/officeDocument/2006/relationships/hyperlink" Target="https://www.sec.gov/Archives/edgar/data/1087294/000108729426000020/ex1012-jimhermanxemploymen.htm" TargetMode="External"/><Relationship Id="rId4" Type="http://schemas.openxmlformats.org/officeDocument/2006/relationships/hyperlink" Target="https://www.sec.gov/Archives/edgar/data/1087294/000108729426000020/ex1013-toddanthonyxemploym.htm" TargetMode="External"/><Relationship Id="rId5" Type="http://schemas.openxmlformats.org/officeDocument/2006/relationships/hyperlink" Target="https://www.sec.gov/Archives/edgar/data/1087294/000108729426000020/ex1014-chrisbittermanxempl.htm" TargetMode="External"/><Relationship Id="rId6" Type="http://schemas.openxmlformats.org/officeDocument/2006/relationships/hyperlink" Target="https://www.sec.gov/Archives/edgar/data/1087294/000108729426000020/ex1015-johnhammxemploymen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13934</Words>
  <Characters>80479</Characters>
  <CharactersWithSpaces>93524</CharactersWithSpaces>
  <Paragraphs>1368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