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0"/>
          <w:szCs w:val="20"/>
          <w:color w:val="auto"/>
        </w:rPr>
        <w:t>UNITED STATES</w:t>
      </w:r>
    </w:p>
    <w:p>
      <w:pPr>
        <w:spacing w:after="0" w:line="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________________________________</w:t>
      </w:r>
    </w:p>
    <w:p>
      <w:pPr>
        <w:spacing w:after="0" w:line="2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color w:val="auto"/>
        </w:rPr>
        <w:t>FORM 8-K</w:t>
      </w:r>
    </w:p>
    <w:p>
      <w:pPr>
        <w:spacing w:after="0" w:line="3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________________________________</w:t>
      </w:r>
    </w:p>
    <w:p>
      <w:pPr>
        <w:spacing w:after="0" w:line="1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36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10, 2020 (November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CUMBERLAND PHARMACEUTICALS INC.</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7"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Tennessee</w:t>
            </w:r>
          </w:p>
        </w:tc>
        <w:tc>
          <w:tcPr>
            <w:tcW w:w="170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70"/>
        </w:trPr>
        <w:tc>
          <w:tcPr>
            <w:tcW w:w="334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84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200" w:lineRule="exact"/>
        <w:rPr>
          <w:sz w:val="24"/>
          <w:szCs w:val="24"/>
          <w:color w:val="auto"/>
        </w:rPr>
      </w:pPr>
    </w:p>
    <w:p>
      <w:pPr>
        <w:spacing w:after="0" w:line="30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6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3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7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7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7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9" w:lineRule="exact"/>
        <w:rPr>
          <w:sz w:val="24"/>
          <w:szCs w:val="24"/>
          <w:color w:val="auto"/>
        </w:rPr>
      </w:pPr>
    </w:p>
    <w:p>
      <w:pPr>
        <w:jc w:val="center"/>
        <w:ind w:left="500" w:right="1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7" w:lineRule="exact"/>
        <w:rPr>
          <w:sz w:val="24"/>
          <w:szCs w:val="24"/>
          <w:color w:val="auto"/>
        </w:rPr>
      </w:pPr>
    </w:p>
    <w:p>
      <w:pPr>
        <w:jc w:val="both"/>
        <w:ind w:left="1020" w:right="3580"/>
        <w:spacing w:after="0" w:line="646" w:lineRule="auto"/>
        <w:rPr>
          <w:sz w:val="24"/>
          <w:szCs w:val="24"/>
          <w:color w:val="auto"/>
        </w:rPr>
      </w:pPr>
      <w:r>
        <w:rPr>
          <w:rFonts w:ascii="Times New Roman" w:cs="Times New Roman" w:eastAsia="Times New Roman" w:hAnsi="Times New Roman"/>
          <w:sz w:val="17"/>
          <w:szCs w:val="17"/>
          <w:color w:val="auto"/>
        </w:rPr>
        <w:t>Written communications pursuant to Rule 425 under the Securities Act (17 CFR 230.425) Soliciting material pursuant to Rule 14a-12 under the Exchange Act (17 CFR 240.14a-12)</w:t>
      </w:r>
    </w:p>
    <w:p>
      <w:pPr>
        <w:jc w:val="both"/>
        <w:ind w:left="1020" w:right="1980"/>
        <w:spacing w:after="0" w:line="613" w:lineRule="auto"/>
        <w:rPr>
          <w:sz w:val="24"/>
          <w:szCs w:val="24"/>
          <w:color w:val="auto"/>
        </w:rPr>
      </w:pPr>
      <w:r>
        <w:rPr>
          <w:rFonts w:ascii="Times New Roman" w:cs="Times New Roman" w:eastAsia="Times New Roman" w:hAnsi="Times New Roman"/>
          <w:sz w:val="17"/>
          <w:szCs w:val="17"/>
          <w:color w:val="auto"/>
        </w:rPr>
        <w:t>Pre-commencement communications pursuant to Rule 14d-2(b) under the Exchange Act (17 CFR 240.14d-2(b)) Pre-commencement communications pursuant to Rule 13e-4(c) under the Exchange Act (17 CFR 240.13e-4(c))</w:t>
      </w:r>
    </w:p>
    <w:p>
      <w:pPr>
        <w:spacing w:after="0"/>
        <w:rPr>
          <w:sz w:val="24"/>
          <w:szCs w:val="24"/>
          <w:color w:val="auto"/>
        </w:rPr>
      </w:pPr>
      <w:r>
        <w:rPr>
          <w:rFonts w:ascii="Times New Roman" w:cs="Times New Roman" w:eastAsia="Times New Roman" w:hAnsi="Times New Roman"/>
          <w:sz w:val="18"/>
          <w:szCs w:val="18"/>
          <w:color w:val="auto"/>
        </w:rPr>
        <w:t>Securities registered pursuant to Section 12(b) of the Act:</w:t>
      </w:r>
    </w:p>
    <w:p>
      <w:pPr>
        <w:spacing w:after="0" w:line="387" w:lineRule="exact"/>
        <w:rPr>
          <w:sz w:val="24"/>
          <w:szCs w:val="24"/>
          <w:color w:val="auto"/>
        </w:rPr>
      </w:pPr>
    </w:p>
    <w:tbl>
      <w:tblPr>
        <w:tblLayout w:type="fixed"/>
        <w:tblInd w:w="380" w:type="dxa"/>
        <w:tblCellMar>
          <w:top w:w="0" w:type="dxa"/>
          <w:left w:w="0" w:type="dxa"/>
          <w:bottom w:w="0" w:type="dxa"/>
          <w:right w:w="0" w:type="dxa"/>
        </w:tblCellMar>
      </w:tblPr>
      <w:tr>
        <w:trPr>
          <w:trHeight w:val="234"/>
        </w:trPr>
        <w:tc>
          <w:tcPr>
            <w:tcW w:w="3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Class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exchanged on 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CPIX</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080"/>
          </w:cols>
          <w:pgMar w:left="320" w:top="657" w:right="49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38" w:lineRule="exact"/>
        <w:rPr>
          <w:sz w:val="20"/>
          <w:szCs w:val="20"/>
          <w:color w:val="auto"/>
        </w:rPr>
      </w:pPr>
    </w:p>
    <w:p>
      <w:pPr>
        <w:jc w:val="both"/>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November 10, 2020, Cumberland Pharmaceuticals Inc. (the "Company") issued a press release which provided a company update and the financial results for the three and nine months ended September 30, 2020. A copy of the press release is attached as </w:t>
      </w:r>
      <w:hyperlink w:anchor="page4">
        <w:r>
          <w:rPr>
            <w:rFonts w:ascii="Times New Roman" w:cs="Times New Roman" w:eastAsia="Times New Roman" w:hAnsi="Times New Roman"/>
            <w:sz w:val="20"/>
            <w:szCs w:val="20"/>
            <w:u w:val="single" w:color="auto"/>
            <w:color w:val="0000FF"/>
          </w:rPr>
          <w:t>Exhibit 99.1</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to this Current Report on Form 8-K and is incorporated by reference into this Item 2.02.</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80" w:lineRule="exact"/>
        <w:rPr>
          <w:sz w:val="20"/>
          <w:szCs w:val="20"/>
          <w:color w:val="auto"/>
        </w:rPr>
      </w:pPr>
    </w:p>
    <w:tbl>
      <w:tblPr>
        <w:tblLayout w:type="fixed"/>
        <w:tblInd w:w="1340" w:type="dxa"/>
        <w:tblCellMar>
          <w:top w:w="0" w:type="dxa"/>
          <w:left w:w="0" w:type="dxa"/>
          <w:bottom w:w="0" w:type="dxa"/>
          <w:right w:w="0" w:type="dxa"/>
        </w:tblCellMar>
      </w:tblPr>
      <w:tr>
        <w:trPr>
          <w:trHeight w:val="17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5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513"/>
        </w:trPr>
        <w:tc>
          <w:tcPr>
            <w:tcW w:w="172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99.1</w:t>
              </w:r>
            </w:hyperlink>
          </w:p>
        </w:tc>
        <w:tc>
          <w:tcPr>
            <w:tcW w:w="1120" w:type="dxa"/>
            <w:vAlign w:val="bottom"/>
          </w:tcPr>
          <w:p>
            <w:pPr>
              <w:spacing w:after="0"/>
              <w:rPr>
                <w:sz w:val="24"/>
                <w:szCs w:val="24"/>
                <w:color w:val="auto"/>
              </w:rPr>
            </w:pPr>
          </w:p>
        </w:tc>
        <w:tc>
          <w:tcPr>
            <w:tcW w:w="576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Press release dated November 10, 2020</w:t>
              </w:r>
            </w:hyperlink>
          </w:p>
        </w:tc>
      </w:tr>
    </w:tbl>
    <w:p>
      <w:pPr>
        <w:sectPr>
          <w:pgSz w:w="11900" w:h="16838" w:orient="portrait"/>
          <w:cols w:equalWidth="0" w:num="1">
            <w:col w:w="11240"/>
          </w:cols>
          <w:pgMar w:left="320" w:top="75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385" w:lineRule="exact"/>
        <w:rPr>
          <w:sz w:val="20"/>
          <w:szCs w:val="20"/>
          <w:color w:val="auto"/>
        </w:rPr>
      </w:pPr>
    </w:p>
    <w:p>
      <w:pPr>
        <w:ind w:left="40"/>
        <w:spacing w:after="0"/>
        <w:tabs>
          <w:tab w:leader="none" w:pos="7000" w:val="left"/>
          <w:tab w:leader="none" w:pos="8340" w:val="left"/>
        </w:tabs>
        <w:rPr>
          <w:sz w:val="20"/>
          <w:szCs w:val="20"/>
          <w:color w:val="auto"/>
        </w:rPr>
      </w:pPr>
      <w:r>
        <w:rPr>
          <w:rFonts w:ascii="Times New Roman" w:cs="Times New Roman" w:eastAsia="Times New Roman" w:hAnsi="Times New Roman"/>
          <w:sz w:val="18"/>
          <w:szCs w:val="18"/>
          <w:color w:val="auto"/>
        </w:rPr>
        <w:t>Dated: November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35560</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Michael Bonner</w:t>
      </w:r>
    </w:p>
    <w:p>
      <w:pPr>
        <w:spacing w:after="0" w:line="63"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17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500380</wp:posOffset>
            </wp:positionV>
            <wp:extent cx="349758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CUMBERLAND PHARMACEUTICALS REPORTS</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THIRD QUARTER 2020 FINANCIAL RESULTS &amp; COMPANY UPDATE</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NASHVILLE, Tennessee (Tuesday, November 10, 2020) - Cumberland Pharmaceuticals Inc. (NASDAQ: CPIX)</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specialty pharmaceutical company today is providing a company update and third quarter 2020 financial results. Net revenues from continuing operations during the quarter were $9.3 million. The company also recorded an additional $750,000 in revenue during the third quarter associated with divested product rights for two brands it is no longer distributing.</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Company's financial position included $96 million in total assets - with $27 million in cash, $48 million of total liabilities, and $48 million of shareholders’ equity at the end of the quarter.</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"As we move to the close of 2020, we recognize that it has been a particularly difficult year with the pandemic impacting all our daily lives," said A.J. Kazimi, Chief Executive Officer of Cumberland Pharmaceuticals. "Overall, our third quarter was quite successful, given all the challenges of operating a business in the wake of the pandemic. We were able to generate solid financial performance and advance on important initiatives."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RECENT COMPANY DEVELOPMENTS: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Cumberland’s Vibativ product is being used to help COVID-19 patients who develop bacterial infections in their lungs. Vibativ is a patented, FDA-approved injectable anti-infective for the treatment of certain serious bacterial infections including hospital-acquired and ventilator-associated bacterial pneumonia that can result from COVID-19, flu, and other infections. It addresses a range of Gram-positive bacterial pathogens, including those that are considered difficult-to-treat and multidrug-resistant.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RediTrex</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Launch</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is now finalizing plans for the launch of its newly FDA-approved RediTrex product line. Cumberland will initially implement a soft launch during the fourth quarter of 2020 and intends to follow with a full commercial launch of the brand next spring. The Company believes that RediTrex will be a valuable addition to the portfolio and help further diversify and grow its business.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RediTrex is approved for patients with severe, active rheumatoid arthritis and polyarticular juvenile idiopathic arthritis who have difficulty tolerating or responding to orally delivered methotrexate. It is also approved for symptomatic control of severe, recalcitrant, disabling psoriasis in adults who are not adequately responsive to other forms of therapy.</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Clinical Manuscripts</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During the third quarter, Cumberland announced a study published in the </w:t>
      </w:r>
      <w:r>
        <w:rPr>
          <w:rFonts w:ascii="Times New Roman" w:cs="Times New Roman" w:eastAsia="Times New Roman" w:hAnsi="Times New Roman"/>
          <w:sz w:val="22"/>
          <w:szCs w:val="22"/>
          <w:i w:val="1"/>
          <w:iCs w:val="1"/>
          <w:color w:val="auto"/>
        </w:rPr>
        <w:t>Journal of Orthopedic Trauma</w:t>
      </w:r>
      <w:r>
        <w:rPr>
          <w:rFonts w:ascii="Times New Roman" w:cs="Times New Roman" w:eastAsia="Times New Roman" w:hAnsi="Times New Roman"/>
          <w:sz w:val="22"/>
          <w:szCs w:val="22"/>
          <w:color w:val="auto"/>
        </w:rPr>
        <w:t>, evaluating the efficacy of Caldolor administration in the management of acute pain in orthopedic trauma patients. The study also measured Caldolor’s ability in minimizing opioid use. This single-center, randomized, double-blind, placebo-controlled study found that Caldolor (ibuprofen) Injection reduced the quantity of opioids required to manage pain after a traumatic injury with fracture. In addition, the time to first narcotic medication was longer in the Caldolor group than with hospital standard of care. Pain was also managed better in the Caldolor group compared to standard of care narcotics.</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Additionally, the results of a review of nine clinical studies evaluating Caldolor was announced. The comprehensive review was published in the journal, </w:t>
      </w:r>
      <w:r>
        <w:rPr>
          <w:rFonts w:ascii="Times New Roman" w:cs="Times New Roman" w:eastAsia="Times New Roman" w:hAnsi="Times New Roman"/>
          <w:sz w:val="22"/>
          <w:szCs w:val="22"/>
          <w:i w:val="1"/>
          <w:iCs w:val="1"/>
          <w:color w:val="auto"/>
        </w:rPr>
        <w:t>Clinical Therapeutics</w:t>
      </w:r>
      <w:r>
        <w:rPr>
          <w:rFonts w:ascii="Times New Roman" w:cs="Times New Roman" w:eastAsia="Times New Roman" w:hAnsi="Times New Roman"/>
          <w:sz w:val="22"/>
          <w:szCs w:val="22"/>
          <w:color w:val="auto"/>
        </w:rPr>
        <w:t>, and involved over 1,000 adult patients, with over 750 receiving Caldolor and another 300 receiving placebo or a comparator medication. The data noted that the use of Caldolor improved post-surgery recovery, decreased surgical stress, and reduced the use of opioids and over-the-counter medication. The study review determined that patients given Caldolor experienced less postoperative pain and decreased opioid use. Study authors also concluded that the rapid administration and preemptive use of Caldolor should be considered in Enhanced Recovery After Surgery protocols for the management of postoperative pain including that of traumatic origin.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Revolving Credit Loan Agreement</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 October 2020, Cumberland entered into a Third Amendment to the Revolving Credit Note and Fourth Amendment (“Fourth Amendment”) to the Revolving Credit Loan Agreement with Pinnacle Bank (the “Pinnacle Agreement”). The original Pinnacle Agreement was dated July 31, 2017. The Fourth Amendment provides for a principal available for borrowing of up to $15 million and Cumberland has the ability to request an increase of up to an additional $5 million, upon the satisfaction of certain conditions and approval by Pinnacle Bank. If fully expanded, the Fourth Amendment would provide a maximum principal available for borrowing of up to $20 million, which was also the maximum aggregate principal available for borrowing under the previously amended Pinnacle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Fourth Amendment extends the maturity date of the Pinnacle Agreement through October 1,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Ifetroban Phase II Clinical Programs</w:t>
      </w:r>
    </w:p>
    <w:p>
      <w:pPr>
        <w:spacing w:after="0" w:line="22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Enrollment in Cumberland's clinical studies significantly slowed during 2020 due to the COVID-19 pandemic. While enrollment of new patients was limited, the Company ensured that patients already entered into a trial continued to receive their study drug.</w:t>
      </w:r>
    </w:p>
    <w:p>
      <w:pPr>
        <w:spacing w:after="0" w:line="1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During the third quarter, some of Cumberland's clinical study sites reopened and resumed screening of patients for potential enrollment into the Company's studies.</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Cumberland has completed a pilot Phase II study involving ifetroban in patients suffering from aspirin-exacerbated respiratory disease, a severe form of asthma. A follow-up Phase II study is currently underway for this asthma indication.</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is also currently evaluating ifetroban in two pilot Phase II studies in 1) patients with systemic sclerosis or scleroderma, a debilitating autoimmune disorder characterized by diffuse fibrosis of the skin and internal organs and 2) patients with cardiomyopathy associated with Duchenne Muscular Dystrophy. This rare, fatal, genetic neuromuscular disease results in deterioration of the skeletal, heart and lung muscles.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Cumberland is awaiting further study results before deciding on the best path for approval for ifetroban, its first new chemical entity.</w:t>
      </w:r>
    </w:p>
    <w:p>
      <w:pPr>
        <w:sectPr>
          <w:pgSz w:w="11900" w:h="16838" w:orient="portrait"/>
          <w:cols w:equalWidth="0" w:num="1">
            <w:col w:w="11240"/>
          </w:cols>
          <w:pgMar w:left="320" w:top="60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r>
        <w:rPr>
          <w:rFonts w:ascii="Times New Roman" w:cs="Times New Roman" w:eastAsia="Times New Roman" w:hAnsi="Times New Roman"/>
          <w:sz w:val="22"/>
          <w:szCs w:val="22"/>
          <w:b w:val="1"/>
          <w:bCs w:val="1"/>
          <w:color w:val="auto"/>
        </w:rPr>
        <w:t>:</w:t>
      </w:r>
    </w:p>
    <w:p>
      <w:pPr>
        <w:spacing w:after="0" w:line="3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Net Revenues: </w:t>
      </w:r>
      <w:r>
        <w:rPr>
          <w:rFonts w:ascii="Times New Roman" w:cs="Times New Roman" w:eastAsia="Times New Roman" w:hAnsi="Times New Roman"/>
          <w:sz w:val="22"/>
          <w:szCs w:val="22"/>
          <w:color w:val="auto"/>
        </w:rPr>
        <w:t>For the three months ended September 30, 2020, net revenues from ongoing operations were $9.3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compared to $6.9 million for the prior year period. The company also recorded an additional $750,000 in revenue during the third quarter associated with divested product rights.</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Net revenue by product for the three months ended September 30, 2020, included $3.6 million for Kristalose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$2.8 million for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$1.4 million for Caldolor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$0.2 million for Acetadote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(including the brand and Company's Authorized Generic), $0.5 million for Omeclamox</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-Pak, and $0.4 million for Vaprisol</w:t>
      </w:r>
      <w:r>
        <w:rPr>
          <w:rFonts w:ascii="Times New Roman" w:cs="Times New Roman" w:eastAsia="Times New Roman" w:hAnsi="Times New Roman"/>
          <w:sz w:val="28"/>
          <w:szCs w:val="28"/>
          <w:color w:val="auto"/>
          <w:vertAlign w:val="superscript"/>
        </w:rPr>
        <w:t>®</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the nine months ended September 30, 2020, net revenues were $27.2 million, up 8.4% from $25.1 million for the prior year period.</w:t>
      </w:r>
    </w:p>
    <w:p>
      <w:pPr>
        <w:spacing w:after="0" w:line="20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Operating Expenses: </w:t>
      </w:r>
      <w:r>
        <w:rPr>
          <w:rFonts w:ascii="Times New Roman" w:cs="Times New Roman" w:eastAsia="Times New Roman" w:hAnsi="Times New Roman"/>
          <w:sz w:val="22"/>
          <w:szCs w:val="22"/>
          <w:color w:val="auto"/>
        </w:rPr>
        <w:t>Total operating expenses for the three months ended September 30, 2020, were $10.5 million, compared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$10.1 million during the prior year period.</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Total operating expenses for the first nine months of 2020 were $31.8 million compared to $31.0 million for the nine months ended September 30, 2019.</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Earnings: </w:t>
      </w:r>
      <w:r>
        <w:rPr>
          <w:rFonts w:ascii="Times New Roman" w:cs="Times New Roman" w:eastAsia="Times New Roman" w:hAnsi="Times New Roman"/>
          <w:sz w:val="22"/>
          <w:szCs w:val="22"/>
          <w:color w:val="auto"/>
        </w:rPr>
        <w:t>Net income (loss) for the third quarter 2020 was $(0.5) million or $(0.03) a share, compared to $(2.0) million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$(0.13) a share for the prior year period.</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Adjusted Earnings (loss) for the third quarter were $0.2 million or $0.02 per diluted share, compared to $(1.7) million or $(0.11) per diluted share for the prior year period.</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Balance Sheet: </w:t>
      </w:r>
      <w:r>
        <w:rPr>
          <w:rFonts w:ascii="Times New Roman" w:cs="Times New Roman" w:eastAsia="Times New Roman" w:hAnsi="Times New Roman"/>
          <w:sz w:val="22"/>
          <w:szCs w:val="22"/>
          <w:color w:val="auto"/>
        </w:rPr>
        <w:t>At September 30, 2020, Cumberland had $96.0 million in total assets including $26.6 million in cash and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Total liabilities were $48.2 million, including $17.0 million outstanding on the Company's revolving line of credit, resulting in total shareholders' equity of $47.9 million.</w:t>
      </w:r>
    </w:p>
    <w:p>
      <w:pPr>
        <w:sectPr>
          <w:pgSz w:w="11900" w:h="16838" w:orient="portrait"/>
          <w:cols w:equalWidth="0" w:num="1">
            <w:col w:w="11240"/>
          </w:cols>
          <w:pgMar w:left="320" w:top="6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Conference Call and Webcast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 conference call and live internet webcast will be held on Tuesday, November 10, at 4:30 p.m. Eastern Time to discuss the results. To participate in the call, please dial 877-303-1298 (for U.S. callers) or 253-237-1032 (for international callers). A rebroadcast of the teleconference will be available for one week and can be accessed by dialing 855-859-2056 (for U.S. callers) or 404-537-3406 (for international callers). The Conference ID for the rebroadcast is 4484046. The live webcast and rebroadcast can be accessed via Cumberland’s website at </w:t>
      </w:r>
      <w:r>
        <w:rPr>
          <w:rFonts w:ascii="Times New Roman" w:cs="Times New Roman" w:eastAsia="Times New Roman" w:hAnsi="Times New Roman"/>
          <w:sz w:val="22"/>
          <w:szCs w:val="22"/>
          <w:u w:val="single" w:color="auto"/>
          <w:color w:val="0000FF"/>
        </w:rPr>
        <w:t>http://investor.shareholder.com/cpix/events.cfm</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Cumberland Pharmaceuticals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Cumberland Pharmaceuticals Inc. is a specialty pharmaceutical company focused on the delivery of high quality prescription brands to improve patient care. The Company develops, acquires and commercializes brands for the hospital acute care, gastroenterology and oncology market segments. These medical specialties are categorized by moderately concentrated prescriber bases that the Company believes can be penetrated effectively by targeted sales forces. The Company’s portfolio of FDA-approved brands includes:</w:t>
      </w:r>
    </w:p>
    <w:p>
      <w:pPr>
        <w:spacing w:after="0" w:line="170" w:lineRule="exact"/>
        <w:rPr>
          <w:sz w:val="20"/>
          <w:szCs w:val="20"/>
          <w:color w:val="auto"/>
        </w:rPr>
      </w:pPr>
    </w:p>
    <w:p>
      <w:pPr>
        <w:ind w:left="580" w:hanging="329"/>
        <w:spacing w:after="0"/>
        <w:tabs>
          <w:tab w:leader="none" w:pos="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ibuprofen</w:t>
      </w:r>
      <w:r>
        <w:rPr>
          <w:rFonts w:ascii="Times New Roman" w:cs="Times New Roman" w:eastAsia="Times New Roman" w:hAnsi="Times New Roman"/>
          <w:sz w:val="22"/>
          <w:szCs w:val="22"/>
          <w:color w:val="auto"/>
        </w:rPr>
        <w:t>) Injection, for the treatment of pain and fever;</w:t>
      </w:r>
    </w:p>
    <w:p>
      <w:pPr>
        <w:spacing w:after="0" w:line="150"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lactulose</w:t>
      </w:r>
      <w:r>
        <w:rPr>
          <w:rFonts w:ascii="Times New Roman" w:cs="Times New Roman" w:eastAsia="Times New Roman" w:hAnsi="Times New Roman"/>
          <w:sz w:val="22"/>
          <w:szCs w:val="22"/>
          <w:color w:val="auto"/>
        </w:rPr>
        <w:t>) for Oral Solution, a prescription laxative, for the treatment of chronic and acute constipation;</w:t>
      </w:r>
    </w:p>
    <w:p>
      <w:pPr>
        <w:spacing w:after="0" w:line="150" w:lineRule="exact"/>
        <w:rPr>
          <w:rFonts w:ascii="Times New Roman" w:cs="Times New Roman" w:eastAsia="Times New Roman" w:hAnsi="Times New Roman"/>
          <w:sz w:val="18"/>
          <w:szCs w:val="18"/>
          <w:color w:val="auto"/>
        </w:rPr>
      </w:pPr>
    </w:p>
    <w:p>
      <w:pPr>
        <w:ind w:left="560" w:hanging="323"/>
        <w:spacing w:after="0" w:line="229"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telavancin</w:t>
      </w:r>
      <w:r>
        <w:rPr>
          <w:rFonts w:ascii="Times New Roman" w:cs="Times New Roman" w:eastAsia="Times New Roman" w:hAnsi="Times New Roman"/>
          <w:sz w:val="22"/>
          <w:szCs w:val="22"/>
          <w:color w:val="auto"/>
        </w:rPr>
        <w:t>) Injection, for the treatment of certain serious bacterial infections including hospital-acquired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ventilator-associated bacterial pneumonia, as well as complicated skin and skin structure infections.</w:t>
      </w:r>
    </w:p>
    <w:p>
      <w:pPr>
        <w:spacing w:after="0" w:line="180" w:lineRule="exact"/>
        <w:rPr>
          <w:rFonts w:ascii="Times New Roman" w:cs="Times New Roman" w:eastAsia="Times New Roman" w:hAnsi="Times New Roman"/>
          <w:sz w:val="18"/>
          <w:szCs w:val="18"/>
          <w:color w:val="auto"/>
        </w:rPr>
      </w:pPr>
    </w:p>
    <w:p>
      <w:pPr>
        <w:ind w:left="560" w:right="700" w:hanging="323"/>
        <w:spacing w:after="0" w:line="229"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RediTrex</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(methotrexate)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Injection, for the treatment of active rheumatoid, juvenile idiopathic and severe psoriatic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arthritis, as well as disabling psoriasis;</w:t>
      </w:r>
    </w:p>
    <w:p>
      <w:pPr>
        <w:spacing w:after="0" w:line="180" w:lineRule="exact"/>
        <w:rPr>
          <w:rFonts w:ascii="Times New Roman" w:cs="Times New Roman" w:eastAsia="Times New Roman" w:hAnsi="Times New Roman"/>
          <w:sz w:val="18"/>
          <w:szCs w:val="18"/>
          <w:color w:val="auto"/>
        </w:rPr>
      </w:pPr>
    </w:p>
    <w:p>
      <w:pPr>
        <w:ind w:left="580" w:hanging="329"/>
        <w:spacing w:after="0" w:line="229" w:lineRule="auto"/>
        <w:tabs>
          <w:tab w:leader="none" w:pos="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conivaptan</w:t>
      </w:r>
      <w:r>
        <w:rPr>
          <w:rFonts w:ascii="Times New Roman" w:cs="Times New Roman" w:eastAsia="Times New Roman" w:hAnsi="Times New Roman"/>
          <w:sz w:val="22"/>
          <w:szCs w:val="22"/>
          <w:color w:val="auto"/>
        </w:rPr>
        <w:t>) Injection, to raise serum sodium levels in hospitalized patients with euvolemic and hypervolemic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hyponatremia;</w:t>
      </w:r>
    </w:p>
    <w:p>
      <w:pPr>
        <w:spacing w:after="0" w:line="180" w:lineRule="exact"/>
        <w:rPr>
          <w:rFonts w:ascii="Times New Roman" w:cs="Times New Roman" w:eastAsia="Times New Roman" w:hAnsi="Times New Roman"/>
          <w:sz w:val="18"/>
          <w:szCs w:val="18"/>
          <w:color w:val="auto"/>
        </w:rPr>
      </w:pPr>
    </w:p>
    <w:p>
      <w:pPr>
        <w:ind w:left="580" w:hanging="329"/>
        <w:spacing w:after="0" w:line="229" w:lineRule="auto"/>
        <w:tabs>
          <w:tab w:leader="none" w:pos="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Omeclamox</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-Pak</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omeprazole, clarithromycin, amoxicillin</w:t>
      </w:r>
      <w:r>
        <w:rPr>
          <w:rFonts w:ascii="Times New Roman" w:cs="Times New Roman" w:eastAsia="Times New Roman" w:hAnsi="Times New Roman"/>
          <w:sz w:val="22"/>
          <w:szCs w:val="22"/>
          <w:color w:val="auto"/>
        </w:rPr>
        <w:t>) for the treatment of Helicobacter pylori (</w:t>
      </w:r>
      <w:r>
        <w:rPr>
          <w:rFonts w:ascii="Times New Roman" w:cs="Times New Roman" w:eastAsia="Times New Roman" w:hAnsi="Times New Roman"/>
          <w:sz w:val="22"/>
          <w:szCs w:val="22"/>
          <w:i w:val="1"/>
          <w:iCs w:val="1"/>
          <w:color w:val="auto"/>
        </w:rPr>
        <w:t>H. pylori</w:t>
      </w:r>
      <w:r>
        <w:rPr>
          <w:rFonts w:ascii="Times New Roman" w:cs="Times New Roman" w:eastAsia="Times New Roman" w:hAnsi="Times New Roman"/>
          <w:sz w:val="22"/>
          <w:szCs w:val="22"/>
          <w:color w:val="auto"/>
        </w:rPr>
        <w:t>) infection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related duodenal ulcer disease;</w:t>
      </w:r>
    </w:p>
    <w:p>
      <w:pPr>
        <w:spacing w:after="0" w:line="180"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acetylcysteine</w:t>
      </w:r>
      <w:r>
        <w:rPr>
          <w:rFonts w:ascii="Times New Roman" w:cs="Times New Roman" w:eastAsia="Times New Roman" w:hAnsi="Times New Roman"/>
          <w:sz w:val="22"/>
          <w:szCs w:val="22"/>
          <w:color w:val="auto"/>
        </w:rPr>
        <w:t>) Injection, for the treatment of acetaminophen poisoning.</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For more information on Cumberland’s approved products, including full prescribing information, please visit links to the individual product websites, which can be found on the Company’s website </w:t>
      </w:r>
      <w:r>
        <w:rPr>
          <w:rFonts w:ascii="Times New Roman" w:cs="Times New Roman" w:eastAsia="Times New Roman" w:hAnsi="Times New Roman"/>
          <w:sz w:val="22"/>
          <w:szCs w:val="22"/>
          <w:u w:val="single" w:color="auto"/>
          <w:color w:val="0000FF"/>
        </w:rPr>
        <w:t>www.cumberlandpharma.com</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has Phase II clinical programs underway evaluating its ifetroban product candidates in patients with cardiomyopathy associated with Duchenne Muscular Dystrophy (“DMD”), Systemic Sclerosis (“SSc”), and Aspirin-Exacerbated Respiratory Disease ("AERD").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(ibuprofen) Injection</w:t>
      </w:r>
    </w:p>
    <w:p>
      <w:pPr>
        <w:spacing w:after="0" w:line="1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Times New Roman" w:cs="Times New Roman" w:eastAsia="Times New Roman" w:hAnsi="Times New Roman"/>
          <w:sz w:val="22"/>
          <w:szCs w:val="22"/>
          <w:u w:val="single" w:color="auto"/>
          <w:color w:val="0000FF"/>
        </w:rPr>
        <w:t>www.caldolor.com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6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About 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(lactulose) Oral Solution</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Times New Roman" w:cs="Times New Roman" w:eastAsia="Times New Roman" w:hAnsi="Times New Roman"/>
          <w:sz w:val="21"/>
          <w:szCs w:val="21"/>
          <w:u w:val="single" w:color="auto"/>
          <w:color w:val="0000FF"/>
        </w:rPr>
        <w:t>www.kristalose.com</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(telavancin) for Injection</w:t>
      </w:r>
    </w:p>
    <w:p>
      <w:pPr>
        <w:spacing w:after="0" w:line="16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color w:val="auto"/>
        </w:rPr>
        <w:t xml:space="preserve">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Times New Roman" w:cs="Times New Roman" w:eastAsia="Times New Roman" w:hAnsi="Times New Roman"/>
          <w:sz w:val="22"/>
          <w:szCs w:val="22"/>
          <w:u w:val="single" w:color="auto"/>
          <w:color w:val="0563C1"/>
        </w:rPr>
        <w:t>www.vibativ.com.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RediTrex</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(methotrexate) Injection</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RediTrex is a single-dose prefilled syringe containing prescription methotrexate. RediTrex is used to treat adults with severe, active rheumatoid arthritis and children with active polyarticular juvenile idiopathic arthritis, after treatment with other medicines including non-steroidal anti-inflammatory drugs (NSAIDS) have been used and did not work well. Methotrexate can control the symptoms of severe, resistant, disabling psoriasis in adults when other types of treatment have failed. For full prescribing and safety information, visit </w:t>
      </w:r>
      <w:r>
        <w:rPr>
          <w:rFonts w:ascii="Times New Roman" w:cs="Times New Roman" w:eastAsia="Times New Roman" w:hAnsi="Times New Roman"/>
          <w:sz w:val="22"/>
          <w:szCs w:val="22"/>
          <w:u w:val="single" w:color="auto"/>
          <w:color w:val="0563C1"/>
        </w:rPr>
        <w:t>www.reditrex.com</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(conivaptan hydrochloride) Injection</w:t>
      </w:r>
    </w:p>
    <w:p>
      <w:pPr>
        <w:spacing w:after="0" w:line="1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Times New Roman" w:cs="Times New Roman" w:eastAsia="Times New Roman" w:hAnsi="Times New Roman"/>
          <w:sz w:val="22"/>
          <w:szCs w:val="22"/>
          <w:u w:val="single" w:color="auto"/>
          <w:color w:val="0563C1"/>
        </w:rPr>
        <w:t>www.vaprisol.com</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Omeclamox</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-Pak (omeprazole, clarithromycin, amoxicillin)</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t>
      </w:r>
      <w:r>
        <w:rPr>
          <w:rFonts w:ascii="Times New Roman" w:cs="Times New Roman" w:eastAsia="Times New Roman" w:hAnsi="Times New Roman"/>
          <w:sz w:val="22"/>
          <w:szCs w:val="22"/>
          <w:u w:val="single" w:color="auto"/>
          <w:color w:val="0000FF"/>
        </w:rPr>
        <w:t>www.omeclamox.com</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(acetylcysteine) Injection</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w:t>
      </w:r>
    </w:p>
    <w:p>
      <w:pPr>
        <w:sectPr>
          <w:pgSz w:w="11900" w:h="16838" w:orient="portrait"/>
          <w:cols w:equalWidth="0" w:num="1">
            <w:col w:w="11240"/>
          </w:cols>
          <w:pgMar w:left="320" w:top="601" w:right="339" w:bottom="1440" w:gutter="0" w:footer="0" w:header="0"/>
        </w:sectPr>
      </w:pPr>
    </w:p>
    <w:bookmarkStart w:id="8" w:name="page9"/>
    <w:bookmarkEnd w:id="8"/>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anaphylactoid reactions to acetylcysteine or any components of the preparation. For full prescribing and safety information, visit </w:t>
      </w:r>
      <w:r>
        <w:rPr>
          <w:rFonts w:ascii="Times New Roman" w:cs="Times New Roman" w:eastAsia="Times New Roman" w:hAnsi="Times New Roman"/>
          <w:sz w:val="22"/>
          <w:szCs w:val="22"/>
          <w:u w:val="single" w:color="auto"/>
          <w:color w:val="0000FF"/>
        </w:rPr>
        <w:t>www.acetadote.com</w:t>
      </w:r>
      <w:r>
        <w:rPr>
          <w:rFonts w:ascii="Times New Roman" w:cs="Times New Roman" w:eastAsia="Times New Roman" w:hAnsi="Times New Roman"/>
          <w:sz w:val="22"/>
          <w:szCs w:val="22"/>
          <w:color w:val="000000"/>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Cumberland Emerging Technologies (CET)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Cumberland Emerging Technologies, Inc. (</w:t>
      </w:r>
      <w:r>
        <w:rPr>
          <w:rFonts w:ascii="Times New Roman" w:cs="Times New Roman" w:eastAsia="Times New Roman" w:hAnsi="Times New Roman"/>
          <w:sz w:val="22"/>
          <w:szCs w:val="22"/>
          <w:u w:val="single" w:color="auto"/>
          <w:color w:val="0000FF"/>
        </w:rPr>
        <w:t>www.cet-fund.com</w:t>
      </w:r>
      <w:r>
        <w:rPr>
          <w:rFonts w:ascii="Times New Roman" w:cs="Times New Roman" w:eastAsia="Times New Roman" w:hAnsi="Times New Roman"/>
          <w:sz w:val="22"/>
          <w:szCs w:val="22"/>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This press release may contain statements that are "forward-looking" within the meaning of Section 27A of the Securities Act of 1933, as amended, and Section 21E of the Securities Exchange Act of 1934, as amended, pursuant to the safe harbor provisions of the Private Securities Litigation Reform Act of 1995. Forward-looking statements are based on certain assumptions and can include future expectations, future plans and strategies, financial and operating projections or other information. Such forward-looking statements reflect management’s current beliefs and are based on information currently available to management. Because forward-looking statements relate to future events, they are subject to inherent uncertainties, risks and changes in circumstances that are difficult to predict and many of which are outside of Cumberland’s control. Thus, Cumberland’s actual results and financial condition may differ materially due to: market conditions, competition, an inability of manufacturers to supply Cumberland's products, maintaining an effective sales and marketing infrastructure, availability of additional debt and equity capital required to finance the business, our ability to continue to acquire brands, management of our growth and integration of our acquisitions, impacts on our business, as well as national and international markets and economies resulting from the 2020 COVID-19 pandemic, and the other factors described in the section entitled "Risk Factors" in the Company's Annual Report on Form 10-K for the year ended December 31, 2019, the Company's Quarterly Reports on Form 10-Q for the quarters ended March 31, 2020, and September 30, 2020, respectively, and the Company’s other filings with the SEC. Readers are cautioned not to place undue reliance on any forward-looking statements, and Cumberland undertakes no obligation to update them, whether as a result of new information, future developments, or otherwise, except as may be required by law.</w:t>
      </w:r>
    </w:p>
    <w:p>
      <w:pPr>
        <w:spacing w:after="0" w:line="200" w:lineRule="exact"/>
        <w:rPr>
          <w:sz w:val="20"/>
          <w:szCs w:val="20"/>
          <w:color w:val="auto"/>
        </w:rPr>
      </w:pP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34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Media Contacts:</w:t>
            </w:r>
          </w:p>
        </w:tc>
        <w:tc>
          <w:tcPr>
            <w:tcW w:w="2260" w:type="dxa"/>
            <w:vAlign w:val="bottom"/>
          </w:tcPr>
          <w:p>
            <w:pPr>
              <w:spacing w:after="0"/>
              <w:rPr>
                <w:sz w:val="20"/>
                <w:szCs w:val="20"/>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Erin Gull</w:t>
            </w:r>
          </w:p>
        </w:tc>
        <w:tc>
          <w:tcPr>
            <w:tcW w:w="3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Jeff Bradford</w:t>
            </w:r>
          </w:p>
        </w:tc>
        <w:tc>
          <w:tcPr>
            <w:tcW w:w="22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Molly Aggas</w:t>
            </w: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Corporate Relations</w:t>
            </w:r>
          </w:p>
        </w:tc>
        <w:tc>
          <w:tcPr>
            <w:tcW w:w="3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Bradford Dalton Group</w:t>
            </w:r>
          </w:p>
        </w:tc>
        <w:tc>
          <w:tcPr>
            <w:tcW w:w="22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Bradford Dalton Group</w:t>
            </w: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(615) 255-0068</w:t>
            </w:r>
          </w:p>
        </w:tc>
        <w:tc>
          <w:tcPr>
            <w:tcW w:w="1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(615)</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515-4880 office</w:t>
            </w:r>
          </w:p>
        </w:tc>
        <w:tc>
          <w:tcPr>
            <w:tcW w:w="22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(704) 641-6641 mobile</w:t>
            </w:r>
          </w:p>
        </w:tc>
      </w:tr>
      <w:tr>
        <w:trPr>
          <w:trHeight w:val="270"/>
        </w:trPr>
        <w:tc>
          <w:tcPr>
            <w:tcW w:w="2600" w:type="dxa"/>
            <w:vAlign w:val="bottom"/>
          </w:tcPr>
          <w:p>
            <w:pPr>
              <w:spacing w:after="0"/>
              <w:rPr>
                <w:sz w:val="23"/>
                <w:szCs w:val="23"/>
                <w:color w:val="auto"/>
              </w:rPr>
            </w:pPr>
          </w:p>
        </w:tc>
        <w:tc>
          <w:tcPr>
            <w:tcW w:w="1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(615)</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337-0964 mobile</w:t>
            </w:r>
          </w:p>
        </w:tc>
        <w:tc>
          <w:tcPr>
            <w:tcW w:w="22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Cumberland Pharmaceuticals Inc.</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MORE -</w:t>
      </w:r>
    </w:p>
    <w:p>
      <w:pPr>
        <w:sectPr>
          <w:pgSz w:w="11900" w:h="16838" w:orient="portrait"/>
          <w:cols w:equalWidth="0" w:num="1">
            <w:col w:w="11240"/>
          </w:cols>
          <w:pgMar w:left="320" w:top="61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8"/>
        </w:trPr>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26,646,530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28,212,635</w:t>
            </w: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9,661,407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7,843,917</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10,080,394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8,871,254</w:t>
            </w: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2,477,813</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1,778,078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2,757,456</w:t>
            </w: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48,894,079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50,163,075</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12,649,184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15,554,992</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602,911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747,796</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28,180,090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30,920,324</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882,000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882,000</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21,802</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2,267,669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2,960,569</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2,511,894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3,298,725</w:t>
            </w:r>
          </w:p>
        </w:tc>
      </w:tr>
      <w:tr>
        <w:trPr>
          <w:trHeight w:val="237"/>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96,009,629</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104,549,283</w:t>
            </w:r>
          </w:p>
        </w:tc>
      </w:tr>
      <w:tr>
        <w:trPr>
          <w:trHeight w:val="67"/>
        </w:trPr>
        <w:tc>
          <w:tcPr>
            <w:tcW w:w="75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r>
      <w:tr>
        <w:trPr>
          <w:trHeight w:val="230"/>
        </w:trPr>
        <w:tc>
          <w:tcPr>
            <w:tcW w:w="75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10,833,972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9,993,578</w:t>
            </w: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1,918,868</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Operating lease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991,969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920,431</w:t>
            </w: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revolving line of credit</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10,112,100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11,317,358</w:t>
            </w:r>
          </w:p>
        </w:tc>
      </w:tr>
      <w:tr>
        <w:trPr>
          <w:trHeight w:val="237"/>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23,938,041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24,150,235</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18,500,000</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1,323,792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2,076,472</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7,904,419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8,737,323</w:t>
            </w:r>
          </w:p>
        </w:tc>
      </w:tr>
      <w:tr>
        <w:trPr>
          <w:trHeight w:val="237"/>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48,166,252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53,464,030</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25"/>
        </w:trPr>
        <w:tc>
          <w:tcPr>
            <w:tcW w:w="75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Common stock—no par value; 100,000,000 shares authorized; 15,084,372 and 15,263,555</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4"/>
        </w:trPr>
        <w:tc>
          <w:tcPr>
            <w:tcW w:w="75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shares issued and outstanding as of September 30, 2020 and December 31, 2019, respectively</w:t>
            </w:r>
          </w:p>
        </w:tc>
        <w:tc>
          <w:tcPr>
            <w:tcW w:w="2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49,176,040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49,914,478</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1,208,395</w:t>
            </w:r>
          </w:p>
        </w:tc>
      </w:tr>
      <w:tr>
        <w:trPr>
          <w:trHeight w:val="237"/>
        </w:trPr>
        <w:tc>
          <w:tcPr>
            <w:tcW w:w="75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47,928,803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51,122,873</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w:t>
            </w:r>
          </w:p>
        </w:tc>
      </w:tr>
      <w:tr>
        <w:trPr>
          <w:trHeight w:val="236"/>
        </w:trPr>
        <w:tc>
          <w:tcPr>
            <w:tcW w:w="75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47,843,377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51,085,253</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8"/>
        </w:trPr>
        <w:tc>
          <w:tcPr>
            <w:tcW w:w="75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96,009,629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104,549,283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88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6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9,250,689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6,935,439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27,179,600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25,082,742</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2,142,839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1,580,650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6,387,002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5,031,732</w:t>
            </w:r>
          </w:p>
        </w:tc>
      </w:tr>
      <w:tr>
        <w:trPr>
          <w:trHeight w:val="243"/>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3,587,842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3,812,467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11,160,924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11,231,778</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1,230,335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1,672,843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4,374,392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4,788,698</w:t>
            </w:r>
          </w:p>
        </w:tc>
      </w:tr>
      <w:tr>
        <w:trPr>
          <w:trHeight w:val="243"/>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2,381,273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2,032,129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6,608,322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6,839,187</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1,117,086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1,033,786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3,284,610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3,085,139</w:t>
            </w: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10,459,375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10,131,875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31,815,250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30,976,534</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(4,635,650)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(5,893,792)</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70,553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195,915</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(216,988)</w:t>
            </w:r>
          </w:p>
        </w:tc>
      </w:tr>
      <w:tr>
        <w:trPr>
          <w:trHeight w:val="205"/>
        </w:trPr>
        <w:tc>
          <w:tcPr>
            <w:tcW w:w="462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Income (loss) from continuing operations before income</w:t>
            </w: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4"/>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taxes</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(3,311,824)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(4,792,827)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(5,914,865)</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72,504</w:t>
            </w:r>
          </w:p>
        </w:tc>
      </w:tr>
      <w:tr>
        <w:trPr>
          <w:trHeight w:val="237"/>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(1,275,620)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(3,316,286)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(4,838,250)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(5,842,361)</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777,916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1,349,351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2,334,811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3,268,196</w:t>
            </w:r>
          </w:p>
        </w:tc>
      </w:tr>
      <w:tr>
        <w:trPr>
          <w:trHeight w:val="237"/>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(497,704)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(1,966,935)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(2,503,439)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(2,574,165)</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 subsidiary attributable to noncontrolling</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interests</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47,806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r>
      <w:tr>
        <w:trPr>
          <w:trHeight w:val="237"/>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(481,737)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(2,455,633)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(2,577,053)</w:t>
            </w:r>
          </w:p>
        </w:tc>
      </w:tr>
      <w:tr>
        <w:trPr>
          <w:trHeight w:val="67"/>
        </w:trPr>
        <w:tc>
          <w:tcPr>
            <w:tcW w:w="46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0"/>
        </w:trPr>
        <w:tc>
          <w:tcPr>
            <w:tcW w:w="46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Continuing operations - 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Discontinued operations - basic</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0.21</w:t>
            </w:r>
          </w:p>
        </w:tc>
      </w:tr>
      <w:tr>
        <w:trPr>
          <w:trHeight w:val="237"/>
        </w:trPr>
        <w:tc>
          <w:tcPr>
            <w:tcW w:w="46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4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Continuing operations - 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Discontinued operations - diluted</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0.21</w:t>
            </w:r>
          </w:p>
        </w:tc>
      </w:tr>
      <w:tr>
        <w:trPr>
          <w:trHeight w:val="237"/>
        </w:trPr>
        <w:tc>
          <w:tcPr>
            <w:tcW w:w="46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basic</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15,134,583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15,368,027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15,206,179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15,454,159</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diluted</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15,134,583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15,368,027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15,206,179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15,454,159</w:t>
            </w:r>
          </w:p>
        </w:tc>
      </w:tr>
      <w:tr>
        <w:trPr>
          <w:trHeight w:val="27"/>
        </w:trPr>
        <w:tc>
          <w:tcPr>
            <w:tcW w:w="4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54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80" w:type="dxa"/>
            <w:vAlign w:val="bottom"/>
            <w:tcBorders>
              <w:bottom w:val="single" w:sz="8" w:color="auto"/>
            </w:tcBorders>
          </w:tcPr>
          <w:p>
            <w:pPr>
              <w:spacing w:after="0"/>
              <w:rPr>
                <w:sz w:val="16"/>
                <w:szCs w:val="16"/>
                <w:color w:val="auto"/>
              </w:rPr>
            </w:pPr>
          </w:p>
        </w:tc>
      </w:tr>
      <w:tr>
        <w:trPr>
          <w:trHeight w:val="263"/>
        </w:trPr>
        <w:tc>
          <w:tcPr>
            <w:tcW w:w="68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8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6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(2,503,438)</w:t>
            </w:r>
          </w:p>
        </w:tc>
        <w:tc>
          <w:tcPr>
            <w:tcW w:w="15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(2,574,165)</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2,334,811</w:t>
            </w:r>
          </w:p>
        </w:tc>
        <w:tc>
          <w:tcPr>
            <w:tcW w:w="152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3,268,196</w:t>
            </w:r>
          </w:p>
        </w:tc>
      </w:tr>
      <w:tr>
        <w:trPr>
          <w:trHeight w:val="237"/>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(4,838,249)</w:t>
            </w:r>
          </w:p>
        </w:tc>
        <w:tc>
          <w:tcPr>
            <w:tcW w:w="88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(5,842,361)</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6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(loss) from continuing operations to net cash</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provided by (used in) operating activities:</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3,524,684</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3,278,958</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 expense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43,605</w:t>
            </w:r>
          </w:p>
        </w:tc>
      </w:tr>
      <w:tr>
        <w:trPr>
          <w:trHeight w:val="243"/>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805,338</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1,107,817</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in non-cash contingent consideration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(806,390)</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(681,577)</w:t>
            </w:r>
          </w:p>
        </w:tc>
      </w:tr>
      <w:tr>
        <w:trPr>
          <w:trHeight w:val="243"/>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36,197</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36,292</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investment gains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(34,303)</w:t>
            </w:r>
          </w:p>
        </w:tc>
      </w:tr>
      <w:tr>
        <w:trPr>
          <w:trHeight w:val="243"/>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(1,817,490)</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1,026,633</w:t>
            </w:r>
          </w:p>
        </w:tc>
      </w:tr>
      <w:tr>
        <w:trPr>
          <w:trHeight w:val="243"/>
        </w:trPr>
        <w:tc>
          <w:tcPr>
            <w:tcW w:w="68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1,696,668</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1,332,140</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1,962,024</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195,529</w:t>
            </w:r>
          </w:p>
        </w:tc>
      </w:tr>
      <w:tr>
        <w:trPr>
          <w:trHeight w:val="243"/>
        </w:trPr>
        <w:tc>
          <w:tcPr>
            <w:tcW w:w="68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3,417,856</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(539,525)</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(1,585,584)</w:t>
            </w:r>
          </w:p>
        </w:tc>
        <w:tc>
          <w:tcPr>
            <w:tcW w:w="8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(207,648)</w:t>
            </w:r>
          </w:p>
        </w:tc>
      </w:tr>
      <w:tr>
        <w:trPr>
          <w:trHeight w:val="237"/>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operating activities from continuing operations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2,395,054</w:t>
            </w:r>
          </w:p>
        </w:tc>
        <w:tc>
          <w:tcPr>
            <w:tcW w:w="8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(284,440)</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2,166,086</w:t>
            </w:r>
          </w:p>
        </w:tc>
        <w:tc>
          <w:tcPr>
            <w:tcW w:w="8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2,483,796</w:t>
            </w:r>
          </w:p>
        </w:tc>
      </w:tr>
      <w:tr>
        <w:trPr>
          <w:trHeight w:val="237"/>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4,561,140</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4,561,140</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2,199,356</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(95,189)</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(166,407)</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(9,627,191)</w:t>
            </w: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15,686,334</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surrender of life insurance policies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460,888</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Additions to intangibles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(1,807,467)</w:t>
            </w:r>
          </w:p>
        </w:tc>
        <w:tc>
          <w:tcPr>
            <w:tcW w:w="8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(498,003)</w:t>
            </w:r>
          </w:p>
        </w:tc>
      </w:tr>
      <w:tr>
        <w:trPr>
          <w:trHeight w:val="237"/>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(1,441,768)</w:t>
            </w:r>
          </w:p>
        </w:tc>
        <w:tc>
          <w:tcPr>
            <w:tcW w:w="8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394,733</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44,000,000</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56,000,000</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(45,500,000)</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(56,000,000)</w:t>
            </w: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financing costs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payment of contingent consideration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(834,014)</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(908,347)</w:t>
            </w: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of subsidiary shares to noncontrolling interest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(1,551,463)</w:t>
            </w:r>
          </w:p>
        </w:tc>
        <w:tc>
          <w:tcPr>
            <w:tcW w:w="8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(2,593,778)</w:t>
            </w:r>
          </w:p>
        </w:tc>
      </w:tr>
      <w:tr>
        <w:trPr>
          <w:trHeight w:val="23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(4,685,477)</w:t>
            </w:r>
          </w:p>
        </w:tc>
        <w:tc>
          <w:tcPr>
            <w:tcW w:w="8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(3,554,625)</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(1,566,105)</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(960,536)</w:t>
            </w:r>
          </w:p>
        </w:tc>
      </w:tr>
      <w:tr>
        <w:trPr>
          <w:trHeight w:val="243"/>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28,212,635</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27,938,960</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26,646,530</w:t>
            </w:r>
          </w:p>
        </w:tc>
        <w:tc>
          <w:tcPr>
            <w:tcW w:w="152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26,978,424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49" w:right="339" w:bottom="1440" w:gutter="0" w:footer="0" w:header="0"/>
        </w:sectPr>
      </w:pPr>
    </w:p>
    <w:bookmarkStart w:id="12" w:name="page13"/>
    <w:bookmarkEnd w:id="12"/>
    <w:p>
      <w:pPr>
        <w:ind w:left="2400"/>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Reconciliation of Net Income (loss) Attributable to Common Shareholders to Adjusted Earnings (loss) and Adjusted Diluted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Earnings (loss) Per Share</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18"/>
                <w:szCs w:val="18"/>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Earnings impact</w:t>
            </w:r>
          </w:p>
        </w:tc>
        <w:tc>
          <w:tcPr>
            <w:tcW w:w="18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Earnings per</w:t>
            </w:r>
          </w:p>
        </w:tc>
        <w:tc>
          <w:tcPr>
            <w:tcW w:w="120" w:type="dxa"/>
            <w:vAlign w:val="bottom"/>
          </w:tcPr>
          <w:p>
            <w:pPr>
              <w:spacing w:after="0"/>
              <w:rPr>
                <w:sz w:val="18"/>
                <w:szCs w:val="18"/>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Earnings impact</w:t>
            </w:r>
          </w:p>
        </w:tc>
        <w:tc>
          <w:tcPr>
            <w:tcW w:w="1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Earnings per</w:t>
            </w: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share impact</w:t>
            </w:r>
          </w:p>
        </w:tc>
        <w:tc>
          <w:tcPr>
            <w:tcW w:w="1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share impact</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5"/>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loss at subsidiary attributable to noncontrolling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777,916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1,349,351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net income (loss) from continuing operations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1,190,015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1,104,561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262,415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346,835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55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Adjusted Earnings (loss) from continuing operations and Adjusted</w:t>
            </w: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243,744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vMerge w:val="restart"/>
          </w:tcPr>
          <w:p>
            <w:pPr>
              <w:spacing w:after="0"/>
              <w:rPr>
                <w:sz w:val="17"/>
                <w:szCs w:val="17"/>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(1,745,040)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85"/>
        </w:trPr>
        <w:tc>
          <w:tcPr>
            <w:tcW w:w="5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(loss) from continuing operations Per Share</w:t>
            </w:r>
          </w:p>
        </w:tc>
        <w:tc>
          <w:tcPr>
            <w:tcW w:w="2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15,134,583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15,368,027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520" w:type="dxa"/>
            <w:vAlign w:val="bottom"/>
          </w:tcPr>
          <w:p>
            <w:pPr>
              <w:spacing w:after="0"/>
              <w:rPr>
                <w:sz w:val="24"/>
                <w:szCs w:val="24"/>
                <w:color w:val="auto"/>
              </w:rPr>
            </w:pPr>
          </w:p>
        </w:tc>
        <w:tc>
          <w:tcPr>
            <w:tcW w:w="28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Pr>
          <w:p>
            <w:pPr>
              <w:spacing w:after="0"/>
              <w:rPr>
                <w:sz w:val="24"/>
                <w:szCs w:val="24"/>
                <w:color w:val="auto"/>
              </w:rPr>
            </w:pPr>
          </w:p>
        </w:tc>
        <w:tc>
          <w:tcPr>
            <w:tcW w:w="28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Earnings impact</w:t>
            </w:r>
          </w:p>
        </w:tc>
        <w:tc>
          <w:tcPr>
            <w:tcW w:w="18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Earnings per</w:t>
            </w:r>
          </w:p>
        </w:tc>
        <w:tc>
          <w:tcPr>
            <w:tcW w:w="120" w:type="dxa"/>
            <w:vAlign w:val="bottom"/>
          </w:tcPr>
          <w:p>
            <w:pPr>
              <w:spacing w:after="0"/>
              <w:rPr>
                <w:sz w:val="18"/>
                <w:szCs w:val="18"/>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Earnings impact</w:t>
            </w:r>
          </w:p>
        </w:tc>
        <w:tc>
          <w:tcPr>
            <w:tcW w:w="1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Earnings per</w:t>
            </w: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share impact</w:t>
            </w:r>
          </w:p>
        </w:tc>
        <w:tc>
          <w:tcPr>
            <w:tcW w:w="1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share impact</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(2,455,633)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(2,577,053)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25"/>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loss at subsidiary attributable to noncontrolling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(2,503,439)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2,334,811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3,268,196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net income (loss) from continuing operations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3,524,684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3,278,958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227,730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1"/>
        </w:trPr>
        <w:tc>
          <w:tcPr>
            <w:tcW w:w="55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Adjusted Earnings (loss) from continuing operations and Adjusted</w:t>
            </w: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(305,628)</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vMerge w:val="restart"/>
          </w:tcPr>
          <w:p>
            <w:pPr>
              <w:spacing w:after="0"/>
              <w:rPr>
                <w:sz w:val="17"/>
                <w:szCs w:val="17"/>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(1,507,017)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85"/>
        </w:trPr>
        <w:tc>
          <w:tcPr>
            <w:tcW w:w="5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(loss) from continuing operations Per Share</w:t>
            </w:r>
          </w:p>
        </w:tc>
        <w:tc>
          <w:tcPr>
            <w:tcW w:w="2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15,206,179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15,454,159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21" w:right="339" w:bottom="1440" w:gutter="0" w:footer="0" w:header="0"/>
        </w:sectPr>
      </w:pPr>
    </w:p>
    <w:bookmarkStart w:id="13" w:name="page14"/>
    <w:bookmarkEnd w:id="13"/>
    <w:p>
      <w:pPr>
        <w:ind w:right="180"/>
        <w:spacing w:after="0" w:line="268" w:lineRule="auto"/>
        <w:rPr>
          <w:sz w:val="20"/>
          <w:szCs w:val="20"/>
          <w:color w:val="auto"/>
        </w:rPr>
      </w:pPr>
      <w:r>
        <w:rPr>
          <w:rFonts w:ascii="Times New Roman" w:cs="Times New Roman" w:eastAsia="Times New Roman" w:hAnsi="Times New Roman"/>
          <w:sz w:val="21"/>
          <w:szCs w:val="21"/>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defines these supplemental financial measures as follows:</w:t>
      </w:r>
    </w:p>
    <w:p>
      <w:pPr>
        <w:spacing w:after="0" w:line="81" w:lineRule="exact"/>
        <w:rPr>
          <w:sz w:val="20"/>
          <w:szCs w:val="20"/>
          <w:color w:val="auto"/>
        </w:rPr>
      </w:pPr>
    </w:p>
    <w:p>
      <w:pPr>
        <w:ind w:left="660" w:hanging="328"/>
        <w:spacing w:after="0" w:line="275"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Adjusted Earnings (loss): </w:t>
      </w:r>
      <w:r>
        <w:rPr>
          <w:rFonts w:ascii="Times New Roman" w:cs="Times New Roman" w:eastAsia="Times New Roman" w:hAnsi="Times New Roman"/>
          <w:sz w:val="22"/>
          <w:szCs w:val="22"/>
          <w:color w:val="auto"/>
        </w:rPr>
        <w:t>net income (loss) adjusted for the impact of income taxes, depreciation and amortization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 share-based compensation and interest income and interest expense.</w:t>
      </w:r>
    </w:p>
    <w:p>
      <w:pPr>
        <w:spacing w:after="0" w:line="193"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share-based compensation of Cumberland.</w:t>
      </w:r>
    </w:p>
    <w:p>
      <w:pPr>
        <w:spacing w:after="0" w:line="256" w:lineRule="exact"/>
        <w:rPr>
          <w:rFonts w:ascii="Times New Roman" w:cs="Times New Roman" w:eastAsia="Times New Roman" w:hAnsi="Times New Roman"/>
          <w:sz w:val="22"/>
          <w:szCs w:val="22"/>
          <w:color w:val="auto"/>
        </w:rPr>
      </w:pPr>
    </w:p>
    <w:p>
      <w:pPr>
        <w:ind w:left="660" w:right="20" w:hanging="328"/>
        <w:spacing w:after="0" w:line="275" w:lineRule="auto"/>
        <w:tabs>
          <w:tab w:leader="none" w:pos="6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Adjusted Diluted Earnings (loss) Per Share: </w:t>
      </w:r>
      <w:r>
        <w:rPr>
          <w:rFonts w:ascii="Times New Roman" w:cs="Times New Roman" w:eastAsia="Times New Roman" w:hAnsi="Times New Roman"/>
          <w:sz w:val="22"/>
          <w:szCs w:val="22"/>
          <w:color w:val="auto"/>
        </w:rPr>
        <w:t>Adjusted Earnings (loss) divided by diluted weighted-average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outstanding.</w:t>
      </w:r>
    </w:p>
    <w:sectPr>
      <w:pgSz w:w="11900" w:h="16838" w:orient="portrait"/>
      <w:cols w:equalWidth="0" w:num="1">
        <w:col w:w="11240"/>
      </w:cols>
      <w:pgMar w:left="320" w:top="7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2020-11-10T16:18:28Z</dcterms:created>
  <dcterms:modified xsi:type="dcterms:W3CDTF">2020-11-10T16:18:28Z</dcterms:modified>
</cp:coreProperties>
</file>