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July 19, 2022 (July 15,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80"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Effective July 15, 2022, Cumberland Pharmaceuticals Inc. (the "Company") appointed Martin S. Brown Jr, an attorney with Adams &amp; Reese LLP, as the newest member of its Board of Directors. Mr. Brown previously served for 10 years on the board of directors of Brown-Forman Corporation, a large American wine and spirits company listed on the New York Stock Exchange. He has nearly 30 years of legal experience representing privately held businesses, counseling owners in complex business transactions, intellectual property licensing, international commerce, mergers and acquisitions, and estate planning. He has been listed since 2009 in the corporate law category of Best Lawyers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Additionally, he has served since 2018 on the board of directors of the parent company of Aegis Sciences Corporation, a federally certified health care laboratory headquartered in Nashville.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Brown and any other persons pursuant to which he was selected as a director. Mr. Brown has no family relationships with any of the Company’s directors or executive officers. There are no transactions and no proposed transactions between Mr. Brown and the Company that would be required to be disclosed pursuant to Item 404(a) of Regulation 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Brown will receive compensation in accordance with the Company’s standard compensation arrangements for non-executive directors, which are described under the caption “Director Compensation” in the Company’s definitive proxy statement on Schedule 14A filed with the Securities and Exchange Commission on March 16,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Brown has not been named to any committees of the Board of Directors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692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July 19, 2022</w:t>
            </w:r>
          </w:p>
        </w:tc>
        <w:tc>
          <w:tcPr>
            <w:tcW w:w="4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2022-07-19T16:04:51Z</dcterms:created>
  <dcterms:modified xsi:type="dcterms:W3CDTF">2022-07-19T16:04:51Z</dcterms:modified>
</cp:coreProperties>
</file>