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417"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345"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8-K </w:t>
      </w:r>
    </w:p>
    <w:p>
      <w:pPr>
        <w:pStyle w:val="TextBody"/>
        <w:bidi w:val="0"/>
        <w:spacing w:lineRule="auto" w:line="288" w:before="220" w:after="283"/>
        <w:jc w:val="center"/>
        <w:rPr>
          <w:rFonts w:ascii="Times New Roman;sans-serif" w:hAnsi="Times New Roman;sans-serif"/>
          <w:b/>
          <w:color w:val="231F20"/>
          <w:sz w:val="24"/>
        </w:rPr>
      </w:pPr>
      <w:r>
        <w:rPr>
          <w:rFonts w:ascii="Times New Roman;sans-serif" w:hAnsi="Times New Roman;sans-serif"/>
          <w:b/>
          <w:color w:val="231F20"/>
          <w:sz w:val="24"/>
        </w:rPr>
        <w:t>CURRENT REPORT</w:t>
      </w:r>
    </w:p>
    <w:p>
      <w:pPr>
        <w:pStyle w:val="TextBody"/>
        <w:bidi w:val="0"/>
        <w:spacing w:lineRule="auto" w:line="288" w:before="20" w:after="283"/>
        <w:jc w:val="center"/>
        <w:rPr>
          <w:rFonts w:ascii="Times New Roman;sans-serif" w:hAnsi="Times New Roman;sans-serif"/>
          <w:b/>
          <w:color w:val="231F20"/>
          <w:sz w:val="24"/>
        </w:rPr>
      </w:pPr>
      <w:r>
        <w:rPr>
          <w:rFonts w:ascii="Times New Roman;sans-serif" w:hAnsi="Times New Roman;sans-serif"/>
          <w:b/>
          <w:color w:val="231F20"/>
          <w:sz w:val="24"/>
        </w:rPr>
        <w:t>Pursuant to Section 13 OR 15(d) 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November 7, 2024 (November 7, 2024)</w:t>
      </w:r>
    </w:p>
    <w:p>
      <w:pPr>
        <w:pStyle w:val="TextBody"/>
        <w:bidi w:val="0"/>
        <w:spacing w:lineRule="auto" w:line="288"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Date of Report (date of earliest event reported)</w:t>
      </w:r>
    </w:p>
    <w:p>
      <w:pPr>
        <w:pStyle w:val="TextBody"/>
        <w:bidi w:val="0"/>
        <w:spacing w:before="0" w:after="0"/>
        <w:jc w:val="left"/>
        <w:rPr/>
      </w:pPr>
      <w:r>
        <w:rPr/>
      </w:r>
    </w:p>
    <w:p>
      <w:pPr>
        <w:pStyle w:val="TextBody"/>
        <w:bidi w:val="0"/>
        <w:spacing w:lineRule="auto" w:line="345"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CUMBERLAND PHARMACEUTICALS INC. </w:t>
      </w:r>
    </w:p>
    <w:p>
      <w:pPr>
        <w:pStyle w:val="TextBody"/>
        <w:bidi w:val="0"/>
        <w:spacing w:lineRule="auto" w:line="345" w:before="0" w:after="0"/>
        <w:jc w:val="center"/>
        <w:rPr>
          <w:rFonts w:ascii="Times New Roman;sans-serif" w:hAnsi="Times New Roman;sans-serif"/>
          <w:b/>
          <w:color w:val="000000"/>
          <w:sz w:val="24"/>
        </w:rPr>
      </w:pPr>
      <w:r>
        <w:rPr>
          <w:rFonts w:ascii="Times New Roman;sans-serif" w:hAnsi="Times New Roman;sans-serif"/>
          <w:b/>
          <w:color w:val="000000"/>
          <w:sz w:val="24"/>
        </w:rPr>
        <w:t>(Exact name of registrant as specified in its charter)</w:t>
      </w:r>
    </w:p>
    <w:tbl>
      <w:tblPr>
        <w:tblW w:w="10205" w:type="dxa"/>
        <w:jc w:val="center"/>
        <w:tblInd w:w="0" w:type="dxa"/>
        <w:tblLayout w:type="fixed"/>
        <w:tblCellMar>
          <w:top w:w="28" w:type="dxa"/>
          <w:left w:w="28" w:type="dxa"/>
          <w:bottom w:w="28" w:type="dxa"/>
          <w:right w:w="28" w:type="dxa"/>
        </w:tblCellMar>
      </w:tblPr>
      <w:tblGrid>
        <w:gridCol w:w="1778"/>
        <w:gridCol w:w="1566"/>
        <w:gridCol w:w="1573"/>
        <w:gridCol w:w="378"/>
        <w:gridCol w:w="378"/>
        <w:gridCol w:w="378"/>
        <w:gridCol w:w="378"/>
        <w:gridCol w:w="378"/>
        <w:gridCol w:w="386"/>
        <w:gridCol w:w="877"/>
        <w:gridCol w:w="877"/>
        <w:gridCol w:w="1258"/>
      </w:tblGrid>
      <w:tr>
        <w:trPr/>
        <w:tc>
          <w:tcPr>
            <w:tcW w:w="1778" w:type="dxa"/>
            <w:tcBorders/>
            <w:vAlign w:val="center"/>
          </w:tcPr>
          <w:p>
            <w:pPr>
              <w:pStyle w:val="TableContents"/>
              <w:bidi w:val="0"/>
              <w:spacing w:before="0" w:after="283"/>
              <w:jc w:val="left"/>
              <w:rPr>
                <w:sz w:val="4"/>
                <w:szCs w:val="4"/>
              </w:rPr>
            </w:pPr>
            <w:r>
              <w:rPr>
                <w:sz w:val="4"/>
                <w:szCs w:val="4"/>
              </w:rPr>
            </w:r>
          </w:p>
        </w:tc>
        <w:tc>
          <w:tcPr>
            <w:tcW w:w="1566"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Tennessee</w:t>
            </w:r>
          </w:p>
        </w:tc>
        <w:tc>
          <w:tcPr>
            <w:tcW w:w="2276" w:type="dxa"/>
            <w:gridSpan w:val="6"/>
            <w:tcBorders/>
            <w:tcMar>
              <w:top w:w="0" w:type="dxa"/>
              <w:left w:w="0" w:type="dxa"/>
              <w:bottom w:w="0" w:type="dxa"/>
              <w:right w:w="0" w:type="dxa"/>
            </w:tcMar>
            <w:vAlign w:val="center"/>
          </w:tcPr>
          <w:p>
            <w:pPr>
              <w:pStyle w:val="TableContents"/>
              <w:bidi w:val="0"/>
              <w:spacing w:lineRule="auto" w:line="345" w:before="0" w:after="283"/>
              <w:jc w:val="center"/>
              <w:rPr>
                <w:rFonts w:ascii="Times New Roman;sans-serif" w:hAnsi="Times New Roman;sans-serif"/>
                <w:b/>
                <w:color w:val="000000"/>
                <w:sz w:val="20"/>
              </w:rPr>
            </w:pPr>
            <w:r>
              <w:rPr>
                <w:rFonts w:ascii="Times New Roman;sans-serif" w:hAnsi="Times New Roman;sans-serif"/>
                <w:b/>
                <w:color w:val="000000"/>
                <w:sz w:val="20"/>
              </w:rPr>
              <w:t>001-33637</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color w:val="000000"/>
                <w:sz w:val="20"/>
              </w:rPr>
            </w:pPr>
            <w:r>
              <w:rPr>
                <w:rFonts w:ascii="Times New Roman;sans-serif" w:hAnsi="Times New Roman;sans-serif"/>
                <w:b/>
                <w:color w:val="000000"/>
                <w:sz w:val="20"/>
              </w:rPr>
              <w:t>62-1765329</w:t>
            </w:r>
          </w:p>
        </w:tc>
      </w:tr>
      <w:tr>
        <w:trPr/>
        <w:tc>
          <w:tcPr>
            <w:tcW w:w="4917"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2276" w:type="dxa"/>
            <w:gridSpan w:val="6"/>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(Commission File Number)</w:t>
            </w:r>
          </w:p>
        </w:tc>
        <w:tc>
          <w:tcPr>
            <w:tcW w:w="3012" w:type="dxa"/>
            <w:gridSpan w:val="3"/>
            <w:tcBorders/>
            <w:tcMar>
              <w:top w:w="0" w:type="dxa"/>
              <w:left w:w="0" w:type="dxa"/>
              <w:bottom w:w="0" w:type="dxa"/>
              <w:right w:w="0" w:type="dxa"/>
            </w:tcMar>
            <w:vAlign w:val="center"/>
          </w:tcPr>
          <w:p>
            <w:pPr>
              <w:pStyle w:val="TableContents"/>
              <w:bidi w:val="0"/>
              <w:spacing w:lineRule="auto" w:line="240" w:before="0" w:after="2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1600 West End Avenue, Suite 1300 Nashville, Tennessee 37203</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(Address of Principal Executive Offices)</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(615) 255-0068 </w:t>
      </w:r>
    </w:p>
    <w:p>
      <w:pPr>
        <w:pStyle w:val="TextBody"/>
        <w:bidi w:val="0"/>
        <w:spacing w:lineRule="auto" w:line="264"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000000"/>
          <w:sz w:val="20"/>
        </w:rPr>
        <w:t>Written communications pursuant to Rule 425 under the Securities Act (17 CFR 230.425)</w:t>
      </w:r>
    </w:p>
    <w:p>
      <w:pPr>
        <w:pStyle w:val="TextBody"/>
        <w:bidi w:val="0"/>
        <w:spacing w:before="0" w:after="2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Soliciting material pursuant to Rule 14a-12 under the Exchange Act (17 CFR 240.14a-12) </w:t>
      </w:r>
    </w:p>
    <w:p>
      <w:pPr>
        <w:pStyle w:val="TextBody"/>
        <w:bidi w:val="0"/>
        <w:spacing w:before="0" w:after="0"/>
        <w:jc w:val="left"/>
        <w:rPr/>
      </w:pPr>
      <w:r>
        <w:rPr/>
      </w:r>
    </w:p>
    <w:p>
      <w:pPr>
        <w:pStyle w:val="TextBody"/>
        <w:bidi w:val="0"/>
        <w:spacing w:lineRule="auto" w:line="288" w:before="0" w:after="20"/>
        <w:jc w:val="left"/>
        <w:rPr/>
      </w:pPr>
      <w:r>
        <w:rPr>
          <w:color w:val="000000"/>
        </w:rPr>
        <w:t xml:space="preserve">☐ </w:t>
      </w:r>
      <w:r>
        <w:rPr>
          <w:rFonts w:ascii="Times New Roman;sans-serif" w:hAnsi="Times New Roman;sans-serif"/>
          <w:b w:val="false"/>
          <w:color w:val="231F20"/>
          <w:sz w:val="20"/>
        </w:rPr>
        <w:t xml:space="preserve">Pre-commencement communications pursuant to Rule 14d-2(b) under the Exchange Act (17 CFR 240.14d-2(b)) </w:t>
      </w:r>
    </w:p>
    <w:p>
      <w:pPr>
        <w:pStyle w:val="TextBody"/>
        <w:bidi w:val="0"/>
        <w:spacing w:before="0" w:after="0"/>
        <w:jc w:val="left"/>
        <w:rPr/>
      </w:pPr>
      <w:r>
        <w:rPr/>
      </w:r>
    </w:p>
    <w:p>
      <w:pPr>
        <w:pStyle w:val="TextBody"/>
        <w:bidi w:val="0"/>
        <w:spacing w:lineRule="auto" w:line="288" w:before="0" w:after="20"/>
        <w:jc w:val="left"/>
        <w:rPr/>
      </w:pPr>
      <w:r>
        <w:rPr>
          <w:color w:val="000000"/>
        </w:rPr>
        <w:t>☐</w:t>
      </w:r>
      <w:r>
        <w:rPr>
          <w:color w:val="231F20"/>
        </w:rPr>
        <w:t xml:space="preserve"> </w:t>
      </w:r>
      <w:r>
        <w:rPr>
          <w:rFonts w:ascii="Times New Roman;sans-serif" w:hAnsi="Times New Roman;sans-serif"/>
          <w:b w:val="false"/>
          <w:color w:val="231F20"/>
          <w:sz w:val="20"/>
        </w:rPr>
        <w:t xml:space="preserve">Pre-commencement communications pursuant to Rule 13e-4(c) under the Exchange Act (17 CFR 240.13e-4(c))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7798" w:type="dxa"/>
        <w:jc w:val="center"/>
        <w:tblInd w:w="0" w:type="dxa"/>
        <w:tblLayout w:type="fixed"/>
        <w:tblCellMar>
          <w:top w:w="28" w:type="dxa"/>
          <w:left w:w="28" w:type="dxa"/>
          <w:bottom w:w="28" w:type="dxa"/>
          <w:right w:w="28" w:type="dxa"/>
        </w:tblCellMar>
      </w:tblPr>
      <w:tblGrid>
        <w:gridCol w:w="896"/>
        <w:gridCol w:w="784"/>
        <w:gridCol w:w="794"/>
        <w:gridCol w:w="539"/>
        <w:gridCol w:w="539"/>
        <w:gridCol w:w="541"/>
        <w:gridCol w:w="1085"/>
        <w:gridCol w:w="1085"/>
        <w:gridCol w:w="1535"/>
      </w:tblGrid>
      <w:tr>
        <w:trPr/>
        <w:tc>
          <w:tcPr>
            <w:tcW w:w="896"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4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Common Stock, no par value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CPIX</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NASDAQ Global Select Market</w:t>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right"/>
        <w:rPr/>
      </w:pPr>
      <w:r>
        <w:rPr/>
      </w:r>
    </w:p>
    <w:p>
      <w:pPr>
        <w:pStyle w:val="TextBody"/>
        <w:bidi w:val="0"/>
        <w:spacing w:lineRule="auto" w:line="288" w:before="0" w:after="0"/>
        <w:jc w:val="left"/>
        <w:rPr/>
      </w:pPr>
      <w:r>
        <w:rPr>
          <w:rFonts w:ascii="Times New Roman;sans-serif" w:hAnsi="Times New Roman;sans-serif"/>
          <w:b w:val="false"/>
          <w:color w:val="231F20"/>
          <w:sz w:val="20"/>
        </w:rPr>
        <w:t xml:space="preserve">Emerging growth company </w:t>
      </w:r>
      <w:r>
        <w:rPr>
          <w:color w:val="000000"/>
        </w:rPr>
        <w:t>☐</w:t>
      </w:r>
      <w:r>
        <w:rPr>
          <w:color w:val="231F20"/>
        </w:rPr>
        <w:t xml:space="preserve">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 xml:space="preserve">On August 5, 2024, Cumberland Pharmaceuticals Inc. (the "Company") issued a press release which provided a company update and the financial results for the three and nine months ended September 30, 2024. A copy of the press release is attached as </w:t>
      </w:r>
      <w:hyperlink w:anchor="a2024q3-ex991er.htm">
        <w:r>
          <w:rPr>
            <w:rStyle w:val="InternetLink"/>
            <w:rFonts w:ascii="Times New Roman;sans-serif" w:hAnsi="Times New Roman;sans-serif"/>
            <w:b w:val="false"/>
            <w:color w:val="0000FF"/>
            <w:sz w:val="20"/>
            <w:u w:val="single"/>
          </w:rPr>
          <w:t>Exhibit 99.1</w:t>
        </w:r>
      </w:hyperlink>
      <w:r>
        <w:rPr>
          <w:color w:val="000000"/>
        </w:rPr>
        <w:t xml:space="preserve"> </w:t>
      </w:r>
      <w:r>
        <w:rPr>
          <w:rFonts w:ascii="Times New Roman;sans-serif" w:hAnsi="Times New Roman;sans-serif"/>
          <w:b w:val="false"/>
          <w:color w:val="000000"/>
          <w:sz w:val="20"/>
        </w:rPr>
        <w:t>to this Current Report on Form 8-K and is incorporated by reference into this Item 2.02.</w:t>
      </w:r>
    </w:p>
    <w:p>
      <w:pPr>
        <w:pStyle w:val="TextBody"/>
        <w:bidi w:val="0"/>
        <w:spacing w:lineRule="auto" w:line="288" w:before="225"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information is furnished pursuant to Item 2.02 of Form 8-K and shall not be deemed filed for purposes of Section 18 of the Securities Exchange Act of 1934, as amended (the "Exchange Act"), or otherwise subject to the liabilities of that section, unless specifically incorporated by reference in a document filed under the Securities Act of 1933, as amended, or the Exchange Act. By filing this report on Form 8-K and furnishing this information, the Company makes no admission as to the materiality of any information in this report that is required to be disclosed solely by Item 2.02.</w:t>
      </w:r>
    </w:p>
    <w:p>
      <w:pPr>
        <w:pStyle w:val="TextBody"/>
        <w:bidi w:val="0"/>
        <w:spacing w:lineRule="auto" w:line="417" w:before="100" w:after="283"/>
        <w:jc w:val="left"/>
        <w:rPr/>
      </w:pPr>
      <w:r>
        <w:rPr>
          <w:rFonts w:ascii="Times New Roman;sans-serif" w:hAnsi="Times New Roman;sans-serif"/>
          <w:b/>
          <w:color w:val="000000"/>
          <w:sz w:val="20"/>
        </w:rPr>
        <w:t>Item 9.01</w:t>
      </w:r>
      <w:r>
        <w:rPr>
          <w:color w:val="000000"/>
        </w:rPr>
        <w:t>    </w:t>
      </w:r>
      <w:r>
        <w:rPr>
          <w:rFonts w:ascii="Times New Roman;sans-serif" w:hAnsi="Times New Roman;sans-serif"/>
          <w:b/>
          <w:color w:val="000000"/>
          <w:sz w:val="20"/>
        </w:rPr>
        <w:t>Financial Statements and Exhibits</w:t>
      </w:r>
    </w:p>
    <w:p>
      <w:pPr>
        <w:pStyle w:val="TextBody"/>
        <w:bidi w:val="0"/>
        <w:spacing w:lineRule="auto" w:line="417" w:before="100" w:after="283"/>
        <w:jc w:val="left"/>
        <w:rPr>
          <w:color w:val="000000"/>
        </w:rPr>
      </w:pPr>
      <w:r>
        <w:rPr>
          <w:color w:val="000000"/>
        </w:rPr>
        <w:t>    </w:t>
      </w:r>
      <w:r>
        <w:rPr>
          <w:rFonts w:ascii="Times New Roman;sans-serif" w:hAnsi="Times New Roman;sans-serif"/>
          <w:b w:val="false"/>
          <w:color w:val="000000"/>
          <w:sz w:val="20"/>
        </w:rPr>
        <w:t>(d) Exhibits</w:t>
      </w:r>
    </w:p>
    <w:tbl>
      <w:tblPr>
        <w:tblW w:w="4317" w:type="dxa"/>
        <w:jc w:val="center"/>
        <w:tblInd w:w="0" w:type="dxa"/>
        <w:tblLayout w:type="fixed"/>
        <w:tblCellMar>
          <w:top w:w="28" w:type="dxa"/>
          <w:left w:w="28" w:type="dxa"/>
          <w:bottom w:w="28" w:type="dxa"/>
          <w:right w:w="28" w:type="dxa"/>
        </w:tblCellMar>
      </w:tblPr>
      <w:tblGrid>
        <w:gridCol w:w="288"/>
        <w:gridCol w:w="252"/>
        <w:gridCol w:w="255"/>
        <w:gridCol w:w="109"/>
        <w:gridCol w:w="109"/>
        <w:gridCol w:w="109"/>
        <w:gridCol w:w="932"/>
        <w:gridCol w:w="932"/>
        <w:gridCol w:w="1331"/>
      </w:tblGrid>
      <w:tr>
        <w:trPr/>
        <w:tc>
          <w:tcPr>
            <w:tcW w:w="28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Exhibit 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4"/>
              </w:rPr>
            </w:pPr>
            <w:r>
              <w:rPr>
                <w:rFonts w:ascii="Times New Roman;sans-serif" w:hAnsi="Times New Roman;sans-serif"/>
                <w:b/>
                <w:color w:val="000000"/>
                <w:sz w:val="14"/>
              </w:rPr>
              <w:t>Description</w:t>
            </w:r>
          </w:p>
        </w:tc>
      </w:tr>
      <w:tr>
        <w:trPr/>
        <w:tc>
          <w:tcPr>
            <w:tcW w:w="7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3-ex991er.htm">
              <w:r>
                <w:rPr>
                  <w:rStyle w:val="InternetLink"/>
                  <w:rFonts w:ascii="Times New Roman;sans-serif" w:hAnsi="Times New Roman;sans-serif"/>
                  <w:b w:val="false"/>
                  <w:color w:val="0000FF"/>
                  <w:sz w:val="20"/>
                  <w:u w:val="single"/>
                </w:rPr>
                <w:t>99.1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024q3-ex991er.htm">
              <w:r>
                <w:rPr>
                  <w:rStyle w:val="InternetLink"/>
                  <w:rFonts w:ascii="Times New Roman;sans-serif" w:hAnsi="Times New Roman;sans-serif"/>
                  <w:b w:val="false"/>
                  <w:color w:val="0000FF"/>
                  <w:sz w:val="20"/>
                  <w:u w:val="single"/>
                </w:rPr>
                <w:t xml:space="preserve">Press release dated </w:t>
              </w:r>
            </w:hyperlink>
            <w:r>
              <w:rPr>
                <w:rFonts w:ascii="Times New Roman;sans-serif" w:hAnsi="Times New Roman;sans-serif"/>
                <w:b w:val="false"/>
                <w:color w:val="000000"/>
                <w:sz w:val="20"/>
              </w:rPr>
              <w:t>November 7, 2024</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5"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225"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hereunto duly authorized.</w:t>
      </w:r>
    </w:p>
    <w:tbl>
      <w:tblPr>
        <w:tblW w:w="6101" w:type="dxa"/>
        <w:jc w:val="center"/>
        <w:tblInd w:w="0" w:type="dxa"/>
        <w:tblLayout w:type="fixed"/>
        <w:tblCellMar>
          <w:top w:w="28" w:type="dxa"/>
          <w:left w:w="28" w:type="dxa"/>
          <w:bottom w:w="28" w:type="dxa"/>
          <w:right w:w="28" w:type="dxa"/>
        </w:tblCellMar>
      </w:tblPr>
      <w:tblGrid>
        <w:gridCol w:w="797"/>
        <w:gridCol w:w="700"/>
        <w:gridCol w:w="707"/>
        <w:gridCol w:w="109"/>
        <w:gridCol w:w="109"/>
        <w:gridCol w:w="109"/>
        <w:gridCol w:w="109"/>
        <w:gridCol w:w="109"/>
        <w:gridCol w:w="109"/>
        <w:gridCol w:w="109"/>
        <w:gridCol w:w="109"/>
        <w:gridCol w:w="109"/>
        <w:gridCol w:w="303"/>
        <w:gridCol w:w="303"/>
        <w:gridCol w:w="303"/>
        <w:gridCol w:w="312"/>
        <w:gridCol w:w="312"/>
        <w:gridCol w:w="312"/>
        <w:gridCol w:w="312"/>
        <w:gridCol w:w="312"/>
        <w:gridCol w:w="447"/>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Dated: November 7,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07"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John Hamm</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Hamm</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drawing>
          <wp:inline distT="0" distB="0" distL="0" distR="0">
            <wp:extent cx="3886200" cy="8763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3886200" cy="876300"/>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Cumberland Pharmaceuticals Reports Third Quarter 2024</w:t>
      </w:r>
    </w:p>
    <w:p>
      <w:pPr>
        <w:pStyle w:val="TextBody"/>
        <w:bidi w:val="0"/>
        <w:spacing w:lineRule="auto" w:line="276" w:before="0" w:after="0"/>
        <w:jc w:val="center"/>
        <w:rPr>
          <w:rFonts w:ascii="Times New Roman;sans-serif" w:hAnsi="Times New Roman;sans-serif"/>
          <w:b/>
          <w:color w:val="000000"/>
          <w:sz w:val="28"/>
        </w:rPr>
      </w:pPr>
      <w:r>
        <w:rPr>
          <w:rFonts w:ascii="Times New Roman;sans-serif" w:hAnsi="Times New Roman;sans-serif"/>
          <w:b/>
          <w:color w:val="000000"/>
          <w:sz w:val="28"/>
        </w:rPr>
        <w:t>Financial Results and Company Update</w:t>
      </w:r>
    </w:p>
    <w:p>
      <w:pPr>
        <w:pStyle w:val="TextBody"/>
        <w:bidi w:val="0"/>
        <w:spacing w:before="0" w:after="0"/>
        <w:jc w:val="center"/>
        <w:rPr/>
      </w:pPr>
      <w:r>
        <w:rPr/>
      </w:r>
    </w:p>
    <w:p>
      <w:pPr>
        <w:pStyle w:val="TextBody"/>
        <w:bidi w:val="0"/>
        <w:spacing w:lineRule="auto" w:line="288" w:before="0" w:after="0"/>
        <w:ind w:left="0" w:right="0" w:hanging="360"/>
        <w:jc w:val="center"/>
        <w:rPr/>
      </w:pPr>
      <w:r>
        <w:rPr>
          <w:color w:val="000000"/>
        </w:rPr>
        <w:t>–</w:t>
      </w:r>
      <w:r>
        <w:rPr>
          <w:rFonts w:ascii="Times New Roman;sans-serif" w:hAnsi="Times New Roman;sans-serif"/>
          <w:b w:val="false"/>
          <w:i/>
          <w:color w:val="000000"/>
          <w:sz w:val="24"/>
        </w:rPr>
        <w:t>New Real World Study of 150,000 Patients Favors Caldolor over ketorolac –</w:t>
      </w:r>
    </w:p>
    <w:p>
      <w:pPr>
        <w:pStyle w:val="TextBody"/>
        <w:bidi w:val="0"/>
        <w:spacing w:lineRule="auto" w:line="288" w:before="160" w:after="283"/>
        <w:ind w:left="0" w:right="0" w:hanging="360"/>
        <w:jc w:val="center"/>
        <w:rPr/>
      </w:pPr>
      <w:r>
        <w:rPr>
          <w:color w:val="000000"/>
        </w:rPr>
        <w:t>–</w:t>
      </w:r>
      <w:r>
        <w:rPr>
          <w:rFonts w:ascii="Times New Roman;sans-serif" w:hAnsi="Times New Roman;sans-serif"/>
          <w:b w:val="false"/>
          <w:i/>
          <w:color w:val="000000"/>
          <w:sz w:val="24"/>
        </w:rPr>
        <w:t>DMD Program Receives FDA Orphan Drug &amp; Rare Pediatric Disease Designations –</w:t>
      </w:r>
    </w:p>
    <w:p>
      <w:pPr>
        <w:pStyle w:val="TextBody"/>
        <w:bidi w:val="0"/>
        <w:spacing w:before="0" w:after="0"/>
        <w:jc w:val="left"/>
        <w:rPr/>
      </w:pPr>
      <w:r>
        <w:rPr/>
      </w:r>
    </w:p>
    <w:p>
      <w:pPr>
        <w:pStyle w:val="TextBody"/>
        <w:bidi w:val="0"/>
        <w:spacing w:lineRule="auto" w:line="288" w:before="160" w:after="283"/>
        <w:jc w:val="both"/>
        <w:rPr/>
      </w:pPr>
      <w:r>
        <w:rPr>
          <w:rFonts w:ascii="Times New Roman;sans-serif" w:hAnsi="Times New Roman;sans-serif"/>
          <w:b/>
          <w:color w:val="242424"/>
          <w:sz w:val="24"/>
        </w:rPr>
        <w:t>NASHVILLE, TENNESSEE (</w:t>
      </w:r>
      <w:r>
        <w:rPr>
          <w:rFonts w:ascii="Times New Roman;sans-serif" w:hAnsi="Times New Roman;sans-serif"/>
          <w:b/>
          <w:color w:val="000000"/>
          <w:sz w:val="24"/>
        </w:rPr>
        <w:t>Thursday</w:t>
      </w:r>
      <w:r>
        <w:rPr>
          <w:rFonts w:ascii="Times New Roman;sans-serif" w:hAnsi="Times New Roman;sans-serif"/>
          <w:b/>
          <w:color w:val="242424"/>
          <w:sz w:val="24"/>
        </w:rPr>
        <w:t xml:space="preserve">, </w:t>
      </w:r>
      <w:r>
        <w:rPr>
          <w:rFonts w:ascii="Times New Roman;sans-serif" w:hAnsi="Times New Roman;sans-serif"/>
          <w:b/>
          <w:color w:val="000000"/>
          <w:sz w:val="24"/>
        </w:rPr>
        <w:t>November 7, 2024</w:t>
      </w:r>
      <w:r>
        <w:rPr>
          <w:rFonts w:ascii="Times New Roman;sans-serif" w:hAnsi="Times New Roman;sans-serif"/>
          <w:b/>
          <w:color w:val="242424"/>
          <w:sz w:val="24"/>
        </w:rPr>
        <w:t>)</w:t>
      </w:r>
      <w:r>
        <w:rPr>
          <w:color w:val="242424"/>
        </w:rPr>
        <w:t xml:space="preserve"> – </w:t>
      </w:r>
      <w:r>
        <w:rPr>
          <w:rFonts w:ascii="Times New Roman;sans-serif" w:hAnsi="Times New Roman;sans-serif"/>
          <w:b w:val="false"/>
          <w:color w:val="242424"/>
          <w:sz w:val="24"/>
        </w:rPr>
        <w:t>Cumberland Pharmaceuticals Inc. (Nasdaq: CPIX), a specialty pharmaceutical company, today announced that its portfolio of FDA-approved brands delivered combined revenues of $9.1 million during the third quarter of 2024</w:t>
      </w:r>
      <w:r>
        <w:rPr>
          <w:rFonts w:ascii="Times New Roman;sans-serif" w:hAnsi="Times New Roman;sans-serif"/>
          <w:b w:val="false"/>
          <w:color w:val="000000"/>
          <w:sz w:val="24"/>
        </w:rPr>
        <w:t xml:space="preserve">. The company ended the third quarter of 2024 with </w:t>
      </w:r>
      <w:r>
        <w:rPr>
          <w:rFonts w:ascii="Times New Roman;sans-serif" w:hAnsi="Times New Roman;sans-serif"/>
          <w:b w:val="false"/>
          <w:color w:val="242424"/>
          <w:sz w:val="24"/>
        </w:rPr>
        <w:t>$77 million</w:t>
      </w:r>
      <w:r>
        <w:rPr>
          <w:color w:val="000000"/>
        </w:rPr>
        <w:t xml:space="preserve"> </w:t>
      </w:r>
      <w:r>
        <w:rPr>
          <w:rFonts w:ascii="Times New Roman;sans-serif" w:hAnsi="Times New Roman;sans-serif"/>
          <w:b w:val="false"/>
          <w:color w:val="000000"/>
          <w:sz w:val="24"/>
        </w:rPr>
        <w:t xml:space="preserve">in total assets, </w:t>
      </w:r>
      <w:r>
        <w:rPr>
          <w:rFonts w:ascii="Times New Roman;sans-serif" w:hAnsi="Times New Roman;sans-serif"/>
          <w:b w:val="false"/>
          <w:color w:val="242424"/>
          <w:sz w:val="24"/>
        </w:rPr>
        <w:t>$52 million</w:t>
      </w:r>
      <w:r>
        <w:rPr>
          <w:color w:val="000000"/>
        </w:rPr>
        <w:t xml:space="preserve"> </w:t>
      </w:r>
      <w:r>
        <w:rPr>
          <w:rFonts w:ascii="Times New Roman;sans-serif" w:hAnsi="Times New Roman;sans-serif"/>
          <w:b w:val="false"/>
          <w:color w:val="000000"/>
          <w:sz w:val="24"/>
        </w:rPr>
        <w:t xml:space="preserve">in liabilities and </w:t>
      </w:r>
      <w:r>
        <w:rPr>
          <w:rFonts w:ascii="Times New Roman;sans-serif" w:hAnsi="Times New Roman;sans-serif"/>
          <w:b w:val="false"/>
          <w:color w:val="242424"/>
          <w:sz w:val="24"/>
        </w:rPr>
        <w:t>$25 million</w:t>
      </w:r>
      <w:r>
        <w:rPr>
          <w:color w:val="000000"/>
        </w:rPr>
        <w:t xml:space="preserve"> </w:t>
      </w:r>
      <w:r>
        <w:rPr>
          <w:rFonts w:ascii="Times New Roman;sans-serif" w:hAnsi="Times New Roman;sans-serif"/>
          <w:b w:val="false"/>
          <w:color w:val="000000"/>
          <w:sz w:val="24"/>
        </w:rPr>
        <w:t>of shareholders’ equity.</w:t>
      </w:r>
    </w:p>
    <w:p>
      <w:pPr>
        <w:pStyle w:val="TextBody"/>
        <w:bidi w:val="0"/>
        <w:spacing w:lineRule="auto" w:line="288" w:before="160" w:after="283"/>
        <w:jc w:val="both"/>
        <w:rPr>
          <w:color w:val="000000"/>
        </w:rPr>
      </w:pPr>
      <w:r>
        <w:rPr>
          <w:color w:val="000000"/>
        </w:rPr>
        <w:t>“</w:t>
      </w:r>
      <w:r>
        <w:rPr>
          <w:rFonts w:ascii="Times New Roman;sans-serif" w:hAnsi="Times New Roman;sans-serif"/>
          <w:b w:val="false"/>
          <w:color w:val="000000"/>
          <w:sz w:val="24"/>
        </w:rPr>
        <w:t>With a number of developments and growth opportunities underway at Cumberland, we remain optimistic about our future outlook,” said A.J. Kazimi, CEO of Cumberland Pharmaceuticals. “As we move into the remainder of the year, our dedicated team will continue in their efforts – working together to provide unique products that improve the quality of patient care.”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RECENT DEVELOPMENTS INCLUDE: </w:t>
      </w:r>
    </w:p>
    <w:p>
      <w:pPr>
        <w:pStyle w:val="TextBody"/>
        <w:bidi w:val="0"/>
        <w:spacing w:lineRule="auto" w:line="288" w:before="160" w:after="283"/>
        <w:jc w:val="both"/>
        <w:rPr>
          <w:rFonts w:ascii="Times New Roman;sans-serif" w:hAnsi="Times New Roman;sans-serif"/>
          <w:b/>
          <w:color w:val="000000"/>
          <w:sz w:val="24"/>
        </w:rPr>
      </w:pPr>
      <w:r>
        <w:rPr>
          <w:rFonts w:ascii="Times New Roman;sans-serif" w:hAnsi="Times New Roman;sans-serif"/>
          <w:b/>
          <w:color w:val="000000"/>
          <w:sz w:val="24"/>
        </w:rPr>
        <w:t>New Real-World Study Favors Caldolor over ketorolac</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Earlier this week, Cumberland announced the publication of new real-world outcomes research comparing Caldolor to its key competitor – ketorolac.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This extensive analysis evaluated 17 million patient records and selected over 150,000 adult and pediatric patients who receive either product.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results provide compelling evidence that Caldolor is associated with a significantly reduced incidence of adverse drug reactions and also improved healthcare utilization.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believes these important new findings underscore Caldolor’s potential to improve patient care by reducing their treatment complications, while also delivering potential savings for healthcare systems through decreased hospital readmissions and shortened treatment times.</w:t>
      </w:r>
    </w:p>
    <w:p>
      <w:pPr>
        <w:pStyle w:val="TextBody"/>
        <w:bidi w:val="0"/>
        <w:spacing w:lineRule="auto" w:line="288" w:before="160" w:after="283"/>
        <w:jc w:val="both"/>
        <w:rPr/>
      </w:pPr>
      <w:r>
        <w:rPr>
          <w:rFonts w:ascii="Times New Roman;sans-serif" w:hAnsi="Times New Roman;sans-serif"/>
          <w:b/>
          <w:color w:val="000000"/>
          <w:sz w:val="24"/>
        </w:rPr>
        <w:t>State Medicaid Coverage for Kristalose</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Grows</w:t>
      </w:r>
    </w:p>
    <w:p>
      <w:pPr>
        <w:pStyle w:val="TextBody"/>
        <w:bidi w:val="0"/>
        <w:spacing w:lineRule="auto" w:line="288" w:before="160" w:after="283"/>
        <w:jc w:val="both"/>
        <w:rPr/>
      </w:pPr>
      <w:r>
        <w:rPr>
          <w:rFonts w:ascii="Times New Roman;sans-serif" w:hAnsi="Times New Roman;sans-serif"/>
          <w:b w:val="false"/>
          <w:color w:val="000000"/>
          <w:sz w:val="24"/>
        </w:rPr>
        <w:t xml:space="preserve">Cumberland's prescription-strength laxative, Kristalose, continues to perform best in states where the company has Medicaid </w:t>
      </w:r>
      <w:r>
        <w:rPr>
          <w:rFonts w:ascii="Times New Roman;sans-serif" w:hAnsi="Times New Roman;sans-serif"/>
          <w:b w:val="false"/>
          <w:color w:val="242424"/>
          <w:sz w:val="24"/>
        </w:rPr>
        <w:t>coverage</w:t>
      </w:r>
      <w:r>
        <w:rPr>
          <w:rFonts w:ascii="Times New Roman;sans-serif" w:hAnsi="Times New Roman;sans-serif"/>
          <w:b w:val="false"/>
          <w:color w:val="000000"/>
          <w:sz w:val="24"/>
        </w:rPr>
        <w:t>, such as Texas, New York and Wisconsin. Cumberland has announced that the product is now also covered on certain Virginia, Louisiana and Maine Medicaid plans.</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pPr>
      <w:r>
        <w:rPr>
          <w:rFonts w:ascii="Times New Roman;sans-serif" w:hAnsi="Times New Roman;sans-serif"/>
          <w:b/>
          <w:color w:val="000000"/>
          <w:sz w:val="24"/>
        </w:rPr>
        <w:t>New WHO Report Highlights Need for Antibiotics like Vibativ</w:t>
      </w:r>
      <w:r>
        <w:rPr>
          <w:rFonts w:ascii="Times New Roman;sans-serif" w:hAnsi="Times New Roman;sans-serif"/>
          <w:b/>
          <w:color w:val="000000"/>
          <w:sz w:val="13"/>
        </w:rPr>
        <w:t>®</w:t>
      </w:r>
    </w:p>
    <w:p>
      <w:pPr>
        <w:pStyle w:val="TextBody"/>
        <w:bidi w:val="0"/>
        <w:spacing w:lineRule="auto" w:line="288" w:before="160" w:after="283"/>
        <w:jc w:val="both"/>
        <w:rPr/>
      </w:pPr>
      <w:r>
        <w:rPr>
          <w:rFonts w:ascii="Times New Roman;sans-serif" w:hAnsi="Times New Roman;sans-serif"/>
          <w:b w:val="false"/>
          <w:color w:val="000000"/>
          <w:sz w:val="24"/>
        </w:rPr>
        <w:t xml:space="preserve">The </w:t>
      </w:r>
      <w:r>
        <w:rPr>
          <w:rFonts w:ascii="Times New Roman;sans-serif" w:hAnsi="Times New Roman;sans-serif"/>
          <w:b w:val="false"/>
          <w:i/>
          <w:color w:val="000000"/>
          <w:sz w:val="24"/>
        </w:rPr>
        <w:t>World Health Organization ("WHO")</w:t>
      </w:r>
      <w:r>
        <w:rPr>
          <w:color w:val="000000"/>
        </w:rPr>
        <w:t xml:space="preserve"> </w:t>
      </w:r>
      <w:r>
        <w:rPr>
          <w:rFonts w:ascii="Times New Roman;sans-serif" w:hAnsi="Times New Roman;sans-serif"/>
          <w:b w:val="false"/>
          <w:color w:val="000000"/>
          <w:sz w:val="24"/>
        </w:rPr>
        <w:t xml:space="preserve">issued a new report that found that antimicrobial resistance is becoming an urgent global </w:t>
      </w:r>
      <w:r>
        <w:rPr>
          <w:rFonts w:ascii="Times New Roman;sans-serif" w:hAnsi="Times New Roman;sans-serif"/>
          <w:b w:val="false"/>
          <w:color w:val="242424"/>
          <w:sz w:val="24"/>
        </w:rPr>
        <w:t>health</w:t>
      </w:r>
      <w:r>
        <w:rPr>
          <w:color w:val="000000"/>
        </w:rPr>
        <w:t xml:space="preserve"> </w:t>
      </w:r>
      <w:r>
        <w:rPr>
          <w:rFonts w:ascii="Times New Roman;sans-serif" w:hAnsi="Times New Roman;sans-serif"/>
          <w:b w:val="false"/>
          <w:color w:val="000000"/>
          <w:sz w:val="24"/>
        </w:rPr>
        <w:t>and socioeconomic crisis. Further, it noted that the worldwide rise in antibiotic resistance poses a significant threat, diminishing the effectiveness of many common antibiotics against widespread bacterial infections. Unlike many antibiotics that are losing the battle to fight bacteria, Vibativ’s unique dual method of action was specifically designed to address drug-resistant bacteria, and Cumberland believes it has the potential to help many patients amid the growing antibiotic resistance crisis.</w:t>
      </w:r>
    </w:p>
    <w:p>
      <w:pPr>
        <w:pStyle w:val="TextBody"/>
        <w:bidi w:val="0"/>
        <w:spacing w:lineRule="auto" w:line="288" w:before="160" w:after="283"/>
        <w:jc w:val="both"/>
        <w:rPr/>
      </w:pPr>
      <w:r>
        <w:rPr>
          <w:rFonts w:ascii="Times New Roman;sans-serif" w:hAnsi="Times New Roman;sans-serif"/>
          <w:b/>
          <w:color w:val="000000"/>
          <w:sz w:val="24"/>
        </w:rPr>
        <w:t>Expanded Patient Support for Sancuso</w:t>
      </w:r>
      <w:r>
        <w:rPr>
          <w:rFonts w:ascii="Times New Roman;sans-serif" w:hAnsi="Times New Roman;sans-serif"/>
          <w:b/>
          <w:color w:val="000000"/>
          <w:sz w:val="13"/>
        </w:rPr>
        <w: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During the third quarter, Cumberland launched new patient support initiatives for Sancuso, its oncology medication, which broaden access to the product, allowing more patients to try it and experience its benefits. The company introduced a new HUB services capability to provide enhanced, comprehensive patient access and assistance throughout their treatment journey.</w:t>
      </w:r>
    </w:p>
    <w:p>
      <w:pPr>
        <w:pStyle w:val="TextBody"/>
        <w:bidi w:val="0"/>
        <w:spacing w:lineRule="auto" w:line="288" w:before="160" w:after="283"/>
        <w:jc w:val="left"/>
        <w:rPr>
          <w:rFonts w:ascii="Times New Roman;sans-serif" w:hAnsi="Times New Roman;sans-serif"/>
          <w:b/>
          <w:color w:val="000000"/>
          <w:sz w:val="24"/>
        </w:rPr>
      </w:pPr>
      <w:r>
        <w:rPr>
          <w:rFonts w:ascii="Times New Roman;sans-serif" w:hAnsi="Times New Roman;sans-serif"/>
          <w:b/>
          <w:color w:val="000000"/>
          <w:sz w:val="24"/>
        </w:rPr>
        <w:t>International Partnerships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In September 2024, Cumberland’s partner for Caldolor in Mexico, PiSA Pharmaceutical – one of the largest established pharmaceutical companies in that country – completed the submission of the approval dossier to Mexico’s regulatory agency for the product’s approval there.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also continues to work with its partners in their efforts to register and launch Vibativ in several international markets such as China, Saudi Arabia and South Korea. In fact, Cumberland’s partner in the Middle East, Tabuk Pharmaceutical, has obtained the final approvals needed to commercialize Vibativ in Saudi Arabia and has begun ordering the product in preparation for its launch, which is planned for this year.</w:t>
      </w: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color w:val="000000"/>
          <w:sz w:val="24"/>
        </w:rPr>
      </w:pPr>
      <w:r>
        <w:rPr>
          <w:rFonts w:ascii="Times New Roman;sans-serif" w:hAnsi="Times New Roman;sans-serif"/>
          <w:b/>
          <w:color w:val="000000"/>
          <w:sz w:val="24"/>
        </w:rPr>
        <w:t>Cumberland Emerging Technologies Program Developments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Through its work at Cumberland Emerging Technologies, Inc. (“CET”), Cumberland continues to build a long-term pipeline of innovative new biopharmaceutical products and has recently shared several new developments.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CET is advancing a new treatment for delirium, a growing neurological condition affecting critical care patients. Results from the Phase II MENDING Trial, conducted with Vanderbilt University Medical Center and funded by the National Institute of Health ("NIH"), demonstrate promising outcomes for the treatment’s safety and efficacy. The trial’s primary safety endpoint – the safety of this new treatment – was met, with the treatment generally well-tolerated among patients. Additionally, findings showed reductions in delirium days, antipsychotic, opioid and sedative use, and coma occurrences, which, while not statistically significant due to the small sample size, were deemed clinically meaningful. CET is now planning to discuss a potential pivotal study with the FDA to further evaluate the proprietary formulation tested in the pilot study.</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Additionally, CET has announced a new product, developed in collaboration with Vanderbilt researchers and initially funded by an NIH small business grant, designed to detect internal bleeding. During the third quarter, CET partnered with a corporate sponsor to fund the remaining development and plan for the commercialization of this biologic. Unlike standard GI hemorrhage diagnostics, which rely on colonoscopy or CT scans that may be ineffective without active bleeding, CET's technology identifies pre-formed blood clots, enabling precise localization of bleeding sites even after bleeding stops. This advancement could streamline diagnosis, reduce healthcare costs and lessen patient strain. Next steps include scaling up supplies, while conducting the additional testing needed to file and obtain clearance for an investigational new drug application, paving the way for an initial patient study.</w:t>
      </w:r>
    </w:p>
    <w:p>
      <w:pPr>
        <w:pStyle w:val="TextBody"/>
        <w:bidi w:val="0"/>
        <w:spacing w:before="16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left"/>
        <w:rPr>
          <w:rFonts w:ascii="Times New Roman;sans-serif" w:hAnsi="Times New Roman;sans-serif"/>
          <w:b/>
          <w:color w:val="000000"/>
          <w:sz w:val="24"/>
        </w:rPr>
      </w:pPr>
      <w:r>
        <w:rPr>
          <w:rFonts w:ascii="Times New Roman;sans-serif" w:hAnsi="Times New Roman;sans-serif"/>
          <w:b/>
          <w:color w:val="000000"/>
          <w:sz w:val="24"/>
        </w:rPr>
        <w:t>Product Pipeline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has been evaluating its ifetroban product candidate, a selective thromboxane-prostanoid receptor antagonist, in a series of clinical studies. It has now been dosed in nearly 1,400 subjects and has been found to be safe and well tolerated in healthy volunteers and various patient populations. The company has three Phase II clinical programs underway evaluating ifetroban in patients with 1) Systemic Sclerosis or scleroderma, a debilitating autoimmune disorder characterized by diffuse fibrosis of the skin and internal organs, 2) cardiomyopathy associated with Duchenne Muscular Dystrophy, a rare, fatal, genetic neuromuscular disease that results in deterioration of the skeletal, heart, and lung muscles and 3) Idiopathic Pulmonary Fibrosis, the most common form of progressive fibrosing interstitial lung disease. This third program is the company’s newest, with enrollment now underway.</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The company has applied for two FDA designations for our Duchenne Muscular Dystrophy product candidate: </w:t>
      </w:r>
    </w:p>
    <w:p>
      <w:pPr>
        <w:pStyle w:val="TextBody"/>
        <w:bidi w:val="0"/>
        <w:spacing w:lineRule="auto" w:line="288" w:before="160" w:after="283"/>
        <w:jc w:val="both"/>
        <w:rPr/>
      </w:pPr>
      <w:r>
        <w:rPr>
          <w:rFonts w:ascii="Times New Roman;sans-serif" w:hAnsi="Times New Roman;sans-serif"/>
          <w:b w:val="false"/>
          <w:color w:val="000000"/>
          <w:sz w:val="24"/>
        </w:rPr>
        <w:t xml:space="preserve">1) </w:t>
      </w:r>
      <w:r>
        <w:rPr>
          <w:rFonts w:ascii="Times New Roman;sans-serif" w:hAnsi="Times New Roman;sans-serif"/>
          <w:b w:val="false"/>
          <w:i/>
          <w:color w:val="000000"/>
          <w:sz w:val="24"/>
        </w:rPr>
        <w:t>Orphan Drug Designation</w:t>
      </w:r>
      <w:r>
        <w:rPr>
          <w:rFonts w:ascii="Times New Roman;sans-serif" w:hAnsi="Times New Roman;sans-serif"/>
          <w:b w:val="false"/>
          <w:color w:val="000000"/>
          <w:sz w:val="24"/>
        </w:rPr>
        <w:t>, which is granted to products that show promise in the treatment, prevention or diagnosis of rare – or orphan – diseases; such designation can result in a number of benefits associated with the FDA review process including exclusivity after approval of the product.</w:t>
      </w:r>
    </w:p>
    <w:p>
      <w:pPr>
        <w:pStyle w:val="TextBody"/>
        <w:bidi w:val="0"/>
        <w:spacing w:lineRule="auto" w:line="288" w:before="160" w:after="283"/>
        <w:jc w:val="both"/>
        <w:rPr/>
      </w:pPr>
      <w:r>
        <w:rPr>
          <w:rFonts w:ascii="Times New Roman;sans-serif" w:hAnsi="Times New Roman;sans-serif"/>
          <w:b w:val="false"/>
          <w:color w:val="000000"/>
          <w:sz w:val="24"/>
        </w:rPr>
        <w:t xml:space="preserve">2) </w:t>
      </w:r>
      <w:r>
        <w:rPr>
          <w:rFonts w:ascii="Times New Roman;sans-serif" w:hAnsi="Times New Roman;sans-serif"/>
          <w:b w:val="false"/>
          <w:i/>
          <w:color w:val="000000"/>
          <w:sz w:val="24"/>
        </w:rPr>
        <w:t>Rare Pediatric Disease Designation</w:t>
      </w:r>
      <w:r>
        <w:rPr>
          <w:rFonts w:ascii="Times New Roman;sans-serif" w:hAnsi="Times New Roman;sans-serif"/>
          <w:b w:val="false"/>
          <w:color w:val="000000"/>
          <w:sz w:val="24"/>
        </w:rPr>
        <w:t>, which is given to products intended to prevent or treat serious or life-threatening diseases that primarily affect children from birth to 18 years of age. Upon FDA approval, this designation may result in a priority review voucher from the FDA for a different product.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Cumberland subsequently was informed by the FDA that both the Orphan Drug Designation and the Rare Pediatric Disease Designation requests for this candidate have been granted.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 expects to close two ifetroban studies this year and will share results from all studies underway before deciding on the best development path for ifetroban, its first new chemical entity, which the company believes has the potential to benefit many patients with orphan diseases that represent unmet medical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FINANCIAL RESULTS</w:t>
      </w:r>
    </w:p>
    <w:p>
      <w:pPr>
        <w:pStyle w:val="TextBody"/>
        <w:bidi w:val="0"/>
        <w:spacing w:lineRule="auto" w:line="288" w:before="160" w:after="283"/>
        <w:jc w:val="both"/>
        <w:rPr/>
      </w:pPr>
      <w:r>
        <w:rPr>
          <w:rFonts w:ascii="Times New Roman;sans-serif" w:hAnsi="Times New Roman;sans-serif"/>
          <w:b/>
          <w:color w:val="242424"/>
          <w:sz w:val="24"/>
        </w:rPr>
        <w:t xml:space="preserve">Net Revenue: </w:t>
      </w:r>
      <w:r>
        <w:rPr>
          <w:rFonts w:ascii="Times New Roman;sans-serif" w:hAnsi="Times New Roman;sans-serif"/>
          <w:b w:val="false"/>
          <w:color w:val="242424"/>
          <w:sz w:val="24"/>
        </w:rPr>
        <w:t xml:space="preserve">For the three months ended September 30, 2024, net revenues were $9.1 million. Net revenue by product for the third quarter of 2024 included </w:t>
      </w:r>
      <w:r>
        <w:rPr>
          <w:rFonts w:ascii="Times New Roman;sans-serif" w:hAnsi="Times New Roman;sans-serif"/>
          <w:b w:val="false"/>
          <w:color w:val="000000"/>
          <w:sz w:val="24"/>
        </w:rPr>
        <w:t>$3.6 million</w:t>
      </w:r>
      <w:r>
        <w:rPr>
          <w:color w:val="242424"/>
        </w:rPr>
        <w:t xml:space="preserve"> </w:t>
      </w:r>
      <w:r>
        <w:rPr>
          <w:rFonts w:ascii="Times New Roman;sans-serif" w:hAnsi="Times New Roman;sans-serif"/>
          <w:b w:val="false"/>
          <w:color w:val="242424"/>
          <w:sz w:val="24"/>
        </w:rPr>
        <w:t>for Kristalose</w:t>
      </w:r>
      <w:r>
        <w:rPr>
          <w:rFonts w:ascii="Times New Roman;sans-serif" w:hAnsi="Times New Roman;sans-serif"/>
          <w:b w:val="false"/>
          <w:color w:val="242424"/>
          <w:sz w:val="13"/>
        </w:rPr>
        <w:t>®</w:t>
      </w:r>
      <w:r>
        <w:rPr>
          <w:rFonts w:ascii="Times New Roman;sans-serif" w:hAnsi="Times New Roman;sans-serif"/>
          <w:b w:val="false"/>
          <w:color w:val="242424"/>
          <w:sz w:val="24"/>
        </w:rPr>
        <w:t xml:space="preserve">, </w:t>
      </w:r>
      <w:r>
        <w:rPr>
          <w:rFonts w:ascii="Times New Roman;sans-serif" w:hAnsi="Times New Roman;sans-serif"/>
          <w:b w:val="false"/>
          <w:color w:val="000000"/>
          <w:sz w:val="24"/>
        </w:rPr>
        <w:t xml:space="preserve">$2.6 million </w:t>
      </w:r>
      <w:r>
        <w:rPr>
          <w:rFonts w:ascii="Times New Roman;sans-serif" w:hAnsi="Times New Roman;sans-serif"/>
          <w:b w:val="false"/>
          <w:color w:val="242424"/>
          <w:sz w:val="24"/>
        </w:rPr>
        <w:t>for Sancuso</w:t>
      </w:r>
      <w:r>
        <w:rPr>
          <w:rFonts w:ascii="Times New Roman;sans-serif" w:hAnsi="Times New Roman;sans-serif"/>
          <w:b w:val="false"/>
          <w:color w:val="242424"/>
          <w:sz w:val="13"/>
        </w:rPr>
        <w:t>®</w:t>
      </w:r>
      <w:r>
        <w:rPr>
          <w:rFonts w:ascii="Times New Roman;sans-serif" w:hAnsi="Times New Roman;sans-serif"/>
          <w:b w:val="false"/>
          <w:color w:val="242424"/>
          <w:sz w:val="24"/>
        </w:rPr>
        <w:t xml:space="preserve">, </w:t>
      </w:r>
      <w:r>
        <w:rPr>
          <w:rFonts w:ascii="Times New Roman;sans-serif" w:hAnsi="Times New Roman;sans-serif"/>
          <w:b w:val="false"/>
          <w:color w:val="000000"/>
          <w:sz w:val="24"/>
        </w:rPr>
        <w:t>$1.3 million</w:t>
      </w:r>
      <w:r>
        <w:rPr>
          <w:color w:val="242424"/>
        </w:rPr>
        <w:t xml:space="preserve"> </w:t>
      </w:r>
      <w:r>
        <w:rPr>
          <w:rFonts w:ascii="Times New Roman;sans-serif" w:hAnsi="Times New Roman;sans-serif"/>
          <w:b w:val="false"/>
          <w:color w:val="242424"/>
          <w:sz w:val="24"/>
        </w:rPr>
        <w:t>for Caldolor</w:t>
      </w:r>
      <w:r>
        <w:rPr>
          <w:rFonts w:ascii="Times New Roman;sans-serif" w:hAnsi="Times New Roman;sans-serif"/>
          <w:b w:val="false"/>
          <w:color w:val="242424"/>
          <w:sz w:val="13"/>
        </w:rPr>
        <w:t>®</w:t>
      </w:r>
      <w:r>
        <w:rPr>
          <w:color w:val="242424"/>
        </w:rPr>
        <w:t xml:space="preserve"> </w:t>
      </w:r>
      <w:r>
        <w:rPr>
          <w:rFonts w:ascii="Times New Roman;sans-serif" w:hAnsi="Times New Roman;sans-serif"/>
          <w:b w:val="false"/>
          <w:color w:val="242424"/>
          <w:sz w:val="24"/>
        </w:rPr>
        <w:t xml:space="preserve">and </w:t>
      </w:r>
      <w:r>
        <w:rPr>
          <w:rFonts w:ascii="Times New Roman;sans-serif" w:hAnsi="Times New Roman;sans-serif"/>
          <w:b w:val="false"/>
          <w:color w:val="000000"/>
          <w:sz w:val="24"/>
        </w:rPr>
        <w:t xml:space="preserve">$1 million </w:t>
      </w:r>
      <w:r>
        <w:rPr>
          <w:rFonts w:ascii="Times New Roman;sans-serif" w:hAnsi="Times New Roman;sans-serif"/>
          <w:b w:val="false"/>
          <w:color w:val="242424"/>
          <w:sz w:val="24"/>
        </w:rPr>
        <w:t>for Vibativ</w:t>
      </w:r>
      <w:r>
        <w:rPr>
          <w:rFonts w:ascii="Times New Roman;sans-serif" w:hAnsi="Times New Roman;sans-serif"/>
          <w:b w:val="false"/>
          <w:color w:val="242424"/>
          <w:sz w:val="13"/>
        </w:rPr>
        <w:t>®</w:t>
      </w:r>
      <w:r>
        <w:rPr>
          <w:rFonts w:ascii="Times New Roman;sans-serif" w:hAnsi="Times New Roman;sans-serif"/>
          <w:b w:val="false"/>
          <w:color w:val="242424"/>
          <w:sz w:val="24"/>
        </w:rPr>
        <w:t>.</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Year-to-date 2024 net revenues were $27 million. Year-to-date net revenues by product were $10.9 million for Kristalose, $6.6 million for Sancuso, $5.1 million for Vibativ and $3.6 million for Caldolor.</w:t>
      </w:r>
    </w:p>
    <w:p>
      <w:pPr>
        <w:pStyle w:val="TextBody"/>
        <w:bidi w:val="0"/>
        <w:spacing w:lineRule="auto" w:line="288" w:before="160" w:after="283"/>
        <w:jc w:val="both"/>
        <w:rPr/>
      </w:pPr>
      <w:r>
        <w:rPr>
          <w:rFonts w:ascii="Times New Roman;sans-serif" w:hAnsi="Times New Roman;sans-serif"/>
          <w:b/>
          <w:color w:val="242424"/>
          <w:sz w:val="24"/>
        </w:rPr>
        <w:t xml:space="preserve">Operating Expenses: </w:t>
      </w:r>
      <w:r>
        <w:rPr>
          <w:rFonts w:ascii="Times New Roman;sans-serif" w:hAnsi="Times New Roman;sans-serif"/>
          <w:b w:val="false"/>
          <w:color w:val="242424"/>
          <w:sz w:val="24"/>
        </w:rPr>
        <w:t xml:space="preserve">Total operating expenses were $10.8 million for the </w:t>
      </w:r>
      <w:r>
        <w:rPr>
          <w:rFonts w:ascii="Times New Roman;sans-serif" w:hAnsi="Times New Roman;sans-serif"/>
          <w:b w:val="false"/>
          <w:color w:val="000000"/>
          <w:sz w:val="24"/>
        </w:rPr>
        <w:t>third quarter of 2024 and $32 million year-to-date.</w:t>
      </w:r>
    </w:p>
    <w:p>
      <w:pPr>
        <w:pStyle w:val="TextBody"/>
        <w:bidi w:val="0"/>
        <w:spacing w:lineRule="auto" w:line="288" w:before="160" w:after="283"/>
        <w:jc w:val="both"/>
        <w:rPr/>
      </w:pPr>
      <w:r>
        <w:rPr>
          <w:rFonts w:ascii="Times New Roman;sans-serif" w:hAnsi="Times New Roman;sans-serif"/>
          <w:b/>
          <w:color w:val="242424"/>
          <w:sz w:val="24"/>
        </w:rPr>
        <w:t xml:space="preserve">Net Income (Loss): </w:t>
      </w:r>
      <w:r>
        <w:rPr>
          <w:rFonts w:ascii="Times New Roman;sans-serif" w:hAnsi="Times New Roman;sans-serif"/>
          <w:b w:val="false"/>
          <w:color w:val="242424"/>
          <w:sz w:val="24"/>
        </w:rPr>
        <w:t>The net loss for the third quarter of 2024 was $1.5 million, or $0.11 a share</w:t>
      </w:r>
      <w:r>
        <w:rPr>
          <w:rFonts w:ascii="Times New Roman;sans-serif" w:hAnsi="Times New Roman;sans-serif"/>
          <w:b w:val="false"/>
          <w:color w:val="000000"/>
          <w:sz w:val="24"/>
        </w:rPr>
        <w:t>.</w:t>
      </w:r>
    </w:p>
    <w:p>
      <w:pPr>
        <w:pStyle w:val="TextBody"/>
        <w:bidi w:val="0"/>
        <w:spacing w:lineRule="auto" w:line="288" w:before="160" w:after="283"/>
        <w:jc w:val="both"/>
        <w:rPr/>
      </w:pPr>
      <w:r>
        <w:rPr>
          <w:rFonts w:ascii="Times New Roman;sans-serif" w:hAnsi="Times New Roman;sans-serif"/>
          <w:b/>
          <w:color w:val="242424"/>
          <w:sz w:val="24"/>
        </w:rPr>
        <w:t xml:space="preserve">Adjusted Earnings: </w:t>
      </w:r>
      <w:r>
        <w:rPr>
          <w:rFonts w:ascii="Times New Roman;sans-serif" w:hAnsi="Times New Roman;sans-serif"/>
          <w:b w:val="false"/>
          <w:color w:val="242424"/>
          <w:sz w:val="24"/>
        </w:rPr>
        <w:t xml:space="preserve">Adjusted loss for the third quarter of 2024 was $0.26 million, or $0.02 per share. The adjusted earnings calculation does not include the benefit of the </w:t>
      </w:r>
      <w:r>
        <w:rPr>
          <w:rFonts w:ascii="Times New Roman;sans-serif" w:hAnsi="Times New Roman;sans-serif"/>
          <w:b w:val="false"/>
          <w:color w:val="000000"/>
          <w:sz w:val="24"/>
        </w:rPr>
        <w:t>$0.1 million</w:t>
      </w:r>
      <w:r>
        <w:rPr>
          <w:color w:val="242424"/>
        </w:rPr>
        <w:t xml:space="preserve"> </w:t>
      </w:r>
      <w:r>
        <w:rPr>
          <w:rFonts w:ascii="Times New Roman;sans-serif" w:hAnsi="Times New Roman;sans-serif"/>
          <w:b w:val="false"/>
          <w:color w:val="242424"/>
          <w:sz w:val="24"/>
        </w:rPr>
        <w:t>cost of goods for Vibativ during the quarter, which was received as part of the product’s acquisition.</w:t>
      </w:r>
    </w:p>
    <w:p>
      <w:pPr>
        <w:pStyle w:val="TextBody"/>
        <w:bidi w:val="0"/>
        <w:spacing w:lineRule="auto" w:line="288" w:before="160" w:after="283"/>
        <w:jc w:val="left"/>
        <w:rPr>
          <w:rFonts w:ascii="Times New Roman;sans-serif" w:hAnsi="Times New Roman;sans-serif"/>
          <w:b/>
          <w:color w:val="242424"/>
          <w:sz w:val="24"/>
        </w:rPr>
      </w:pPr>
      <w:r>
        <w:rPr>
          <w:rFonts w:ascii="Times New Roman;sans-serif" w:hAnsi="Times New Roman;sans-serif"/>
          <w:b/>
          <w:color w:val="242424"/>
          <w:sz w:val="24"/>
        </w:rPr>
        <w:t xml:space="preserve">Balance Sheet: </w:t>
      </w:r>
    </w:p>
    <w:p>
      <w:pPr>
        <w:pStyle w:val="TextBody"/>
        <w:bidi w:val="0"/>
        <w:spacing w:lineRule="auto" w:line="288" w:before="160" w:after="283"/>
        <w:jc w:val="both"/>
        <w:rPr/>
      </w:pPr>
      <w:r>
        <w:rPr>
          <w:rFonts w:ascii="Times New Roman;sans-serif" w:hAnsi="Times New Roman;sans-serif"/>
          <w:b w:val="false"/>
          <w:color w:val="242424"/>
          <w:sz w:val="24"/>
        </w:rPr>
        <w:t xml:space="preserve">At </w:t>
      </w:r>
      <w:r>
        <w:rPr>
          <w:rFonts w:ascii="Times New Roman;sans-serif" w:hAnsi="Times New Roman;sans-serif"/>
          <w:b w:val="false"/>
          <w:color w:val="000000"/>
          <w:sz w:val="24"/>
        </w:rPr>
        <w:t>September 30, 2024</w:t>
      </w:r>
      <w:r>
        <w:rPr>
          <w:rFonts w:ascii="Times New Roman;sans-serif" w:hAnsi="Times New Roman;sans-serif"/>
          <w:b w:val="false"/>
          <w:color w:val="242424"/>
          <w:sz w:val="24"/>
        </w:rPr>
        <w:t xml:space="preserve">, Cumberland had $76.7 million in total assets, including $17.5 million in cash and cash equivalents. Total liabilities were $52.3 million, including </w:t>
      </w:r>
      <w:r>
        <w:rPr>
          <w:rFonts w:ascii="Times New Roman;sans-serif" w:hAnsi="Times New Roman;sans-serif"/>
          <w:b w:val="false"/>
          <w:color w:val="000000"/>
          <w:sz w:val="24"/>
        </w:rPr>
        <w:t>$16.1 million</w:t>
      </w:r>
      <w:r>
        <w:rPr>
          <w:color w:val="242424"/>
        </w:rPr>
        <w:t xml:space="preserve"> </w:t>
      </w:r>
      <w:r>
        <w:rPr>
          <w:rFonts w:ascii="Times New Roman;sans-serif" w:hAnsi="Times New Roman;sans-serif"/>
          <w:b w:val="false"/>
          <w:color w:val="242424"/>
          <w:sz w:val="24"/>
        </w:rPr>
        <w:t>outstanding on the company’s revolving line of credit. Total shareholders’ equity was $24.8 million at the end of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 xml:space="preserve">EARNINGS REPORT CALL: </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A conference call will be held on November 7, 2024, at 4:30 p.m. Eastern Time to provide a Company update to discuss the financial results. To participate in the call, please register at:</w:t>
      </w:r>
    </w:p>
    <w:p>
      <w:pPr>
        <w:pStyle w:val="TextBody"/>
        <w:bidi w:val="0"/>
        <w:spacing w:lineRule="auto" w:line="288" w:before="160" w:after="283"/>
        <w:jc w:val="both"/>
        <w:rPr>
          <w:rFonts w:ascii="Times New Roman;sans-serif" w:hAnsi="Times New Roman;sans-serif"/>
          <w:b w:val="false"/>
          <w:color w:val="000000"/>
          <w:sz w:val="24"/>
          <w:u w:val="single"/>
        </w:rPr>
      </w:pPr>
      <w:r>
        <w:rPr>
          <w:rFonts w:ascii="Times New Roman;sans-serif" w:hAnsi="Times New Roman;sans-serif"/>
          <w:b w:val="false"/>
          <w:color w:val="000000"/>
          <w:sz w:val="24"/>
          <w:u w:val="single"/>
        </w:rPr>
        <w:t>https://register.vevent.com/register/BIdd190691b1df432e9f1f65383f53b384.</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Registered participants can dial in from their phone using a dial-in and PIN number that will be provided to them. Alternatively, they can choose a “Call Me” option to have the system automatically call them at the start of the conference.</w:t>
      </w:r>
    </w:p>
    <w:p>
      <w:pPr>
        <w:pStyle w:val="TextBody"/>
        <w:bidi w:val="0"/>
        <w:spacing w:lineRule="auto" w:line="288" w:before="160" w:after="283"/>
        <w:jc w:val="both"/>
        <w:rPr/>
      </w:pPr>
      <w:r>
        <w:rPr>
          <w:rFonts w:ascii="Times New Roman;sans-serif" w:hAnsi="Times New Roman;sans-serif"/>
          <w:b w:val="false"/>
          <w:color w:val="000000"/>
          <w:sz w:val="24"/>
        </w:rPr>
        <w:t xml:space="preserve">A replay of the call will be available for one year and can be accessed via Cumberland’s website or by visiting: </w:t>
      </w:r>
      <w:r>
        <w:rPr>
          <w:rFonts w:ascii="Times New Roman;sans-serif" w:hAnsi="Times New Roman;sans-serif"/>
          <w:b w:val="false"/>
          <w:color w:val="000000"/>
          <w:sz w:val="24"/>
          <w:u w:val="single"/>
        </w:rPr>
        <w:t>https://edge.media-server.com/mmc/p/cm7m7ea3.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60" w:after="283"/>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283"/>
        <w:jc w:val="both"/>
        <w:rPr>
          <w:rFonts w:ascii="Times New Roman;sans-serif" w:hAnsi="Times New Roman;sans-serif"/>
          <w:b/>
          <w:color w:val="000000"/>
          <w:sz w:val="24"/>
          <w:u w:val="single"/>
        </w:rPr>
      </w:pPr>
      <w:r>
        <w:rPr>
          <w:rFonts w:ascii="Times New Roman;sans-serif" w:hAnsi="Times New Roman;sans-serif"/>
          <w:b/>
          <w:color w:val="000000"/>
          <w:sz w:val="24"/>
          <w:u w:val="single"/>
        </w:rPr>
        <w:t>ABOUT CUMBERLAND PHARMACEUTICALS</w:t>
      </w:r>
    </w:p>
    <w:p>
      <w:pPr>
        <w:pStyle w:val="TextBody"/>
        <w:bidi w:val="0"/>
        <w:spacing w:lineRule="auto" w:line="288" w:before="160" w:after="160"/>
        <w:jc w:val="both"/>
        <w:rPr/>
      </w:pPr>
      <w:r>
        <w:rPr>
          <w:rFonts w:ascii="Times New Roman;sans-serif" w:hAnsi="Times New Roman;sans-serif"/>
          <w:b/>
          <w:color w:val="000000"/>
          <w:sz w:val="24"/>
        </w:rPr>
        <w:t xml:space="preserve">Cumberland Pharmaceuticals Inc. </w:t>
      </w:r>
      <w:r>
        <w:rPr>
          <w:rFonts w:ascii="Times New Roman;sans-serif" w:hAnsi="Times New Roman;sans-serif"/>
          <w:b w:val="false"/>
          <w:color w:val="000000"/>
          <w:sz w:val="24"/>
        </w:rPr>
        <w:t>is the largest biopharmaceutical company founded and headquartered in Tennessee and is focused on providing unique products that improve the quality of patient care. The company develops, acquires, and commercializes products for the hospital acute care, gastroenterology and oncology market segments.</w:t>
      </w:r>
    </w:p>
    <w:p>
      <w:pPr>
        <w:pStyle w:val="TextBody"/>
        <w:bidi w:val="0"/>
        <w:spacing w:lineRule="auto" w:line="288" w:before="16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company’s portfolio of FDA-approved brands includes:</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Acetadote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acetylcysteine</w:t>
      </w:r>
      <w:r>
        <w:rPr>
          <w:rFonts w:ascii="Times New Roman;sans-serif" w:hAnsi="Times New Roman;sans-serif"/>
          <w:b w:val="false"/>
          <w:color w:val="000000"/>
          <w:sz w:val="24"/>
        </w:rPr>
        <w:t>) injection, for the treatment of acetaminophen poisoning;</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Caldolor</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ibuprofen</w:t>
      </w:r>
      <w:r>
        <w:rPr>
          <w:rFonts w:ascii="Times New Roman;sans-serif" w:hAnsi="Times New Roman;sans-serif"/>
          <w:b w:val="false"/>
          <w:color w:val="000000"/>
          <w:sz w:val="24"/>
        </w:rPr>
        <w:t>) injection, for the treatment of pain and fever;</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Kristalose</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lactulose</w:t>
      </w:r>
      <w:r>
        <w:rPr>
          <w:rFonts w:ascii="Times New Roman;sans-serif" w:hAnsi="Times New Roman;sans-serif"/>
          <w:b w:val="false"/>
          <w:color w:val="000000"/>
          <w:sz w:val="24"/>
        </w:rPr>
        <w:t>) oral, a prescription laxative, for the treatment of constipation;</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Sancuso</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 xml:space="preserve">granisetron) </w:t>
      </w:r>
      <w:r>
        <w:rPr>
          <w:rFonts w:ascii="Times New Roman;sans-serif" w:hAnsi="Times New Roman;sans-serif"/>
          <w:b w:val="false"/>
          <w:color w:val="000000"/>
          <w:sz w:val="24"/>
        </w:rPr>
        <w:t>transdermal, for the prevention of nausea and vomiting in patients receiving certain types of chemotherapy treatment;</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Vaprisol</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conivaptan</w:t>
      </w:r>
      <w:r>
        <w:rPr>
          <w:rFonts w:ascii="Times New Roman;sans-serif" w:hAnsi="Times New Roman;sans-serif"/>
          <w:b w:val="false"/>
          <w:color w:val="000000"/>
          <w:sz w:val="24"/>
        </w:rPr>
        <w:t>) injection, to raise serum sodium levels in hospitalized patients with euvolemic and hypervolemic hyponatremia; and</w:t>
      </w:r>
    </w:p>
    <w:p>
      <w:pPr>
        <w:pStyle w:val="TextBody"/>
        <w:bidi w:val="0"/>
        <w:spacing w:lineRule="auto" w:line="288" w:before="160" w:after="160"/>
        <w:ind w:left="0" w:right="0" w:hanging="360"/>
        <w:jc w:val="both"/>
        <w:rPr/>
      </w:pPr>
      <w:r>
        <w:rPr>
          <w:color w:val="000000"/>
        </w:rPr>
        <w:t>•</w:t>
      </w:r>
      <w:r>
        <w:rPr>
          <w:rFonts w:ascii="Times New Roman;sans-serif" w:hAnsi="Times New Roman;sans-serif"/>
          <w:b/>
          <w:color w:val="000000"/>
          <w:sz w:val="24"/>
        </w:rPr>
        <w:t>Vibativ</w:t>
      </w:r>
      <w:r>
        <w:rPr>
          <w:rFonts w:ascii="Times New Roman;sans-serif" w:hAnsi="Times New Roman;sans-serif"/>
          <w:b/>
          <w:color w:val="000000"/>
          <w:sz w:val="13"/>
        </w:rPr>
        <w:t>®</w:t>
      </w:r>
      <w:r>
        <w:rPr>
          <w:color w:val="000000"/>
        </w:rPr>
        <w:t xml:space="preserve"> </w:t>
      </w:r>
      <w:r>
        <w:rPr>
          <w:rFonts w:ascii="Times New Roman;sans-serif" w:hAnsi="Times New Roman;sans-serif"/>
          <w:b w:val="false"/>
          <w:color w:val="000000"/>
          <w:sz w:val="24"/>
        </w:rPr>
        <w:t>(</w:t>
      </w:r>
      <w:r>
        <w:rPr>
          <w:rFonts w:ascii="Times New Roman;sans-serif" w:hAnsi="Times New Roman;sans-serif"/>
          <w:b w:val="false"/>
          <w:i/>
          <w:color w:val="000000"/>
          <w:sz w:val="24"/>
        </w:rPr>
        <w:t>telavancin</w:t>
      </w:r>
      <w:r>
        <w:rPr>
          <w:rFonts w:ascii="Times New Roman;sans-serif" w:hAnsi="Times New Roman;sans-serif"/>
          <w:b w:val="false"/>
          <w:color w:val="000000"/>
          <w:sz w:val="24"/>
        </w:rPr>
        <w:t>) injection, for the treatment of certain serious bacterial infections including hospital-acquired and ventilator-associated bacterial pneumonia, as well as complicated skin and skin structure infections.</w:t>
      </w:r>
    </w:p>
    <w:p>
      <w:pPr>
        <w:pStyle w:val="TextBody"/>
        <w:bidi w:val="0"/>
        <w:spacing w:lineRule="auto" w:line="288" w:before="16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also has a series of Phase II clinical programs underway evaluating its ifetroban product candidate in patients with cardiomyopathy associated with Duchenne Muscular Dystrophy, Systemic Sclerosis and Idiopathic Pulmonary Fibrosis.</w:t>
      </w:r>
    </w:p>
    <w:p>
      <w:pPr>
        <w:pStyle w:val="TextBody"/>
        <w:bidi w:val="0"/>
        <w:spacing w:lineRule="auto" w:line="288" w:before="160" w:after="160"/>
        <w:jc w:val="both"/>
        <w:rPr/>
      </w:pPr>
      <w:r>
        <w:rPr>
          <w:rFonts w:ascii="Times New Roman;sans-serif" w:hAnsi="Times New Roman;sans-serif"/>
          <w:b w:val="false"/>
          <w:color w:val="000000"/>
          <w:sz w:val="24"/>
        </w:rPr>
        <w:t xml:space="preserve">For more information on Cumberland’s approved products, including full prescribing information, please visit links to the individual product websites, which can be found on the company’s website </w:t>
      </w:r>
      <w:r>
        <w:rPr>
          <w:rFonts w:ascii="Times New Roman;sans-serif" w:hAnsi="Times New Roman;sans-serif"/>
          <w:b w:val="false"/>
          <w:color w:val="000000"/>
          <w:sz w:val="24"/>
          <w:u w:val="single"/>
        </w:rPr>
        <w:t>www.cumberlandpharma.com</w:t>
      </w:r>
      <w:r>
        <w:rPr>
          <w:rFonts w:ascii="Times New Roman;sans-serif" w:hAnsi="Times New Roman;sans-serif"/>
          <w:b w:val="false"/>
          <w:color w:val="000000"/>
          <w:sz w:val="24"/>
        </w:rPr>
        <w:t>.</w:t>
      </w:r>
    </w:p>
    <w:p>
      <w:pPr>
        <w:pStyle w:val="TextBody"/>
        <w:bidi w:val="0"/>
        <w:spacing w:lineRule="auto" w:line="288" w:before="160" w:after="160"/>
        <w:jc w:val="left"/>
        <w:rPr/>
      </w:pPr>
      <w:r>
        <w:rPr>
          <w:rFonts w:ascii="Times New Roman;sans-serif" w:hAnsi="Times New Roman;sans-serif"/>
          <w:b/>
          <w:color w:val="000000"/>
          <w:sz w:val="24"/>
        </w:rPr>
        <w:t>About Acetadote</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(acetylcysteine) Injection</w:t>
      </w:r>
    </w:p>
    <w:p>
      <w:pPr>
        <w:pStyle w:val="TextBody"/>
        <w:bidi w:val="0"/>
        <w:spacing w:lineRule="auto" w:line="288" w:before="160" w:after="160"/>
        <w:jc w:val="both"/>
        <w:rPr/>
      </w:pPr>
      <w:r>
        <w:rPr>
          <w:rFonts w:ascii="Times New Roman;sans-serif" w:hAnsi="Times New Roman;sans-serif"/>
          <w:b w:val="false"/>
          <w:color w:val="000000"/>
          <w:sz w:val="24"/>
        </w:rPr>
        <w:t xml:space="preserve">Acetadote, administered intravenously within 8 to 10 hours after ingestion of a potentially hepatotoxic quantity of acetaminophen, is indicated to prevent or lessen hepatic injury. Used in the emergency department, Acetadote is approved in the United States to treat overdose of acetaminophen, a common ingredient in many over-the-counter medications. Acetadote is contraindicated in patients with hypersensitivity or previous anaphylactoid reactions to acetylcysteine or any components of the preparation. For full prescribing and safety information, visit </w:t>
      </w:r>
      <w:r>
        <w:rPr>
          <w:rFonts w:ascii="Times New Roman;sans-serif" w:hAnsi="Times New Roman;sans-serif"/>
          <w:b w:val="false"/>
          <w:color w:val="000000"/>
          <w:sz w:val="24"/>
          <w:u w:val="single"/>
        </w:rPr>
        <w:t>www.acetadote.com</w:t>
      </w:r>
      <w:r>
        <w:rPr>
          <w:rFonts w:ascii="Times New Roman;sans-serif" w:hAnsi="Times New Roman;sans-serif"/>
          <w:b w:val="false"/>
          <w:color w:val="000000"/>
          <w:sz w:val="24"/>
        </w:rPr>
        <w:t xml:space="preserve">. </w:t>
      </w:r>
    </w:p>
    <w:p>
      <w:pPr>
        <w:pStyle w:val="TextBody"/>
        <w:bidi w:val="0"/>
        <w:spacing w:lineRule="auto" w:line="288" w:before="160" w:after="160"/>
        <w:jc w:val="both"/>
        <w:rPr/>
      </w:pPr>
      <w:r>
        <w:rPr>
          <w:rFonts w:ascii="Times New Roman;sans-serif" w:hAnsi="Times New Roman;sans-serif"/>
          <w:b/>
          <w:color w:val="000000"/>
          <w:sz w:val="24"/>
        </w:rPr>
        <w:t>About Caldolor</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(ibuprofen) Injection</w:t>
      </w:r>
    </w:p>
    <w:p>
      <w:pPr>
        <w:pStyle w:val="TextBody"/>
        <w:bidi w:val="0"/>
        <w:spacing w:lineRule="auto" w:line="288" w:before="160" w:after="160"/>
        <w:jc w:val="both"/>
        <w:rPr/>
      </w:pPr>
      <w:r>
        <w:rPr>
          <w:rFonts w:ascii="Times New Roman;sans-serif" w:hAnsi="Times New Roman;sans-serif"/>
          <w:b w:val="false"/>
          <w:color w:val="000000"/>
          <w:sz w:val="24"/>
        </w:rPr>
        <w:t xml:space="preserve">Caldolor is indicated in adults and pediatric patients for the management of mild to moderate pain and management of moderate to severe pain as an adjunct to opioid analgesics, as well as the reduction of fever. It was the first FDA-approved intravenous therapy for fever. Caldolor is contraindicated in patients with known hypersensitivity to ibuprofen or other NSAIDs, patients with a history of asthma or other allergic type reactions after taking aspirin or other NSAIDs. Caldolor is contraindicated for use during the peri-operative period in the setting of coronary artery bypass graft (CABG) surgery. For full prescribing and safety information, including boxed warning, visit </w:t>
      </w:r>
      <w:r>
        <w:rPr>
          <w:rFonts w:ascii="Times New Roman;sans-serif" w:hAnsi="Times New Roman;sans-serif"/>
          <w:b w:val="false"/>
          <w:color w:val="000000"/>
          <w:sz w:val="24"/>
          <w:u w:val="single"/>
        </w:rPr>
        <w:t>www.caldolor.com</w:t>
      </w:r>
      <w:r>
        <w:rPr>
          <w:rFonts w:ascii="Times New Roman;sans-serif" w:hAnsi="Times New Roman;sans-serif"/>
          <w:b w:val="false"/>
          <w:color w:val="000000"/>
          <w:sz w:val="24"/>
        </w:rPr>
        <w:t>.</w:t>
      </w:r>
    </w:p>
    <w:p>
      <w:pPr>
        <w:pStyle w:val="TextBody"/>
        <w:bidi w:val="0"/>
        <w:spacing w:before="160" w:after="160"/>
        <w:jc w:val="both"/>
        <w:rPr/>
      </w:pPr>
      <w:r>
        <w:rPr/>
      </w:r>
    </w:p>
    <w:p>
      <w:pPr>
        <w:pStyle w:val="TextBody"/>
        <w:bidi w:val="0"/>
        <w:spacing w:before="160" w:after="16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60" w:after="160"/>
        <w:jc w:val="both"/>
        <w:rPr/>
      </w:pPr>
      <w:r>
        <w:rPr>
          <w:rFonts w:ascii="Times New Roman;sans-serif" w:hAnsi="Times New Roman;sans-serif"/>
          <w:b/>
          <w:color w:val="000000"/>
          <w:sz w:val="24"/>
        </w:rPr>
        <w:t>About Kristalose</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(lactulose) Oral Solution</w:t>
      </w:r>
    </w:p>
    <w:p>
      <w:pPr>
        <w:pStyle w:val="TextBody"/>
        <w:bidi w:val="0"/>
        <w:spacing w:lineRule="auto" w:line="288" w:before="160" w:after="160"/>
        <w:jc w:val="both"/>
        <w:rPr/>
      </w:pPr>
      <w:r>
        <w:rPr>
          <w:rFonts w:ascii="Times New Roman;sans-serif" w:hAnsi="Times New Roman;sans-serif"/>
          <w:b w:val="false"/>
          <w:color w:val="000000"/>
          <w:sz w:val="24"/>
        </w:rPr>
        <w:t xml:space="preserve">Kristalose is indicated for the treatment of acute and chronic constipation. It is a unique, proprietary, crystalline form of lactulose, with no restrictions on length of therapy or patient age. Kristalose is contraindicated in patients who require a low-galactose diet. Elderly, debilitated patients who receive lactulose for more than six months should have serum electrolytes (potassium, chloride, carbon dioxide) measured periodically. For full prescribing and safety information, visit </w:t>
      </w:r>
      <w:r>
        <w:rPr>
          <w:rFonts w:ascii="Times New Roman;sans-serif" w:hAnsi="Times New Roman;sans-serif"/>
          <w:b w:val="false"/>
          <w:color w:val="000000"/>
          <w:sz w:val="24"/>
          <w:u w:val="single"/>
        </w:rPr>
        <w:t>www.kristalose.com.</w:t>
      </w:r>
    </w:p>
    <w:p>
      <w:pPr>
        <w:pStyle w:val="TextBody"/>
        <w:bidi w:val="0"/>
        <w:spacing w:lineRule="auto" w:line="288" w:before="160" w:after="160"/>
        <w:jc w:val="both"/>
        <w:rPr/>
      </w:pPr>
      <w:r>
        <w:rPr>
          <w:rFonts w:ascii="Times New Roman;sans-serif" w:hAnsi="Times New Roman;sans-serif"/>
          <w:b/>
          <w:color w:val="000000"/>
          <w:sz w:val="24"/>
        </w:rPr>
        <w:t>About Sancuso</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(granisetron) Transdermal System</w:t>
      </w:r>
    </w:p>
    <w:p>
      <w:pPr>
        <w:pStyle w:val="TextBody"/>
        <w:bidi w:val="0"/>
        <w:spacing w:lineRule="auto" w:line="288" w:before="160" w:after="160"/>
        <w:jc w:val="both"/>
        <w:rPr/>
      </w:pPr>
      <w:r>
        <w:rPr>
          <w:rFonts w:ascii="Times New Roman;sans-serif" w:hAnsi="Times New Roman;sans-serif"/>
          <w:b w:val="false"/>
          <w:color w:val="000000"/>
          <w:sz w:val="24"/>
        </w:rPr>
        <w:t xml:space="preserve">Sancuso is the only skin patch approved by the FDA for the prevention of chemotherapy-induced nausea and vomiting ("CINV") in patients receiving moderately and/or highly emetogenic chemotherapy. When applied 24 to 48 hours before receiving chemotherapy, the Sancuso patch slowly and continuously releases the medicine contained in the adhesive through clean and intact skin areas into the patient’s bloodstream. It can prevent CINV for chemotherapy regimens of up to five consecutive days. For full prescribing and safety information, visit </w:t>
      </w:r>
      <w:r>
        <w:rPr>
          <w:rFonts w:ascii="Times New Roman;sans-serif" w:hAnsi="Times New Roman;sans-serif"/>
          <w:b w:val="false"/>
          <w:color w:val="000000"/>
          <w:sz w:val="24"/>
          <w:u w:val="single"/>
        </w:rPr>
        <w:t>www.sancuso.com</w:t>
      </w:r>
      <w:r>
        <w:rPr>
          <w:rFonts w:ascii="Times New Roman;sans-serif" w:hAnsi="Times New Roman;sans-serif"/>
          <w:b w:val="false"/>
          <w:color w:val="000000"/>
          <w:sz w:val="24"/>
        </w:rPr>
        <w:t>.</w:t>
      </w:r>
    </w:p>
    <w:p>
      <w:pPr>
        <w:pStyle w:val="TextBody"/>
        <w:bidi w:val="0"/>
        <w:spacing w:lineRule="auto" w:line="288" w:before="160" w:after="160"/>
        <w:jc w:val="both"/>
        <w:rPr/>
      </w:pPr>
      <w:r>
        <w:rPr>
          <w:rFonts w:ascii="Times New Roman;sans-serif" w:hAnsi="Times New Roman;sans-serif"/>
          <w:b/>
          <w:color w:val="000000"/>
          <w:sz w:val="24"/>
        </w:rPr>
        <w:t>About Vaprisol</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(conivaptan hydrochloride) Injection</w:t>
      </w:r>
    </w:p>
    <w:p>
      <w:pPr>
        <w:pStyle w:val="TextBody"/>
        <w:bidi w:val="0"/>
        <w:spacing w:lineRule="auto" w:line="288" w:before="160" w:after="160"/>
        <w:jc w:val="both"/>
        <w:rPr/>
      </w:pPr>
      <w:r>
        <w:rPr>
          <w:rFonts w:ascii="Times New Roman;sans-serif" w:hAnsi="Times New Roman;sans-serif"/>
          <w:b w:val="false"/>
          <w:color w:val="000000"/>
          <w:sz w:val="24"/>
        </w:rPr>
        <w:t xml:space="preserve">Vaprisol is an intravenous treatment for hyponatremia used in the critical care setting. Hyponatremia is an electrolyte disturbance in which sodium ion concentration in blood plasma is lower than normal. This can be associated with a variety of critical care conditions including congestive heart failure, liver failure, kidney failure and pneumonia. The product is a vasopressin receptor antagonist that raises serum sodium levels and promotes free water secretion. Vaprisol is contraindicated in patients with hypovolemic hyponatremia. The coadministration of Vaprisol with potent CYP3A inhibitors, such as ketoconazole, itraconazole, clarithromycin, ritonavir and indinavir, is contraindicated. For full prescribing and safety information, including boxed warning, visit </w:t>
      </w:r>
      <w:r>
        <w:rPr>
          <w:rFonts w:ascii="Times New Roman;sans-serif" w:hAnsi="Times New Roman;sans-serif"/>
          <w:b w:val="false"/>
          <w:color w:val="000000"/>
          <w:sz w:val="24"/>
          <w:u w:val="single"/>
        </w:rPr>
        <w:t>www.vaprisol.com</w:t>
      </w:r>
      <w:r>
        <w:rPr>
          <w:rFonts w:ascii="Times New Roman;sans-serif" w:hAnsi="Times New Roman;sans-serif"/>
          <w:b w:val="false"/>
          <w:color w:val="000000"/>
          <w:sz w:val="24"/>
        </w:rPr>
        <w:t xml:space="preserve">. </w:t>
      </w:r>
    </w:p>
    <w:p>
      <w:pPr>
        <w:pStyle w:val="TextBody"/>
        <w:bidi w:val="0"/>
        <w:spacing w:lineRule="auto" w:line="288" w:before="160" w:after="160"/>
        <w:jc w:val="both"/>
        <w:rPr/>
      </w:pPr>
      <w:r>
        <w:rPr>
          <w:rFonts w:ascii="Times New Roman;sans-serif" w:hAnsi="Times New Roman;sans-serif"/>
          <w:b/>
          <w:color w:val="000000"/>
          <w:sz w:val="24"/>
        </w:rPr>
        <w:t>About Vibativ</w:t>
      </w:r>
      <w:r>
        <w:rPr>
          <w:rFonts w:ascii="Times New Roman;sans-serif" w:hAnsi="Times New Roman;sans-serif"/>
          <w:b/>
          <w:color w:val="000000"/>
          <w:sz w:val="13"/>
        </w:rPr>
        <w:t>®</w:t>
      </w:r>
      <w:r>
        <w:rPr>
          <w:color w:val="000000"/>
        </w:rPr>
        <w:t xml:space="preserve"> </w:t>
      </w:r>
      <w:r>
        <w:rPr>
          <w:rFonts w:ascii="Times New Roman;sans-serif" w:hAnsi="Times New Roman;sans-serif"/>
          <w:b/>
          <w:color w:val="000000"/>
          <w:sz w:val="24"/>
        </w:rPr>
        <w:t>(telavancin) Injection</w:t>
      </w:r>
    </w:p>
    <w:p>
      <w:pPr>
        <w:pStyle w:val="TextBody"/>
        <w:bidi w:val="0"/>
        <w:spacing w:lineRule="auto" w:line="288" w:before="160" w:after="160"/>
        <w:jc w:val="both"/>
        <w:rPr/>
      </w:pPr>
      <w:r>
        <w:rPr>
          <w:rFonts w:ascii="Times New Roman;sans-serif" w:hAnsi="Times New Roman;sans-serif"/>
          <w:b w:val="false"/>
          <w:color w:val="000000"/>
          <w:sz w:val="24"/>
        </w:rPr>
        <w:t xml:space="preserve">Vibativ is a patented, FDA-approved injectable anti-infective for the treatment of certain serious bacterial infections, including hospital-acquired and ventilator-associated bacterial pneumonia, and complicated skin and skin structure infections. It addresses a range of Gram-positive bacterial pathogens, including those that are considered difficult-to-treat and multidrug-resistant. Intravenous unfractionated heparin sodium is contraindicated with Vibativ administration due to artificially prolonged activated partial thromboplastin time (aPTT) test results for up to 18 hours after Vibativ administration. Vibativ is contraindicated in patients with a known hypersensitivity to telavancin. For more information, please visit </w:t>
      </w:r>
      <w:r>
        <w:rPr>
          <w:rFonts w:ascii="Times New Roman;sans-serif" w:hAnsi="Times New Roman;sans-serif"/>
          <w:b w:val="false"/>
          <w:color w:val="000000"/>
          <w:sz w:val="24"/>
          <w:u w:val="single"/>
        </w:rPr>
        <w:t>www.vibativ.com</w:t>
      </w:r>
      <w:r>
        <w:rPr>
          <w:rFonts w:ascii="Times New Roman;sans-serif" w:hAnsi="Times New Roman;sans-serif"/>
          <w:b w:val="false"/>
          <w:color w:val="000000"/>
          <w:sz w:val="24"/>
        </w:rPr>
        <w:t xml:space="preserve">. </w:t>
      </w:r>
    </w:p>
    <w:p>
      <w:pPr>
        <w:pStyle w:val="TextBody"/>
        <w:bidi w:val="0"/>
        <w:spacing w:lineRule="auto" w:line="288" w:before="160" w:after="160"/>
        <w:jc w:val="both"/>
        <w:rPr>
          <w:rFonts w:ascii="Times New Roman;sans-serif" w:hAnsi="Times New Roman;sans-serif"/>
          <w:b/>
          <w:color w:val="000000"/>
          <w:sz w:val="24"/>
          <w:u w:val="single"/>
        </w:rPr>
      </w:pPr>
      <w:r>
        <w:rPr>
          <w:rFonts w:ascii="Times New Roman;sans-serif" w:hAnsi="Times New Roman;sans-serif"/>
          <w:b/>
          <w:color w:val="000000"/>
          <w:sz w:val="24"/>
          <w:u w:val="single"/>
        </w:rPr>
        <w:t>ABOUT CUMBERLAND EMERGING TECHNOLOGIES:</w:t>
      </w:r>
    </w:p>
    <w:p>
      <w:pPr>
        <w:pStyle w:val="TextBody"/>
        <w:bidi w:val="0"/>
        <w:spacing w:lineRule="auto" w:line="288" w:before="160" w:after="160"/>
        <w:jc w:val="both"/>
        <w:rPr/>
      </w:pPr>
      <w:r>
        <w:rPr>
          <w:rFonts w:ascii="Times New Roman;sans-serif" w:hAnsi="Times New Roman;sans-serif"/>
          <w:b w:val="false"/>
          <w:color w:val="000000"/>
          <w:sz w:val="24"/>
        </w:rPr>
        <w:t>Cumberland Emerging Technologies, Inc. (</w:t>
      </w:r>
      <w:r>
        <w:rPr>
          <w:rFonts w:ascii="Times New Roman;sans-serif" w:hAnsi="Times New Roman;sans-serif"/>
          <w:b w:val="false"/>
          <w:color w:val="000000"/>
          <w:sz w:val="24"/>
          <w:u w:val="single"/>
        </w:rPr>
        <w:t>www.cet-fund.com</w:t>
      </w:r>
      <w:r>
        <w:rPr>
          <w:rFonts w:ascii="Times New Roman;sans-serif" w:hAnsi="Times New Roman;sans-serif"/>
          <w:b w:val="false"/>
          <w:color w:val="000000"/>
          <w:sz w:val="24"/>
        </w:rPr>
        <w:t>) is a joint initiative between Cumberland Pharmaceuticals Inc., Vanderbilt University, LaunchTN and WinHealth. The mission of CET is to advance biomedical technologies and products conceived at Vanderbilt University and other regional research centers toward the marketplace.</w:t>
      </w:r>
    </w:p>
    <w:p>
      <w:pPr>
        <w:pStyle w:val="TextBody"/>
        <w:bidi w:val="0"/>
        <w:spacing w:lineRule="auto" w:line="288" w:before="160" w:after="160"/>
        <w:jc w:val="both"/>
        <w:rPr>
          <w:rFonts w:ascii="Times New Roman;sans-serif" w:hAnsi="Times New Roman;sans-serif"/>
          <w:b w:val="false"/>
          <w:color w:val="000000"/>
          <w:sz w:val="24"/>
        </w:rPr>
      </w:pPr>
      <w:r>
        <w:rPr>
          <w:rFonts w:ascii="Times New Roman;sans-serif" w:hAnsi="Times New Roman;sans-serif"/>
          <w:b w:val="false"/>
          <w:color w:val="000000"/>
          <w:sz w:val="24"/>
        </w:rPr>
        <w:t>CET helps manage the development and commercialization process for select projects, and provides expertise on intellectual property, regulatory, manufacturing and marketing issues that are critical to successful new biomedical products. CET’s Life Sciences Center provides laboratory space, equipment and infrastructure for CET’s activities and other early-stage life sciences ventures.</w:t>
      </w:r>
    </w:p>
    <w:p>
      <w:pPr>
        <w:pStyle w:val="TextBody"/>
        <w:bidi w:val="0"/>
        <w:spacing w:before="160" w:after="16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color w:val="000000"/>
          <w:sz w:val="24"/>
          <w:u w:val="single"/>
        </w:rPr>
      </w:pPr>
      <w:r>
        <w:rPr>
          <w:rFonts w:ascii="Times New Roman;sans-serif" w:hAnsi="Times New Roman;sans-serif"/>
          <w:b/>
          <w:color w:val="000000"/>
          <w:sz w:val="24"/>
          <w:u w:val="single"/>
        </w:rPr>
        <w:t>FORWARD LOOKING STATEMENTS:</w:t>
      </w:r>
    </w:p>
    <w:p>
      <w:pPr>
        <w:pStyle w:val="TextBody"/>
        <w:bidi w:val="0"/>
        <w:spacing w:lineRule="auto" w:line="288" w:before="160" w:after="160"/>
        <w:jc w:val="both"/>
        <w:rPr>
          <w:rFonts w:ascii="Times New Roman;sans-serif" w:hAnsi="Times New Roman;sans-serif"/>
          <w:b w:val="false"/>
          <w:color w:val="000000"/>
          <w:sz w:val="24"/>
        </w:rPr>
      </w:pPr>
      <w:r>
        <w:rPr>
          <w:rFonts w:ascii="Times New Roman;sans-serif" w:hAnsi="Times New Roman;sans-serif"/>
          <w:b w:val="false"/>
          <w:color w:val="000000"/>
          <w:sz w:val="24"/>
        </w:rPr>
        <w:t>This press release contains forward-looking statements, which are subject to certain risks and reflect Cumberland’s current views on future events based on what it believes are reasonable assumptions. No assurance can be given that these events will occur. Forward-looking statements include, among other things, statements regarding the company’s intent, belief or expectations, and can be identified by the use of terminology such as “may,” “will,” “expect,” “believe,” “intend,” “plan,” “estimate,” “should,” “seek,” “anticipate,” “look forward” and other comparable terms or the negative thereof. As with any business, all phases of Cumberland’s operations are subject to factors outside of its control, and any one or combination of these factors could materially affect Cumberland’s operation results. These factors include macroeconomic conditions, including rising interest rates and inflation, competition, an inability of manufacturers to produce Cumberland’s products on a timely basis, failure of manufacturers to comply with regulations applicable to pharmaceutical manufacturers, natural disasters, public health epidemics, maintaining an effective sales and marketing infrastructure, and other events beyond the company’s control as more fully discussed in its most recent annual report on Form 10-K as filed with the U.S. Securities and Exchange Commission (“SEC”), as well as the company’s other filings with the SEC from time to time. There can be no assurance that results anticipated by the company will be realized or that they will have the expected effects. Readers are cautioned not to place undue reliance on forward-looking statements, which speak only as of the date hereof. The company does not undertake any obligation to publicly revise these statements to reflect events after the date hereof.</w:t>
      </w:r>
    </w:p>
    <w:p>
      <w:pPr>
        <w:pStyle w:val="TextBody"/>
        <w:bidi w:val="0"/>
        <w:spacing w:lineRule="auto" w:line="288" w:before="160" w:after="160"/>
        <w:jc w:val="both"/>
        <w:rPr>
          <w:rFonts w:ascii="Times New Roman;sans-serif" w:hAnsi="Times New Roman;sans-serif"/>
          <w:b w:val="false"/>
          <w:color w:val="000000"/>
          <w:sz w:val="24"/>
        </w:rPr>
      </w:pPr>
      <w:r>
        <w:rPr>
          <w:rFonts w:ascii="Times New Roman;sans-serif" w:hAnsi="Times New Roman;sans-serif"/>
          <w:b w:val="false"/>
          <w:color w:val="000000"/>
          <w:sz w:val="24"/>
        </w:rPr>
        <w:t>SOURCE: Cumberland Pharmaceuticals Inc.</w:t>
      </w:r>
    </w:p>
    <w:p>
      <w:pPr>
        <w:pStyle w:val="TextBody"/>
        <w:bidi w:val="0"/>
        <w:spacing w:before="160" w:after="283"/>
        <w:jc w:val="left"/>
        <w:rPr/>
      </w:pPr>
      <w:r>
        <w:rPr/>
      </w:r>
    </w:p>
    <w:tbl>
      <w:tblPr>
        <w:tblW w:w="4290" w:type="dxa"/>
        <w:jc w:val="center"/>
        <w:tblInd w:w="0" w:type="dxa"/>
        <w:tblLayout w:type="fixed"/>
        <w:tblCellMar>
          <w:top w:w="28" w:type="dxa"/>
          <w:left w:w="28" w:type="dxa"/>
          <w:bottom w:w="28" w:type="dxa"/>
          <w:right w:w="28" w:type="dxa"/>
        </w:tblCellMar>
      </w:tblPr>
      <w:tblGrid>
        <w:gridCol w:w="1026"/>
        <w:gridCol w:w="903"/>
        <w:gridCol w:w="906"/>
        <w:gridCol w:w="425"/>
        <w:gridCol w:w="425"/>
        <w:gridCol w:w="605"/>
      </w:tblGrid>
      <w:tr>
        <w:trPr/>
        <w:tc>
          <w:tcPr>
            <w:tcW w:w="1026"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Investor Contact:</w:t>
            </w:r>
          </w:p>
        </w:tc>
        <w:tc>
          <w:tcPr>
            <w:tcW w:w="1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00" w:before="0" w:after="0"/>
              <w:jc w:val="left"/>
              <w:rPr>
                <w:rFonts w:ascii="Times New Roman;sans-serif" w:hAnsi="Times New Roman;sans-serif"/>
                <w:b/>
                <w:color w:val="000000"/>
                <w:sz w:val="20"/>
              </w:rPr>
            </w:pPr>
            <w:r>
              <w:rPr>
                <w:rFonts w:ascii="Times New Roman;sans-serif" w:hAnsi="Times New Roman;sans-serif"/>
                <w:b/>
                <w:color w:val="000000"/>
                <w:sz w:val="20"/>
              </w:rPr>
              <w:t>Media Contact:</w:t>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Shayla Simpson</w:t>
            </w:r>
          </w:p>
        </w:tc>
        <w:tc>
          <w:tcPr>
            <w:tcW w:w="1455" w:type="dxa"/>
            <w:gridSpan w:val="3"/>
            <w:tcBorders>
              <w:top w:val="single" w:sz="8" w:space="0" w:color="000000"/>
              <w:left w:val="single" w:sz="8" w:space="0" w:color="000000"/>
              <w:right w:val="single" w:sz="8" w:space="0" w:color="000000"/>
            </w:tcBorders>
            <w:tcMar>
              <w:top w:w="30" w:type="dxa"/>
              <w:left w:w="72" w:type="dxa"/>
              <w:bottom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Molly Aggas</w:t>
            </w:r>
          </w:p>
        </w:tc>
      </w:tr>
      <w:tr>
        <w:trPr/>
        <w:tc>
          <w:tcPr>
            <w:tcW w:w="28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Cumberland Pharmaceuticals Inc.</w:t>
            </w:r>
          </w:p>
        </w:tc>
        <w:tc>
          <w:tcPr>
            <w:tcW w:w="145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Dalton Agency</w:t>
            </w:r>
          </w:p>
        </w:tc>
      </w:tr>
      <w:tr>
        <w:trPr/>
        <w:tc>
          <w:tcPr>
            <w:tcW w:w="28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(615) 255-0068</w:t>
            </w:r>
          </w:p>
        </w:tc>
        <w:tc>
          <w:tcPr>
            <w:tcW w:w="145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319" w:before="15" w:after="283"/>
              <w:jc w:val="left"/>
              <w:rPr>
                <w:rFonts w:ascii="Times New Roman;sans-serif" w:hAnsi="Times New Roman;sans-serif"/>
                <w:b w:val="false"/>
                <w:color w:val="000000"/>
                <w:sz w:val="20"/>
              </w:rPr>
            </w:pPr>
            <w:r>
              <w:rPr>
                <w:rFonts w:ascii="Times New Roman;sans-serif" w:hAnsi="Times New Roman;sans-serif"/>
                <w:b w:val="false"/>
                <w:color w:val="000000"/>
                <w:sz w:val="20"/>
              </w:rPr>
              <w:t>(704) 641-6641</w:t>
            </w:r>
          </w:p>
        </w:tc>
      </w:tr>
    </w:tbl>
    <w:p>
      <w:pPr>
        <w:pStyle w:val="TextBody"/>
        <w:bidi w:val="0"/>
        <w:spacing w:before="0" w:after="0"/>
        <w:jc w:val="left"/>
        <w:rPr/>
      </w:pPr>
      <w:r>
        <w:rPr/>
      </w:r>
    </w:p>
    <w:p>
      <w:pPr>
        <w:pStyle w:val="TextBody"/>
        <w:bidi w:val="0"/>
        <w:spacing w:lineRule="auto" w:line="288" w:before="9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 xml:space="preserve">- MORE -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360" w:after="283"/>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619"/>
        <w:gridCol w:w="2085"/>
        <w:gridCol w:w="2055"/>
        <w:gridCol w:w="232"/>
        <w:gridCol w:w="1192"/>
        <w:gridCol w:w="119"/>
        <w:gridCol w:w="109"/>
        <w:gridCol w:w="109"/>
        <w:gridCol w:w="109"/>
        <w:gridCol w:w="229"/>
        <w:gridCol w:w="1175"/>
        <w:gridCol w:w="172"/>
      </w:tblGrid>
      <w:tr>
        <w:trPr/>
        <w:tc>
          <w:tcPr>
            <w:tcW w:w="2619" w:type="dxa"/>
            <w:tcBorders/>
            <w:vAlign w:val="center"/>
          </w:tcPr>
          <w:p>
            <w:pPr>
              <w:pStyle w:val="TableContents"/>
              <w:bidi w:val="0"/>
              <w:spacing w:before="0" w:after="283"/>
              <w:jc w:val="left"/>
              <w:rPr>
                <w:sz w:val="4"/>
                <w:szCs w:val="4"/>
              </w:rPr>
            </w:pPr>
            <w:r>
              <w:rPr>
                <w:sz w:val="4"/>
                <w:szCs w:val="4"/>
              </w:rPr>
            </w:r>
          </w:p>
        </w:tc>
        <w:tc>
          <w:tcPr>
            <w:tcW w:w="2085"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6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2023</w:t>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vAlign w:val="center"/>
          </w:tcPr>
          <w:p>
            <w:pPr>
              <w:pStyle w:val="TableContents"/>
              <w:bidi w:val="0"/>
              <w:spacing w:before="0" w:after="283"/>
              <w:jc w:val="left"/>
              <w:rPr>
                <w:sz w:val="4"/>
                <w:szCs w:val="4"/>
              </w:rPr>
            </w:pPr>
            <w:r>
              <w:rPr>
                <w:sz w:val="4"/>
                <w:szCs w:val="4"/>
              </w:rPr>
            </w:r>
          </w:p>
        </w:tc>
        <w:tc>
          <w:tcPr>
            <w:tcW w:w="15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6" w:type="dxa"/>
            <w:gridSpan w:val="3"/>
            <w:tcBorders/>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11,310,625 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9,758,176 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net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4,509,669 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4,609,362 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and other current assets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1,951,358 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3,025,248 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35,236,406 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35,714,410 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inventories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11,831,927 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12,804,529 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312,031 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367,903 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19,415,232 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22,607,918 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914,000 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6,208,411 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6,674,394 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2,829,506 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2,692,921 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76,747,513 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5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12,057,712 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14,037,629 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current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391,688 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348,092 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revolving line of credit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5,988,920 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12,649,195 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13,596,528 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31,087,515 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27,982,249 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line of credit - long term</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10,102,672 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12,784,144 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non-current liabilities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4,997,212 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5,296,247 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6,090,722 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6,453,566 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52,278,121 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52,516,206 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Shareholders’ equity:</w:t>
            </w:r>
          </w:p>
        </w:tc>
        <w:tc>
          <w:tcPr>
            <w:tcW w:w="1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stock—no par value; 100,000,000 shares authorized; 14,010,736 and 14,121,833 shares issued and outstanding as of September 30, 2024 and December 31, 2023, respectively</w:t>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46,843,203 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47,091,602 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(22,064,117)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(17,488,161)</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shareholders’ equity</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24,779,086 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29,603,441 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(309,694)</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(343,572)</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24,469,392 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29,259,869 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76,747,513 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81,776,075 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00" w:after="283"/>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566"/>
        <w:gridCol w:w="1032"/>
        <w:gridCol w:w="1036"/>
        <w:gridCol w:w="211"/>
        <w:gridCol w:w="1020"/>
        <w:gridCol w:w="109"/>
        <w:gridCol w:w="109"/>
        <w:gridCol w:w="109"/>
        <w:gridCol w:w="109"/>
        <w:gridCol w:w="211"/>
        <w:gridCol w:w="1081"/>
        <w:gridCol w:w="109"/>
        <w:gridCol w:w="109"/>
        <w:gridCol w:w="109"/>
        <w:gridCol w:w="109"/>
        <w:gridCol w:w="211"/>
        <w:gridCol w:w="1081"/>
        <w:gridCol w:w="109"/>
        <w:gridCol w:w="109"/>
        <w:gridCol w:w="109"/>
        <w:gridCol w:w="109"/>
        <w:gridCol w:w="211"/>
        <w:gridCol w:w="1081"/>
        <w:gridCol w:w="156"/>
      </w:tblGrid>
      <w:tr>
        <w:trPr/>
        <w:tc>
          <w:tcPr>
            <w:tcW w:w="156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revenues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9,085,826 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27,432,376 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30,199,441 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 sold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1,765,590 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4,609,499 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4,536,628 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and marketing</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4,397,480 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12,800,469 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13,692,535 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1,306,095 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4,569,476 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2,675,380 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7,212,731 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3,288,808 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3,563,493 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23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10,780,258 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11,952,529 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32,022,746 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33,574,863 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(1,694,432)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(1,866,603)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(4,590,370)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(3,375,422)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2,828,871 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settlement</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 insurance proceeds</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(4,507,751)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(7,966)</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(1,536,969)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(28,779)</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(income) at subsidiary attributable to noncontrolling interests</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(4,575,956)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(loss) per share attributable to common shareholders</w:t>
            </w:r>
          </w:p>
        </w:tc>
        <w:tc>
          <w:tcPr>
            <w:tcW w:w="13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outstanding</w:t>
            </w:r>
          </w:p>
        </w:tc>
        <w:tc>
          <w:tcPr>
            <w:tcW w:w="1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basic</w:t>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14,343,560 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diluted</w:t>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14,277,229 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14,521,600 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CUMBERLAND PHARMACEUTICALS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100" w:after="283"/>
        <w:jc w:val="left"/>
        <w:rPr/>
      </w:pPr>
      <w:r>
        <w:rPr/>
      </w:r>
    </w:p>
    <w:tbl>
      <w:tblPr>
        <w:tblW w:w="9608" w:type="dxa"/>
        <w:jc w:val="left"/>
        <w:tblInd w:w="0" w:type="dxa"/>
        <w:tblLayout w:type="fixed"/>
        <w:tblCellMar>
          <w:top w:w="28" w:type="dxa"/>
          <w:left w:w="28" w:type="dxa"/>
          <w:bottom w:w="28" w:type="dxa"/>
          <w:right w:w="28" w:type="dxa"/>
        </w:tblCellMar>
      </w:tblPr>
      <w:tblGrid>
        <w:gridCol w:w="2328"/>
        <w:gridCol w:w="2050"/>
        <w:gridCol w:w="2056"/>
        <w:gridCol w:w="211"/>
        <w:gridCol w:w="1081"/>
        <w:gridCol w:w="109"/>
        <w:gridCol w:w="109"/>
        <w:gridCol w:w="109"/>
        <w:gridCol w:w="109"/>
        <w:gridCol w:w="211"/>
        <w:gridCol w:w="1081"/>
        <w:gridCol w:w="154"/>
      </w:tblGrid>
      <w:tr>
        <w:trPr/>
        <w:tc>
          <w:tcPr>
            <w:tcW w:w="232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loss to net cash provided by operating activities: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3,702,687 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operating lease right-of-use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 non-cash contingent consideration</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(936,072)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(1,017,712)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Decrease (Increase) of life insurance policies over premiums paid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interest expense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disposal of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insurance proceeds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(346,800)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changes in assets and liabilities affecting operating activities: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 and 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1,053,432 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(2,201,773)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other current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1,903,021 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(2,516,804)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5,053,700 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property and equipment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Life insurance policy proceeds received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Additions to intangible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(366,334)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line of credit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32,988,920 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line of credit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(29,681,472)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(27,051,875)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settlement of contingent consideration</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(1,251,499)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(2,108,933)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 in connection with repurchase of common shares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1,575,283 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(5,937,371)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 cash and cash equivalents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(856,870)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18,321,624 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19,757,970 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17,464,754 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18,507,965 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6434"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CUMBERLAND PHARMACEUTICALS INC. AND SUBSIDIARIES</w:t>
      </w:r>
    </w:p>
    <w:p>
      <w:pPr>
        <w:pStyle w:val="TextBody"/>
        <w:bidi w:val="0"/>
        <w:spacing w:lineRule="auto" w:line="288" w:before="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Reconciliation of Net Income (loss) Attributable to Common Shareholders to Adjusted Earnings (loss) and Adjusted Diluted Earnings (loss) Per Share</w:t>
      </w:r>
    </w:p>
    <w:p>
      <w:pPr>
        <w:pStyle w:val="TextBody"/>
        <w:bidi w:val="0"/>
        <w:spacing w:lineRule="auto" w:line="288" w:before="80" w:after="283"/>
        <w:jc w:val="center"/>
        <w:rPr>
          <w:rFonts w:ascii="Times New Roman;sans-serif" w:hAnsi="Times New Roman;sans-serif"/>
          <w:b w:val="false"/>
          <w:color w:val="000000"/>
          <w:sz w:val="24"/>
        </w:rPr>
      </w:pPr>
      <w:r>
        <w:rPr>
          <w:rFonts w:ascii="Times New Roman;sans-serif" w:hAnsi="Times New Roman;sans-serif"/>
          <w:b w:val="false"/>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242"/>
        <w:gridCol w:w="883"/>
        <w:gridCol w:w="888"/>
        <w:gridCol w:w="109"/>
        <w:gridCol w:w="109"/>
        <w:gridCol w:w="109"/>
        <w:gridCol w:w="222"/>
        <w:gridCol w:w="1066"/>
        <w:gridCol w:w="114"/>
        <w:gridCol w:w="114"/>
        <w:gridCol w:w="114"/>
        <w:gridCol w:w="114"/>
        <w:gridCol w:w="510"/>
        <w:gridCol w:w="831"/>
        <w:gridCol w:w="156"/>
        <w:gridCol w:w="109"/>
        <w:gridCol w:w="109"/>
        <w:gridCol w:w="109"/>
        <w:gridCol w:w="222"/>
        <w:gridCol w:w="1065"/>
        <w:gridCol w:w="114"/>
        <w:gridCol w:w="114"/>
        <w:gridCol w:w="114"/>
        <w:gridCol w:w="114"/>
        <w:gridCol w:w="495"/>
        <w:gridCol w:w="830"/>
        <w:gridCol w:w="229"/>
      </w:tblGrid>
      <w:tr>
        <w:trPr/>
        <w:tc>
          <w:tcPr>
            <w:tcW w:w="1242"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(1,544,081)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(1,049,298)</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(7,112)</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(1,536,969)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(1,063,219)</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1,116,036 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1,221,837 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76,371 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83,112 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(69,190)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(98,603)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110,081 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2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(264,936)</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260,146 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14,052,754 </w:t>
            </w:r>
          </w:p>
        </w:tc>
        <w:tc>
          <w:tcPr>
            <w:tcW w:w="156"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14,422,274 </w:t>
            </w:r>
          </w:p>
        </w:tc>
        <w:tc>
          <w:tcPr>
            <w:tcW w:w="229"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253"/>
        <w:gridCol w:w="894"/>
        <w:gridCol w:w="898"/>
        <w:gridCol w:w="109"/>
        <w:gridCol w:w="109"/>
        <w:gridCol w:w="109"/>
        <w:gridCol w:w="219"/>
        <w:gridCol w:w="1052"/>
        <w:gridCol w:w="113"/>
        <w:gridCol w:w="113"/>
        <w:gridCol w:w="113"/>
        <w:gridCol w:w="113"/>
        <w:gridCol w:w="510"/>
        <w:gridCol w:w="837"/>
        <w:gridCol w:w="157"/>
        <w:gridCol w:w="109"/>
        <w:gridCol w:w="109"/>
        <w:gridCol w:w="109"/>
        <w:gridCol w:w="223"/>
        <w:gridCol w:w="1035"/>
        <w:gridCol w:w="115"/>
        <w:gridCol w:w="115"/>
        <w:gridCol w:w="115"/>
        <w:gridCol w:w="115"/>
        <w:gridCol w:w="538"/>
        <w:gridCol w:w="782"/>
        <w:gridCol w:w="241"/>
      </w:tblGrid>
      <w:tr>
        <w:trPr/>
        <w:tc>
          <w:tcPr>
            <w:tcW w:w="1253"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impact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Earnings per share impact</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attributable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(4,575,956)</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loss at subsidiary attributable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(33,878)</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43,865 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(4,542,078)</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(0.32)</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(28,779)</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34,327 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20,813 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3,406,166 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3,702,687 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Share-based compensation </w:t>
            </w:r>
            <w:r>
              <w:rPr>
                <w:rFonts w:ascii="Times New Roman;sans-serif" w:hAnsi="Times New Roman;sans-serif"/>
                <w:b w:val="false"/>
                <w:color w:val="000000"/>
                <w:sz w:val="13"/>
              </w:rPr>
              <w:t xml:space="preserve">(a)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227,083 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271,146 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(227,777)</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(205,854)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earnings (loss) and adjusted diluted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(720,032)</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4,249,082 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common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14,089,496 </w:t>
            </w:r>
          </w:p>
        </w:tc>
        <w:tc>
          <w:tcPr>
            <w:tcW w:w="157"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14,559,687 </w:t>
            </w:r>
          </w:p>
        </w:tc>
        <w:tc>
          <w:tcPr>
            <w:tcW w:w="24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6"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provided the above adjusted supplemental financial performance measures, which are considered "non-GAAP" financial measures under applicable SEC rules and regulations. These financial measures should be considered supplemental to, and not as a substitute for, financial information prepared in accordance with Generally Accepted Accounting Principles ("GAAP"). The definition of these supplemental measures may differ from similarly titled measures used by others.</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Because these supplemental financial measures exclude the effect of items that will increase or decrease the Company's reported results of operations, management encourages investors to review the Company's consolidated financial statements and publicly filed reports in their entirety. A reconciliation of the supplemental financial measures to the most directly comparable GAAP financial measures is included in the tables accompanying this release.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Cumberland's management believes these supplemental financial performance measures are important as they are used by management, along with financial measures in accordance with GAAP, to evaluate the Company's operating performance. In addition, Cumberland believes that they will be used by certain investors to measure the Company's operating results. Management believes that presenting these supplemental measures provides useful information about the Company's underlying performance across reporting periods on a consistent basis by excluding items that Cumberland does not believe are indicative of its core business performance or reflect long-term strategic activities. Certain of these items are not settled through cash payments and include: depreciation, amortization, share-based compensation expense and income taxes. Cumberland utilizes its net operating loss carryforwards to pay minimal income taxes. In addition, the use of these financial measures provides greater transparency to investors of supplemental information used by management in its financial and operational decision-making, including the evaluation of the Company's operating performance.</w:t>
      </w:r>
    </w:p>
    <w:p>
      <w:pPr>
        <w:pStyle w:val="TextBody"/>
        <w:bidi w:val="0"/>
        <w:spacing w:lineRule="auto" w:line="288" w:before="160" w:after="283"/>
        <w:jc w:val="both"/>
        <w:rPr>
          <w:rFonts w:ascii="Times New Roman;sans-serif" w:hAnsi="Times New Roman;sans-serif"/>
          <w:b w:val="false"/>
          <w:color w:val="000000"/>
          <w:sz w:val="24"/>
        </w:rPr>
      </w:pPr>
      <w:r>
        <w:rPr>
          <w:rFonts w:ascii="Times New Roman;sans-serif" w:hAnsi="Times New Roman;sans-serif"/>
          <w:b w:val="false"/>
          <w:color w:val="000000"/>
          <w:sz w:val="24"/>
        </w:rPr>
        <w:t>The Company defines these supplemental financial measures as follows:</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 xml:space="preserve">Adjusted Earnings (loss): </w:t>
      </w:r>
      <w:r>
        <w:rPr>
          <w:rFonts w:ascii="Times New Roman;sans-serif" w:hAnsi="Times New Roman;sans-serif"/>
          <w:b w:val="false"/>
          <w:color w:val="000000"/>
          <w:sz w:val="24"/>
        </w:rPr>
        <w:t xml:space="preserve">net income (loss) adjusted for the impact of income taxes, depreciation and amortization expense, share-based compensation, interest income and interest expense. </w:t>
      </w:r>
    </w:p>
    <w:p>
      <w:pPr>
        <w:pStyle w:val="TextBody"/>
        <w:bidi w:val="0"/>
        <w:spacing w:lineRule="auto" w:line="288" w:before="160" w:after="283"/>
        <w:jc w:val="left"/>
        <w:rPr>
          <w:color w:val="000000"/>
        </w:rPr>
      </w:pPr>
      <w:r>
        <w:rPr>
          <w:color w:val="000000"/>
        </w:rPr>
        <w:t>    </w:t>
      </w:r>
      <w:r>
        <w:rPr>
          <w:rFonts w:ascii="Times New Roman;sans-serif" w:hAnsi="Times New Roman;sans-serif"/>
          <w:b w:val="false"/>
          <w:color w:val="000000"/>
          <w:sz w:val="24"/>
        </w:rPr>
        <w:t>(a)     Represents the share-based compensation of Cumberland.</w:t>
      </w:r>
    </w:p>
    <w:p>
      <w:pPr>
        <w:pStyle w:val="TextBody"/>
        <w:bidi w:val="0"/>
        <w:spacing w:lineRule="auto" w:line="288" w:before="160" w:after="283"/>
        <w:ind w:left="0" w:right="0" w:hanging="360"/>
        <w:jc w:val="both"/>
        <w:rPr/>
      </w:pPr>
      <w:r>
        <w:rPr>
          <w:color w:val="000000"/>
        </w:rPr>
        <w:t>•</w:t>
      </w:r>
      <w:r>
        <w:rPr>
          <w:rFonts w:ascii="Times New Roman;sans-serif" w:hAnsi="Times New Roman;sans-serif"/>
          <w:b/>
          <w:color w:val="000000"/>
          <w:sz w:val="24"/>
        </w:rPr>
        <w:t>Adjusted Diluted Earnings (loss) Per Share:</w:t>
      </w:r>
      <w:r>
        <w:rPr>
          <w:color w:val="000000"/>
        </w:rPr>
        <w:t xml:space="preserve"> </w:t>
      </w:r>
      <w:r>
        <w:rPr>
          <w:rFonts w:ascii="Times New Roman;sans-serif" w:hAnsi="Times New Roman;sans-serif"/>
          <w:b w:val="false"/>
          <w:color w:val="000000"/>
          <w:sz w:val="24"/>
        </w:rPr>
        <w:t xml:space="preserve">Adjusted Earnings (loss) divided by diluted weighted-average common shares outstanding. </w:t>
      </w:r>
    </w:p>
    <w:p>
      <w:pPr>
        <w:pStyle w:val="TextBody"/>
        <w:bidi w:val="0"/>
        <w:spacing w:before="0" w:after="0"/>
        <w:jc w:val="both"/>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7"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4392</Words>
  <Characters>27496</Characters>
  <CharactersWithSpaces>31544</CharactersWithSpaces>
  <Paragraphs>633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