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No.9)*</w:t>
      </w:r>
    </w:p>
    <w:p>
      <w:pPr>
        <w:spacing w:after="0" w:line="237" w:lineRule="auto"/>
        <w:rPr>
          <w:sz w:val="20"/>
          <w:szCs w:val="20"/>
          <w:color w:val="auto"/>
        </w:rPr>
      </w:pPr>
      <w:r>
        <w:rPr>
          <w:rFonts w:ascii="Courier New" w:cs="Courier New" w:eastAsia="Courier New" w:hAnsi="Courier New"/>
          <w:sz w:val="18"/>
          <w:szCs w:val="18"/>
          <w:color w:val="auto"/>
        </w:rPr>
        <w:t>Cumberland Pharmaceuticals, Inc.</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230770109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12/31/2019</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230770109</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860" w:right="30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Ariel Investments,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1,010,220</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1,010,220</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1,010,220</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1,010,220/15,183,943=6.7%</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230770109</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204"/>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21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Amount beneficially</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w:t>
            </w: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Percent of class:</w:t>
            </w:r>
          </w:p>
        </w:tc>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11)</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which such person has: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(iv)</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Item 5. Ownership of Five</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Percent or Less of a Class.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 the</w:t>
            </w:r>
          </w:p>
        </w:tc>
      </w:tr>
    </w:tbl>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date hereof the reporting person has ceased to be the beneficial owner of more than five percent of the class of securities check the following [_].</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4"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James R. Prescott</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James R. Prescott</w:t>
      </w:r>
    </w:p>
    <w:p>
      <w:pPr>
        <w:ind w:left="860"/>
        <w:spacing w:after="0" w:line="238" w:lineRule="auto"/>
        <w:rPr>
          <w:sz w:val="20"/>
          <w:szCs w:val="20"/>
          <w:color w:val="auto"/>
        </w:rPr>
      </w:pPr>
      <w:r>
        <w:rPr>
          <w:rFonts w:ascii="Courier New" w:cs="Courier New" w:eastAsia="Courier New" w:hAnsi="Courier New"/>
          <w:sz w:val="18"/>
          <w:szCs w:val="18"/>
          <w:color w:val="auto"/>
        </w:rPr>
        <w:t>Vice President, Compliance</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2020-02-14T09:23:16Z</dcterms:created>
  <dcterms:modified xsi:type="dcterms:W3CDTF">2020-02-14T09:23:16Z</dcterms:modified>
</cp:coreProperties>
</file>