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March 5, 2024 (March 5,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2525 West End Avenue, Suite 950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On March 5, 2024, Cumberland Pharmaceuticals Inc. (the "Company") issued a press release which provided a company update and the financial results for the three months and year ended December 31, 2023. A copy of the press release is attached as </w:t>
      </w:r>
      <w:r>
        <w:rPr>
          <w:rFonts w:ascii="Times New Roman" w:cs="Times New Roman" w:eastAsia="Times New Roman" w:hAnsi="Times New Roman"/>
          <w:sz w:val="20"/>
          <w:szCs w:val="20"/>
          <w:u w:val="single" w:color="auto"/>
          <w:color w:val="0000FF"/>
        </w:rPr>
        <w:t>Exhibit 99.1</w:t>
      </w:r>
      <w:r>
        <w:rPr>
          <w:rFonts w:ascii="Times New Roman" w:cs="Times New Roman" w:eastAsia="Times New Roman" w:hAnsi="Times New Roman"/>
          <w:sz w:val="20"/>
          <w:szCs w:val="20"/>
          <w:color w:val="auto"/>
        </w:rPr>
        <w:t xml:space="preserve"> to this Current Report on Form 8-K and is incorporated by reference into this Item 2.02.</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spacing w:after="0" w:line="11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2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340" w:type="dxa"/>
            <w:vAlign w:val="bottom"/>
          </w:tcPr>
          <w:p>
            <w:pPr>
              <w:spacing w:after="0"/>
              <w:rPr>
                <w:sz w:val="15"/>
                <w:szCs w:val="15"/>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140" w:type="dxa"/>
            <w:vAlign w:val="bottom"/>
          </w:tcPr>
          <w:p>
            <w:pPr>
              <w:spacing w:after="0"/>
              <w:rPr>
                <w:sz w:val="15"/>
                <w:szCs w:val="15"/>
                <w:color w:val="auto"/>
              </w:rPr>
            </w:pPr>
          </w:p>
        </w:tc>
        <w:tc>
          <w:tcPr>
            <w:tcW w:w="5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320" w:type="dxa"/>
            <w:vAlign w:val="bottom"/>
          </w:tcPr>
          <w:p>
            <w:pPr>
              <w:spacing w:after="0"/>
              <w:rPr>
                <w:sz w:val="15"/>
                <w:szCs w:val="15"/>
                <w:color w:val="auto"/>
              </w:rPr>
            </w:pPr>
          </w:p>
        </w:tc>
      </w:tr>
      <w:tr>
        <w:trPr>
          <w:trHeight w:val="351"/>
        </w:trPr>
        <w:tc>
          <w:tcPr>
            <w:tcW w:w="30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140" w:type="dxa"/>
            <w:vAlign w:val="bottom"/>
          </w:tcPr>
          <w:p>
            <w:pPr>
              <w:spacing w:after="0"/>
              <w:rPr>
                <w:sz w:val="24"/>
                <w:szCs w:val="24"/>
                <w:color w:val="auto"/>
              </w:rPr>
            </w:pPr>
          </w:p>
        </w:tc>
        <w:tc>
          <w:tcPr>
            <w:tcW w:w="7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dated March 5, 2024</w:t>
            </w:r>
          </w:p>
        </w:tc>
      </w:tr>
      <w:tr>
        <w:trPr>
          <w:trHeight w:val="1000"/>
        </w:trPr>
        <w:tc>
          <w:tcPr>
            <w:tcW w:w="13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40" w:type="dxa"/>
            <w:vAlign w:val="bottom"/>
            <w:tcBorders>
              <w:top w:val="single" w:sz="8" w:color="0000FF"/>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6880" w:type="dxa"/>
            <w:vAlign w:val="bottom"/>
            <w:gridSpan w:val="2"/>
          </w:tcPr>
          <w:p>
            <w:pPr>
              <w:ind w:left="270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Dated: March 5, 2024</w:t>
            </w:r>
          </w:p>
        </w:tc>
        <w:tc>
          <w:tcPr>
            <w:tcW w:w="40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28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28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1089"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2033905</wp:posOffset>
            </wp:positionH>
            <wp:positionV relativeFrom="page">
              <wp:posOffset>732155</wp:posOffset>
            </wp:positionV>
            <wp:extent cx="3488690" cy="788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348869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Cumberland Pharmaceuticals Reports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Annual 2023 Financial Results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2023 highlights include expanded FDA approval and new study publications</w:t>
      </w:r>
    </w:p>
    <w:p>
      <w:pPr>
        <w:spacing w:after="0" w:line="39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NASHVILLE, TENNESSEE (Tuesday, March 5, 2024) – Cumberland Pharmaceuticals Inc. (NASDAQ: CPIX)</w:t>
      </w:r>
      <w:r>
        <w:rPr>
          <w:rFonts w:ascii="Times New Roman" w:cs="Times New Roman" w:eastAsia="Times New Roman" w:hAnsi="Times New Roman"/>
          <w:sz w:val="22"/>
          <w:szCs w:val="22"/>
          <w:color w:val="auto"/>
        </w:rPr>
        <w:t>, a specialty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pharmaceutical company, announced today that its product portfolio of FDA-approved brands delivered combined revenues of $40 million in 2023 and provided $6 million in cash generated from operations.</w:t>
      </w:r>
    </w:p>
    <w:p>
      <w:pPr>
        <w:spacing w:after="0" w:line="10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Cumberland ended the year with $82 million in total assets – including $18 million in cash, $53 million in liabilities and $30 million of shareholders’ equity.</w:t>
      </w:r>
    </w:p>
    <w:p>
      <w:pPr>
        <w:spacing w:after="0" w:line="9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1"/>
          <w:szCs w:val="21"/>
          <w:color w:val="auto"/>
        </w:rPr>
        <w:t>“In many ways 2023 was a building year for Cumberland, as we continued to integrate our newest products, while also delivering several significant achievements,” said Cumberland Pharmaceuticals CEO A.J. Kazimi. “We were pleased to expand the labeling for our Caldolor product to include use in infants, while continuing to build our other brands and progress our clinical programs.”</w:t>
      </w:r>
    </w:p>
    <w:p>
      <w:pPr>
        <w:spacing w:after="0" w:line="7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Cumberland will report its 2023 financial results and provide a Company update via a conference call today, March 5, 2024, at 4:30 p.m. Eastern Time.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HIGHLIGHTS FOR THE YEAR INCLUDE: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Mission Statement</w:t>
      </w:r>
    </w:p>
    <w:p>
      <w:pPr>
        <w:spacing w:after="0" w:line="15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 xml:space="preserve">In 2023, Cumberland refined its mission statement to better capture the spirit of the Company. It now reads: </w:t>
      </w:r>
      <w:r>
        <w:rPr>
          <w:rFonts w:ascii="Times New Roman" w:cs="Times New Roman" w:eastAsia="Times New Roman" w:hAnsi="Times New Roman"/>
          <w:sz w:val="22"/>
          <w:szCs w:val="22"/>
          <w:i w:val="1"/>
          <w:iCs w:val="1"/>
          <w:color w:val="auto"/>
        </w:rPr>
        <w:t>working together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 unique products that improve the quality of patient care.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designing this statement, Cumberland considered several factors.</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Company wanted its mission to address the constituencies it serves, which include patients in need of care, as well as health care providers and its employees, shareholders, partners and community.</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It needed to reflect Cumberland’s culture, where teamwork is prized, emphasized and expected – in order to achieve the company’s goals.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also demonstrates Cumberland’s focus on developing, acquiring and distributing differentiated brands.</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And finally, Cumberland wanted to emphasize that the patient is at the core of everything it does. Its collective efforts are directed at providing unique products that serve as better alternatives for poorly met medical needs.</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FDA Approval for Treating Infants and Supporting Study Publication</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FDA approved expanded labeling for Cumberland’s Caldolor product, an intravenously delivered formulation of ibuprofen, to include its use in infants. The non-narcotic agent may now be administered for the treatment of pain and fever in patients 3 to 6 months of age. With this newly approved labeling, Caldolor is the only non-opioid product approved to treat pain in infants that is delivered through injection.</w:t>
      </w:r>
    </w:p>
    <w:p>
      <w:pPr>
        <w:spacing w:after="0" w:line="1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Cumberland also announced positive results from a clinical study investigating the safety and pharmacokinetics of Caldolor in newborns, published in the journal </w:t>
      </w:r>
      <w:r>
        <w:rPr>
          <w:rFonts w:ascii="Times New Roman" w:cs="Times New Roman" w:eastAsia="Times New Roman" w:hAnsi="Times New Roman"/>
          <w:sz w:val="22"/>
          <w:szCs w:val="22"/>
          <w:i w:val="1"/>
          <w:iCs w:val="1"/>
          <w:color w:val="auto"/>
        </w:rPr>
        <w:t>Pediatric Drugs</w:t>
      </w:r>
      <w:r>
        <w:rPr>
          <w:rFonts w:ascii="Times New Roman" w:cs="Times New Roman" w:eastAsia="Times New Roman" w:hAnsi="Times New Roman"/>
          <w:sz w:val="22"/>
          <w:szCs w:val="22"/>
          <w:color w:val="auto"/>
        </w:rPr>
        <w:t>. The results of the study support the growing body of evidence that demonstrates Caldolor is a safe therapeutic option available to practitioners for the treatment of fever and pain in infants, children and adults.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Federal NOPAIN Act</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early 2023, the federal NOPAIN Act was passed, which the Company expects, will provide special, favorable reimbursement for non-opioid products like Caldolor. Cumberland submitted a request to the Centers for Medicare &amp; Medicaid Services (CMS), to include Caldolor in the favorable reimbursement and expects to learn more this year in preparation for the Act’s implementation in 2025.</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Expanded Oncology Sales Division</w:t>
      </w:r>
    </w:p>
    <w:p>
      <w:pPr>
        <w:spacing w:after="0" w:line="14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Cumberland expanded its oncology sales division as it works to deliver its newest brand –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 to help cancer patients tolerate their chemotherapy treatments. Sancuso is the first and only FDA-approved prescription patch for the prevention of nausea and vomiting in patients receiving certain types of chemotherapy.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Pediatric Study Results Published</w:t>
      </w:r>
    </w:p>
    <w:p>
      <w:pPr>
        <w:spacing w:after="0" w:line="7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2"/>
          <w:szCs w:val="22"/>
          <w:color w:val="auto"/>
        </w:rPr>
        <w:t xml:space="preserve">Cumberland announced a new publication in </w:t>
      </w:r>
      <w:r>
        <w:rPr>
          <w:rFonts w:ascii="Times New Roman" w:cs="Times New Roman" w:eastAsia="Times New Roman" w:hAnsi="Times New Roman"/>
          <w:sz w:val="22"/>
          <w:szCs w:val="22"/>
          <w:i w:val="1"/>
          <w:iCs w:val="1"/>
          <w:color w:val="auto"/>
        </w:rPr>
        <w:t>Antimicrobial Agents and Chemotherapy</w:t>
      </w:r>
      <w:r>
        <w:rPr>
          <w:rFonts w:ascii="Times New Roman" w:cs="Times New Roman" w:eastAsia="Times New Roman" w:hAnsi="Times New Roman"/>
          <w:sz w:val="22"/>
          <w:szCs w:val="22"/>
          <w:color w:val="auto"/>
        </w:rPr>
        <w:t xml:space="preserve"> detailing the results of the first clinical study investigating the safety and pharmacokinetics of its Vibativ product in children 2 to 17 years of age.</w:t>
      </w:r>
    </w:p>
    <w:p>
      <w:pPr>
        <w:spacing w:after="0" w:line="6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Vibativ is an intravenous antibiotic approved by the FDA for the treatment of hospital-acquired and ventilator-associated bacterial pneumonia, as well as complicated skin and skin structure infections caused by certain gram-positive bacteria.</w:t>
      </w:r>
    </w:p>
    <w:p>
      <w:pPr>
        <w:spacing w:after="0" w:line="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results of the study suggest that a single dose of Vibativ is safe in children and they experience reduced exposure to Vibativ, compared with the same body weight-based dosing in adults.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2023 Sustainability Metrics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Cumberland updated its annual sustainability metrics, detailing the company’s activities pertaining to its environmental, social and governance matters. Cumberland reported its key findings for 2023, including providing </w:t>
      </w:r>
      <w:r>
        <w:rPr>
          <w:rFonts w:ascii="Times New Roman" w:cs="Times New Roman" w:eastAsia="Times New Roman" w:hAnsi="Times New Roman"/>
          <w:sz w:val="22"/>
          <w:szCs w:val="22"/>
          <w:u w:val="single" w:color="auto"/>
          <w:color w:val="auto"/>
        </w:rPr>
        <w:t>3 million doses</w:t>
      </w:r>
      <w:r>
        <w:rPr>
          <w:rFonts w:ascii="Times New Roman" w:cs="Times New Roman" w:eastAsia="Times New Roman" w:hAnsi="Times New Roman"/>
          <w:sz w:val="22"/>
          <w:szCs w:val="22"/>
          <w:color w:val="auto"/>
        </w:rPr>
        <w:t xml:space="preserve"> of its FDA-approved products to patients and safely disposing of nearly 6,000 pounds of damaged and expired products. Additionally, Cumberland had no products recalled and no clinical trials terminated due to failure to practice good clinical standards in 2023.</w:t>
      </w:r>
    </w:p>
    <w:p>
      <w:pPr>
        <w:sectPr>
          <w:pgSz w:w="11900" w:h="16838" w:orient="portrait"/>
          <w:cols w:equalWidth="0" w:num="1">
            <w:col w:w="11240"/>
          </w:cols>
          <w:pgMar w:left="320" w:top="137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Clinical Development Programs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Throughout 2023, Cumberland continued to progress its pipeline of innovative products designed to improve patient care and patients’ quality of life. Cumberland's ifetroban product candidate – a potent and selective thromboxane receptor antagonist – is being evaluated in three Phase II clinical trials for patients with a series of unmet medical needs. It has now been dosed in nearly 1,400 subjects and has been found to be safe and well tolerated in those individuals. Patient enrollment is well underway in two of those Company-sponsored Phase II clinical programs.</w:t>
      </w:r>
    </w:p>
    <w:p>
      <w:pPr>
        <w:spacing w:after="0" w:line="11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first clinical program involves patients with Systemic Sclerosis or scleroderma, a debilitating autoimmune disorder characterized by diffuse fibrosis of the skin and internal organs.</w:t>
      </w:r>
    </w:p>
    <w:p>
      <w:pPr>
        <w:spacing w:after="0" w:line="9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other clinical program is evaluating ifetroban in patients with cardiomyopathy associated with Duchenne Muscular Dystrophy, or DMD. DMD is a rare and fatal genetic neuromuscular disease that results in deterioration of the skeletal, heart and lung muscles. Cumberland is sponsoring the FIGHT DMD™ trial, a multicenter, randomized, placebo-controlled Phase II study enrolling patients across 10 centers in the United States that specialize in DMD. The Company has completed enrollment in the younger age group of patients and now is working to finish enrollment in the older patient group with DMD. The FDA has provided grant awards of over $1 million to support this study.</w:t>
      </w:r>
    </w:p>
    <w:p>
      <w:pPr>
        <w:spacing w:after="0" w:line="1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Cumberland is also developing an oral capsule to treat Idiopathic Pulmonary Fibrosis, or IPF, the most common form of progressive fibrosing interstitial lung disease. Following FDA clearance of its investigational new drug application in May 2023, the Company is now in the process of initiating its Phase II FIGHTING FIBROSIS trial designed to enroll 128 patients in over 20 medical centers of excellence across the United States. Recent studies have shown ifetroban can both prevent and enhance resolution of lung fibrosis in multiple preclinical models.</w:t>
      </w:r>
    </w:p>
    <w:p>
      <w:pPr>
        <w:spacing w:after="0" w:line="1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Company’s plan going forward is to complete each of its company-sponsored studies, analyze their final data, announce top-line results and decide on the best development path for the registration of ifetroban, which the Company continues to believe has the potential to benefit many patients with orphan diseases that represent unmet medical needs.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RESULTS:</w:t>
      </w:r>
    </w:p>
    <w:p>
      <w:pPr>
        <w:spacing w:after="0" w:line="152"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Net Revenue: </w:t>
      </w:r>
      <w:r>
        <w:rPr>
          <w:rFonts w:ascii="Times New Roman" w:cs="Times New Roman" w:eastAsia="Times New Roman" w:hAnsi="Times New Roman"/>
          <w:sz w:val="22"/>
          <w:szCs w:val="22"/>
          <w:color w:val="auto"/>
        </w:rPr>
        <w:t>For 2023, net revenues were $40 million and included $16 million for Kristalose</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$8.8 million for Vibativ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$8.1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million for Sancuso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 xml:space="preserve"> and $4.3 million for Caldolor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22"/>
          <w:szCs w:val="22"/>
          <w:color w:val="auto"/>
        </w:rPr>
        <w: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Operating Expenses: </w:t>
      </w:r>
      <w:r>
        <w:rPr>
          <w:rFonts w:ascii="Times New Roman" w:cs="Times New Roman" w:eastAsia="Times New Roman" w:hAnsi="Times New Roman"/>
          <w:sz w:val="22"/>
          <w:szCs w:val="22"/>
          <w:color w:val="auto"/>
        </w:rPr>
        <w:t>Total operating expenses for 2023 were $49.1 million.</w:t>
      </w:r>
    </w:p>
    <w:p>
      <w:pPr>
        <w:spacing w:after="0" w:line="1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21"/>
          <w:szCs w:val="21"/>
          <w:b w:val="1"/>
          <w:bCs w:val="1"/>
          <w:color w:val="auto"/>
        </w:rPr>
        <w:t xml:space="preserve">Net Income (Loss): </w:t>
      </w:r>
      <w:r>
        <w:rPr>
          <w:rFonts w:ascii="Times New Roman" w:cs="Times New Roman" w:eastAsia="Times New Roman" w:hAnsi="Times New Roman"/>
          <w:sz w:val="21"/>
          <w:szCs w:val="21"/>
          <w:color w:val="auto"/>
        </w:rPr>
        <w:t>The net loss for the fourth quarter of 2023 and the year ended December 31, 2023, was approximately $6.3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million. Results include a one time non-cash charge to intangible assets of $3.3 million associated with a product discontinuation.</w:t>
      </w:r>
    </w:p>
    <w:p>
      <w:pPr>
        <w:spacing w:after="0" w:line="60"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Adjusted earnings for the year ended December 31, 2023, were $2.4 million, or $0.17 a share. The adjusted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earnings calculation does not include the benefit of the $2.3 million of Vibativ and Sancuso cost of goods, which were received as part of each product’s acquisition.</w:t>
      </w:r>
    </w:p>
    <w:p>
      <w:pPr>
        <w:spacing w:after="0" w:line="9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22"/>
          <w:szCs w:val="22"/>
          <w:b w:val="1"/>
          <w:bCs w:val="1"/>
          <w:color w:val="auto"/>
        </w:rPr>
        <w:t xml:space="preserve">Balance Sheet: </w:t>
      </w:r>
      <w:r>
        <w:rPr>
          <w:rFonts w:ascii="Times New Roman" w:cs="Times New Roman" w:eastAsia="Times New Roman" w:hAnsi="Times New Roman"/>
          <w:sz w:val="22"/>
          <w:szCs w:val="22"/>
          <w:color w:val="auto"/>
        </w:rPr>
        <w:t>At December 31, 2023, Cumberland had $82 million in total assets, including $18 million in cash and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equivalents. Liabilities totaled $53 million, including $12.8 million on the company’s credit facility. Total shareholders’ equity was $30 million at December 31, 2023.</w:t>
      </w:r>
    </w:p>
    <w:p>
      <w:pPr>
        <w:sectPr>
          <w:pgSz w:w="11900" w:h="16838" w:orient="portrait"/>
          <w:cols w:equalWidth="0" w:num="1">
            <w:col w:w="11240"/>
          </w:cols>
          <w:pgMar w:left="320" w:top="10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EARNINGS REPORT CALL:</w:t>
      </w:r>
    </w:p>
    <w:p>
      <w:pPr>
        <w:spacing w:after="0" w:line="1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Cumberland will report its 2023 financial results via a conference call today, March 5, 2023, at 4:30 p.m. Eastern Time. To participate in the call, please register at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https://register.vevent.com/register/BI77538b1a0c52414b9e2772846f5498ae</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Registered participants can dial in from their phone using a dial-in and PIN number that will be provided to them. Alternatively, they can choose a “Call Me” option to have the system automatically call them at the start of the conference.</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A replay of the call will be available for one year and can be accessed via Cumberland’s website or by visiting </w:t>
      </w:r>
      <w:r>
        <w:rPr>
          <w:rFonts w:ascii="Times New Roman" w:cs="Times New Roman" w:eastAsia="Times New Roman" w:hAnsi="Times New Roman"/>
          <w:sz w:val="22"/>
          <w:szCs w:val="22"/>
          <w:u w:val="single" w:color="auto"/>
          <w:color w:val="auto"/>
        </w:rPr>
        <w:t>https://edge.media-server.com/mmc/p/eubuwzon</w:t>
      </w:r>
      <w:r>
        <w:rPr>
          <w:rFonts w:ascii="Times New Roman" w:cs="Times New Roman" w:eastAsia="Times New Roman" w:hAnsi="Times New Roman"/>
          <w:sz w:val="22"/>
          <w:szCs w:val="22"/>
          <w:color w:val="auto"/>
        </w:rPr>
        <w: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CUMBERLAND PHARMACEUTICALS:</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w:t>
      </w:r>
      <w:r>
        <w:rPr>
          <w:rFonts w:ascii="Times New Roman" w:cs="Times New Roman" w:eastAsia="Times New Roman" w:hAnsi="Times New Roman"/>
          <w:sz w:val="22"/>
          <w:szCs w:val="22"/>
          <w:color w:val="auto"/>
        </w:rPr>
        <w:t>is the largest biopharmaceutical company founded and headquartered in Tennessee and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focused on providing unique products that improve the quality of patient care. The company develops, acquires, and commercializes products for the hospital acute care, gastroenterology and oncology market segments.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company’s portfolio of FDA-approved brands includes:</w:t>
      </w:r>
    </w:p>
    <w:p>
      <w:pPr>
        <w:spacing w:after="0" w:line="14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acetylcysteine</w:t>
      </w:r>
      <w:r>
        <w:rPr>
          <w:rFonts w:ascii="Times New Roman" w:cs="Times New Roman" w:eastAsia="Times New Roman" w:hAnsi="Times New Roman"/>
          <w:sz w:val="22"/>
          <w:szCs w:val="22"/>
          <w:color w:val="auto"/>
        </w:rPr>
        <w:t>) injection, for the treatment of acetaminophen poisoning;</w:t>
      </w:r>
    </w:p>
    <w:p>
      <w:pPr>
        <w:spacing w:after="0" w:line="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ibuprofen</w:t>
      </w:r>
      <w:r>
        <w:rPr>
          <w:rFonts w:ascii="Times New Roman" w:cs="Times New Roman" w:eastAsia="Times New Roman" w:hAnsi="Times New Roman"/>
          <w:sz w:val="22"/>
          <w:szCs w:val="22"/>
          <w:color w:val="auto"/>
        </w:rPr>
        <w:t>) injection, for the treatment of pain and fever;</w:t>
      </w:r>
    </w:p>
    <w:p>
      <w:pPr>
        <w:spacing w:after="0" w:line="8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lactulose</w:t>
      </w:r>
      <w:r>
        <w:rPr>
          <w:rFonts w:ascii="Times New Roman" w:cs="Times New Roman" w:eastAsia="Times New Roman" w:hAnsi="Times New Roman"/>
          <w:sz w:val="22"/>
          <w:szCs w:val="22"/>
          <w:color w:val="auto"/>
        </w:rPr>
        <w:t>) oral, a prescription laxative, for the treatment of constipation;</w:t>
      </w:r>
    </w:p>
    <w:p>
      <w:pPr>
        <w:spacing w:after="0" w:line="83"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i w:val="1"/>
          <w:iCs w:val="1"/>
          <w:color w:val="auto"/>
        </w:rPr>
        <w:t>omeprazole, clarithromycin, amoxicillin</w:t>
      </w:r>
      <w:r>
        <w:rPr>
          <w:rFonts w:ascii="Times New Roman" w:cs="Times New Roman" w:eastAsia="Times New Roman" w:hAnsi="Times New Roman"/>
          <w:sz w:val="22"/>
          <w:szCs w:val="22"/>
          <w:color w:val="auto"/>
        </w:rPr>
        <w:t>) oral, for the treatment of Helicobacter pylori (</w:t>
      </w:r>
      <w:r>
        <w:rPr>
          <w:rFonts w:ascii="Times New Roman" w:cs="Times New Roman" w:eastAsia="Times New Roman" w:hAnsi="Times New Roman"/>
          <w:sz w:val="22"/>
          <w:szCs w:val="22"/>
          <w:i w:val="1"/>
          <w:iCs w:val="1"/>
          <w:color w:val="auto"/>
        </w:rPr>
        <w:t>H. pylori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infection and related duodenal ulcer disease;</w:t>
      </w:r>
    </w:p>
    <w:p>
      <w:pPr>
        <w:spacing w:after="0" w:line="115"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granisetron)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transdermal, for the prevention of nausea and vomiting in patients receiving certain types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chemotherapy treatment;</w:t>
      </w:r>
    </w:p>
    <w:p>
      <w:pPr>
        <w:spacing w:after="0" w:line="115" w:lineRule="exact"/>
        <w:rPr>
          <w:rFonts w:ascii="Times New Roman" w:cs="Times New Roman" w:eastAsia="Times New Roman" w:hAnsi="Times New Roman"/>
          <w:sz w:val="22"/>
          <w:szCs w:val="22"/>
          <w:color w:val="auto"/>
        </w:rPr>
      </w:pPr>
    </w:p>
    <w:p>
      <w:pPr>
        <w:ind w:left="660" w:right="2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conivaptan</w:t>
      </w:r>
      <w:r>
        <w:rPr>
          <w:rFonts w:ascii="Times New Roman" w:cs="Times New Roman" w:eastAsia="Times New Roman" w:hAnsi="Times New Roman"/>
          <w:sz w:val="22"/>
          <w:szCs w:val="22"/>
          <w:color w:val="auto"/>
        </w:rPr>
        <w:t>) injection, to raise serum sodium levels in hospitalized patients with euvolemic and hypervolemic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hyponatremia; and</w:t>
      </w:r>
    </w:p>
    <w:p>
      <w:pPr>
        <w:spacing w:after="0" w:line="115" w:lineRule="exact"/>
        <w:rPr>
          <w:rFonts w:ascii="Times New Roman" w:cs="Times New Roman" w:eastAsia="Times New Roman" w:hAnsi="Times New Roman"/>
          <w:sz w:val="22"/>
          <w:szCs w:val="22"/>
          <w:color w:val="auto"/>
        </w:rPr>
      </w:pPr>
    </w:p>
    <w:p>
      <w:pPr>
        <w:ind w:left="660" w:hanging="328"/>
        <w:spacing w:after="0" w:line="228"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telavancin</w:t>
      </w:r>
      <w:r>
        <w:rPr>
          <w:rFonts w:ascii="Times New Roman" w:cs="Times New Roman" w:eastAsia="Times New Roman" w:hAnsi="Times New Roman"/>
          <w:sz w:val="22"/>
          <w:szCs w:val="22"/>
          <w:color w:val="auto"/>
        </w:rPr>
        <w:t>) injection, for the treatment of certain serious bacterial infections including hospital-acquired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ventilator-associated bacterial pneumonia, as well as complicated skin and skin structure infections.</w:t>
      </w:r>
    </w:p>
    <w:p>
      <w:pPr>
        <w:spacing w:after="0" w:line="1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Company also has a series of Phase II clinical programs underway evaluating its ifetroban product candidate in patients with cardiomyopathy associated with Duchenne Muscular Dystrophy, Systemic Sclerosis and Idiopathic Pulmonary Fibrosis. Investigational new study applications have been cleared by the FDA enabling Cumberland to launch clinical studies in each of these areas.</w:t>
      </w:r>
    </w:p>
    <w:p>
      <w:pPr>
        <w:spacing w:after="0" w:line="1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For more information on Cumberland’s approved products, including full prescribing information, please visit links to the individual product websites, which can be found on the company’s website at </w:t>
      </w:r>
      <w:r>
        <w:rPr>
          <w:rFonts w:ascii="Times New Roman" w:cs="Times New Roman" w:eastAsia="Times New Roman" w:hAnsi="Times New Roman"/>
          <w:sz w:val="22"/>
          <w:szCs w:val="22"/>
          <w:u w:val="single" w:color="auto"/>
          <w:color w:val="auto"/>
        </w:rPr>
        <w:t>www.cumberlandpharma.com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2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About Acetadote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(acetylcysteine) Injection</w:t>
      </w:r>
    </w:p>
    <w:p>
      <w:pPr>
        <w:spacing w:after="0" w:line="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 w:cs="Times New Roman" w:eastAsia="Times New Roman" w:hAnsi="Times New Roman"/>
          <w:sz w:val="22"/>
          <w:szCs w:val="22"/>
          <w:u w:val="single" w:color="auto"/>
          <w:color w:val="auto"/>
        </w:rPr>
        <w:t>www.acetadote.com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Caldolor</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(ibuprofen) Injection</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Caldolor is indicated in adults and pediatric patients for the management of mild to moderate pain and the management of moderate to severe pain as an adjunct to opioid analgesics, as well as the reduction of fever. It was the first FDA-approved intravenous therapy for fever. Caldolor is contraindicated in patients with known hypersensitivity to ibuprofen or other NSAIDs as well as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 w:cs="Times New Roman" w:eastAsia="Times New Roman" w:hAnsi="Times New Roman"/>
          <w:sz w:val="22"/>
          <w:szCs w:val="22"/>
          <w:u w:val="single" w:color="auto"/>
          <w:color w:val="auto"/>
        </w:rPr>
        <w:t>www.caldolor.com</w:t>
      </w:r>
      <w:r>
        <w:rPr>
          <w:rFonts w:ascii="Times New Roman" w:cs="Times New Roman" w:eastAsia="Times New Roman" w:hAnsi="Times New Roman"/>
          <w:sz w:val="22"/>
          <w:szCs w:val="22"/>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Kristalose</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(lactulose) Oral Solution</w:t>
      </w:r>
    </w:p>
    <w:p>
      <w:pPr>
        <w:spacing w:after="0" w:line="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 w:cs="Times New Roman" w:eastAsia="Times New Roman" w:hAnsi="Times New Roman"/>
          <w:sz w:val="21"/>
          <w:szCs w:val="21"/>
          <w:u w:val="single" w:color="auto"/>
          <w:color w:val="auto"/>
        </w:rPr>
        <w:t>www.kristalose.com</w:t>
      </w:r>
      <w:r>
        <w:rPr>
          <w:rFonts w:ascii="Times New Roman" w:cs="Times New Roman" w:eastAsia="Times New Roman" w:hAnsi="Times New Roman"/>
          <w:sz w:val="21"/>
          <w:szCs w:val="21"/>
          <w:color w:val="auto"/>
        </w:rPr>
        <w: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Omeclamox</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-Pak (omeprazole, clarithromycin, amoxicillin)</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Omeprazole is an antisecretory drug, which works by decreasing the amount of acid the stomach produces. Clarithromycin and amoxicillin are antibacterial drugs, which inhibit the growth of bacteria allowing the stomach lining to heal. Omeclamox-Pak is contraindicated in patients with a history of hypersensitivity to omeprazole, any macrolide antibiotic or penicillin. For full prescribing and safety information, visit </w:t>
      </w:r>
      <w:r>
        <w:rPr>
          <w:rFonts w:ascii="Times New Roman" w:cs="Times New Roman" w:eastAsia="Times New Roman" w:hAnsi="Times New Roman"/>
          <w:sz w:val="22"/>
          <w:szCs w:val="22"/>
          <w:u w:val="single" w:color="auto"/>
          <w:color w:val="auto"/>
        </w:rPr>
        <w:t>www.omeclamox.com</w:t>
      </w:r>
      <w:r>
        <w:rPr>
          <w:rFonts w:ascii="Times New Roman" w:cs="Times New Roman" w:eastAsia="Times New Roman" w:hAnsi="Times New Roman"/>
          <w:sz w:val="22"/>
          <w:szCs w:val="22"/>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Sancuso</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granisetron) Transdermal System</w:t>
      </w:r>
    </w:p>
    <w:p>
      <w:pPr>
        <w:spacing w:after="0" w:line="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Sancuso is the only skin patch approved by the FDA for the prevention of chemotherapy-induced nausea and vomiting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be worn for up to seven days in a row for chemotherapy regimens of up to five consecutive days. For full prescribing and safety information, visit </w:t>
      </w:r>
      <w:r>
        <w:rPr>
          <w:rFonts w:ascii="Times New Roman" w:cs="Times New Roman" w:eastAsia="Times New Roman" w:hAnsi="Times New Roman"/>
          <w:sz w:val="22"/>
          <w:szCs w:val="22"/>
          <w:u w:val="single" w:color="auto"/>
          <w:color w:val="auto"/>
        </w:rPr>
        <w:t>www.sancuso.com</w:t>
      </w:r>
      <w:r>
        <w:rPr>
          <w:rFonts w:ascii="Times New Roman" w:cs="Times New Roman" w:eastAsia="Times New Roman" w:hAnsi="Times New Roman"/>
          <w:sz w:val="22"/>
          <w:szCs w:val="2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Vaprisol</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(conivaptan hydrochloride) Injection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 w:cs="Times New Roman" w:eastAsia="Times New Roman" w:hAnsi="Times New Roman"/>
          <w:sz w:val="22"/>
          <w:szCs w:val="22"/>
          <w:u w:val="single" w:color="auto"/>
          <w:color w:val="auto"/>
        </w:rPr>
        <w:t>www.vaprisol.com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About Vibativ</w:t>
      </w: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22"/>
          <w:szCs w:val="22"/>
          <w:b w:val="1"/>
          <w:bCs w:val="1"/>
          <w:color w:val="auto"/>
        </w:rPr>
        <w:t xml:space="preserve"> (telavancin) for Injection</w:t>
      </w:r>
    </w:p>
    <w:p>
      <w:pPr>
        <w:spacing w:after="0" w:line="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 w:cs="Times New Roman" w:eastAsia="Times New Roman" w:hAnsi="Times New Roman"/>
          <w:sz w:val="22"/>
          <w:szCs w:val="22"/>
          <w:u w:val="single" w:color="auto"/>
          <w:color w:val="auto"/>
        </w:rPr>
        <w:t>www.vibativ.com</w:t>
      </w:r>
      <w:r>
        <w:rPr>
          <w:rFonts w:ascii="Times New Roman" w:cs="Times New Roman" w:eastAsia="Times New Roman" w:hAnsi="Times New Roman"/>
          <w:sz w:val="22"/>
          <w:szCs w:val="22"/>
          <w:color w:val="auto"/>
        </w:rPr>
        <w: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CUMBERLAND EMERGING TECHNOLOGIES: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Cumberland Emerging Technologies, Inc. (</w:t>
      </w:r>
      <w:r>
        <w:rPr>
          <w:rFonts w:ascii="Times New Roman" w:cs="Times New Roman" w:eastAsia="Times New Roman" w:hAnsi="Times New Roman"/>
          <w:sz w:val="22"/>
          <w:szCs w:val="22"/>
          <w:u w:val="single" w:color="auto"/>
          <w:color w:val="auto"/>
        </w:rPr>
        <w:t>www.cet-fund.com</w:t>
      </w:r>
      <w:r>
        <w:rPr>
          <w:rFonts w:ascii="Times New Roman" w:cs="Times New Roman" w:eastAsia="Times New Roman" w:hAnsi="Times New Roman"/>
          <w:sz w:val="22"/>
          <w:szCs w:val="22"/>
          <w:color w:val="auto"/>
        </w:rPr>
        <w:t>) is a joint initiative between Cumberland Pharmaceuticals Inc., Vanderbilt University, LaunchTN and WinHealth. The mission of CET is to advance biomedical technologies and products conceived at Vanderbilt University and other regional research centers towards the marketplace.</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sectPr>
          <w:pgSz w:w="11900" w:h="16838" w:orient="portrait"/>
          <w:cols w:equalWidth="0" w:num="1">
            <w:col w:w="11240"/>
          </w:cols>
          <w:pgMar w:left="320" w:top="10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Cumberland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55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Contact:</w:t>
            </w:r>
          </w:p>
        </w:tc>
        <w:tc>
          <w:tcPr>
            <w:tcW w:w="3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Shayla Simpson</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Molly Aggas</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Cumberland Pharmaceuticals Inc.</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Dalton Agency</w:t>
            </w:r>
          </w:p>
        </w:tc>
      </w:tr>
      <w:tr>
        <w:trPr>
          <w:trHeight w:val="223"/>
        </w:trPr>
        <w:tc>
          <w:tcPr>
            <w:tcW w:w="32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(615) 255-0068</w:t>
            </w:r>
          </w:p>
        </w:tc>
        <w:tc>
          <w:tcPr>
            <w:tcW w:w="3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(704) 641-6641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MORE -</w:t>
      </w:r>
    </w:p>
    <w:p>
      <w:pPr>
        <w:sectPr>
          <w:pgSz w:w="11900" w:h="16838" w:orient="portrait"/>
          <w:cols w:equalWidth="0" w:num="1">
            <w:col w:w="11240"/>
          </w:cols>
          <w:pgMar w:left="320" w:top="1026"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Consolidated Balance Sheets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December 31, 2023 and 2022</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(Unaudited)</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215"/>
        </w:trPr>
        <w:tc>
          <w:tcPr>
            <w:tcW w:w="53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145"/>
        </w:trPr>
        <w:tc>
          <w:tcPr>
            <w:tcW w:w="5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
        </w:trPr>
        <w:tc>
          <w:tcPr>
            <w:tcW w:w="5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18,321,624</w:t>
            </w:r>
          </w:p>
        </w:tc>
        <w:tc>
          <w:tcPr>
            <w:tcW w:w="16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7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9,758,176</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13,163,681</w:t>
            </w:r>
          </w:p>
        </w:tc>
      </w:tr>
      <w:tr>
        <w:trPr>
          <w:trHeight w:val="27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4,609,362</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9,863,581</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3,025,248</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3,084,978</w:t>
            </w:r>
          </w:p>
        </w:tc>
      </w:tr>
      <w:tr>
        <w:trPr>
          <w:trHeight w:val="25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35,714,410</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45,870,210</w:t>
            </w: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inventory</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12,804,529</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7,527,167</w:t>
            </w: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367,903</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284,039</w:t>
            </w: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22,607,918</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30,590,678</w:t>
            </w: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914,000</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6,674,394</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5,218,403</w:t>
            </w: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2,692,921</w:t>
            </w:r>
          </w:p>
        </w:tc>
        <w:tc>
          <w:tcPr>
            <w:tcW w:w="1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2,520,661</w:t>
            </w: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81,776,075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92,925,158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3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2"/>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14,037,629</w:t>
            </w:r>
          </w:p>
        </w:tc>
        <w:tc>
          <w:tcPr>
            <w:tcW w:w="16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10,819,011</w:t>
            </w:r>
          </w:p>
        </w:tc>
      </w:tr>
      <w:tr>
        <w:trPr>
          <w:trHeight w:val="27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348,092</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172,910</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13,596,528</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17,587,911</w:t>
            </w:r>
          </w:p>
        </w:tc>
      </w:tr>
      <w:tr>
        <w:trPr>
          <w:trHeight w:val="25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27,982,249</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28,579,832</w:t>
            </w: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28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12,784,144</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16,200,000</w:t>
            </w:r>
          </w:p>
        </w:tc>
      </w:tr>
      <w:tr>
        <w:trPr>
          <w:trHeight w:val="27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5,296,247</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4,586,301</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6,453,566</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7,585,019</w:t>
            </w:r>
          </w:p>
        </w:tc>
      </w:tr>
      <w:tr>
        <w:trPr>
          <w:trHeight w:val="25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52,516,206</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56,951,152</w:t>
            </w: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4"/>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
        </w:trPr>
        <w:tc>
          <w:tcPr>
            <w:tcW w:w="5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184"/>
        </w:trPr>
        <w:tc>
          <w:tcPr>
            <w:tcW w:w="53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 no par value; 100,000,000 shares authorized;</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534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14,121,833 and 14,366,616 shares issued and outstanding as of</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70"/>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47,091,602</w:t>
            </w:r>
          </w:p>
        </w:tc>
        <w:tc>
          <w:tcPr>
            <w:tcW w:w="1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47,474,973</w:t>
            </w:r>
          </w:p>
        </w:tc>
      </w:tr>
      <w:tr>
        <w:trPr>
          <w:trHeight w:val="270"/>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(11,208,841)</w:t>
            </w:r>
          </w:p>
        </w:tc>
      </w:tr>
      <w:tr>
        <w:trPr>
          <w:trHeight w:val="25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29,603,441</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36,266,132</w:t>
            </w:r>
          </w:p>
        </w:tc>
      </w:tr>
      <w:tr>
        <w:trPr>
          <w:trHeight w:val="270"/>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1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(292,126)</w:t>
            </w:r>
          </w:p>
        </w:tc>
      </w:tr>
      <w:tr>
        <w:trPr>
          <w:trHeight w:val="25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29,259,869</w:t>
            </w:r>
          </w:p>
        </w:tc>
        <w:tc>
          <w:tcPr>
            <w:tcW w:w="1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35,974,006</w:t>
            </w:r>
          </w:p>
        </w:tc>
      </w:tr>
      <w:tr>
        <w:trPr>
          <w:trHeight w:val="223"/>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81,776,075</w:t>
            </w:r>
          </w:p>
        </w:tc>
        <w:tc>
          <w:tcPr>
            <w:tcW w:w="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92,925,158</w:t>
            </w:r>
          </w:p>
        </w:tc>
      </w:tr>
      <w:tr>
        <w:trPr>
          <w:trHeight w:val="20"/>
        </w:trPr>
        <w:tc>
          <w:tcPr>
            <w:tcW w:w="5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959" w:right="1440" w:bottom="1440" w:gutter="0" w:footer="0" w:header="0"/>
        </w:sectPr>
      </w:pPr>
    </w:p>
    <w:bookmarkStart w:id="11" w:name="page12"/>
    <w:bookmarkEnd w:id="11"/>
    <w:p>
      <w:pPr>
        <w:jc w:val="center"/>
        <w:spacing w:after="0" w:line="359"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Consolidated Statements of Operations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20" w:type="dxa"/>
            <w:vAlign w:val="bottom"/>
            <w:gridSpan w:val="6"/>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28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3020" w:type="dxa"/>
            <w:vAlign w:val="bottom"/>
            <w:gridSpan w:val="6"/>
            <w:vMerge w:val="continue"/>
          </w:tcPr>
          <w:p>
            <w:pPr>
              <w:spacing w:after="0"/>
              <w:rPr>
                <w:sz w:val="21"/>
                <w:szCs w:val="21"/>
                <w:color w:val="auto"/>
              </w:rPr>
            </w:pPr>
          </w:p>
        </w:tc>
        <w:tc>
          <w:tcPr>
            <w:tcW w:w="280" w:type="dxa"/>
            <w:vAlign w:val="bottom"/>
          </w:tcPr>
          <w:p>
            <w:pPr>
              <w:spacing w:after="0"/>
              <w:rPr>
                <w:sz w:val="21"/>
                <w:szCs w:val="21"/>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9,353,066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9,123,680</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39,552,507</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42,010,949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2,650,309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6,066,611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9,118,521</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4,759,230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3,379,434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18,451,765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16,660,945</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1,264,753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1,405,841</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5,834,229</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6,688,924</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3,439,184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3,507,678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10,651,915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10,180,120</w:t>
            </w: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4,539,155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458,222</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8,102,648</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5,067,368</w:t>
            </w: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15,532,305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11,401,484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49,107,168</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47,715,878</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(2,277,804)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(9,554,661)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(5,704,929)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98,405</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2,828,871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settlement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insurance proceeds</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(179,456)</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(667,861)</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(585,995)</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(6,277,031)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(2,411,564)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(6,284,997)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(5,581,189)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w:t>
            </w:r>
          </w:p>
        </w:tc>
        <w:tc>
          <w:tcPr>
            <w:tcW w:w="1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(6,301,987)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(2,459,714)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(6,330,766)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(5,650,039)</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(loss) at subsidiary attributable to</w:t>
            </w: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0" w:type="dxa"/>
            <w:vAlign w:val="bottom"/>
          </w:tcPr>
          <w:p>
            <w:pPr>
              <w:spacing w:after="0"/>
              <w:rPr>
                <w:sz w:val="1"/>
                <w:szCs w:val="1"/>
                <w:color w:val="auto"/>
              </w:rPr>
            </w:pPr>
          </w:p>
        </w:tc>
      </w:tr>
      <w:tr>
        <w:trPr>
          <w:trHeight w:val="223"/>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(6,291,020)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(2,440,729)</w:t>
            </w:r>
          </w:p>
        </w:tc>
        <w:tc>
          <w:tcPr>
            <w:tcW w:w="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(6,279,320)</w:t>
            </w:r>
          </w:p>
        </w:tc>
        <w:tc>
          <w:tcPr>
            <w:tcW w:w="1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(5,570,241)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(loss) per share attributable to common</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4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14,800,772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14,298,774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14,563,592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14,800,772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14,298,774</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14,563,592</w:t>
            </w:r>
          </w:p>
        </w:tc>
        <w:tc>
          <w:tcPr>
            <w:tcW w:w="0" w:type="dxa"/>
            <w:vAlign w:val="bottom"/>
          </w:tcPr>
          <w:p>
            <w:pPr>
              <w:spacing w:after="0"/>
              <w:rPr>
                <w:sz w:val="1"/>
                <w:szCs w:val="1"/>
                <w:color w:val="auto"/>
              </w:rPr>
            </w:pPr>
          </w:p>
        </w:tc>
      </w:tr>
    </w:tbl>
    <w:p>
      <w:pPr>
        <w:sectPr>
          <w:pgSz w:w="11900" w:h="16838" w:orient="portrait"/>
          <w:cols w:equalWidth="0" w:num="1">
            <w:col w:w="10260"/>
          </w:cols>
          <w:pgMar w:left="820" w:top="959" w:right="819" w:bottom="1440" w:gutter="0" w:footer="0" w:header="0"/>
        </w:sectPr>
      </w:pPr>
    </w:p>
    <w:bookmarkStart w:id="12" w:name="page13"/>
    <w:bookmarkEnd w:id="12"/>
    <w:p>
      <w:pPr>
        <w:jc w:val="center"/>
        <w:ind w:left="960" w:right="1760"/>
        <w:spacing w:after="0" w:line="337" w:lineRule="auto"/>
        <w:rPr>
          <w:sz w:val="20"/>
          <w:szCs w:val="20"/>
          <w:color w:val="auto"/>
        </w:rPr>
      </w:pPr>
      <w:r>
        <w:rPr>
          <w:rFonts w:ascii="Times New Roman" w:cs="Times New Roman" w:eastAsia="Times New Roman" w:hAnsi="Times New Roman"/>
          <w:sz w:val="22"/>
          <w:szCs w:val="22"/>
          <w:b w:val="1"/>
          <w:bCs w:val="1"/>
          <w:color w:val="auto"/>
        </w:rPr>
        <w:t xml:space="preserve">CUMBERLAND PHARMACEUTICALS INC. AND SUBSIDIARIES </w:t>
      </w:r>
      <w:r>
        <w:rPr>
          <w:rFonts w:ascii="Times New Roman" w:cs="Times New Roman" w:eastAsia="Times New Roman" w:hAnsi="Times New Roman"/>
          <w:sz w:val="22"/>
          <w:szCs w:val="22"/>
          <w:color w:val="auto"/>
        </w:rPr>
        <w:t>Condensed Consolidated Statements of Cash Flows Years ended December 31, 2023 and 2022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(6,330,766)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(5,650,039)</w:t>
            </w: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flows provided by operating activities: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4,935,954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5,328,113</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3,343,842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operating lease right-of-use asset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834,500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Disposal of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365,040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447,503</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(1,243,185)</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(2,088,296)</w:t>
            </w:r>
          </w:p>
        </w:tc>
      </w:tr>
      <w:tr>
        <w:trPr>
          <w:trHeight w:val="184"/>
        </w:trPr>
        <w:tc>
          <w:tcPr>
            <w:tcW w:w="6740" w:type="dxa"/>
            <w:vAlign w:val="bottom"/>
          </w:tcPr>
          <w:p>
            <w:pPr>
              <w:ind w:left="220"/>
              <w:spacing w:after="0" w:line="184" w:lineRule="exact"/>
              <w:rPr>
                <w:sz w:val="20"/>
                <w:szCs w:val="20"/>
                <w:color w:val="auto"/>
              </w:rPr>
            </w:pPr>
            <w:r>
              <w:rPr>
                <w:rFonts w:ascii="Times New Roman" w:cs="Times New Roman" w:eastAsia="Times New Roman" w:hAnsi="Times New Roman"/>
                <w:sz w:val="18"/>
                <w:szCs w:val="18"/>
                <w:color w:val="auto"/>
              </w:rPr>
              <w:t>Decrease (increase) in cash surrender value of life insurance policies over premiums</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4"/>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paid</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(124,736)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613,657</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gain on RediTrex transaction</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(37,882)</w:t>
            </w:r>
          </w:p>
        </w:tc>
      </w:tr>
      <w:tr>
        <w:trPr>
          <w:trHeight w:val="230"/>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receipt of life insurance policies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(611,330)</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3,404,949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(6,115,640)</w:t>
            </w:r>
          </w:p>
        </w:tc>
      </w:tr>
      <w:tr>
        <w:trPr>
          <w:trHeight w:val="23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911,078</w:t>
            </w:r>
          </w:p>
        </w:tc>
      </w:tr>
      <w:tr>
        <w:trPr>
          <w:trHeight w:val="229"/>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689,260</w:t>
            </w:r>
          </w:p>
        </w:tc>
      </w:tr>
      <w:tr>
        <w:trPr>
          <w:trHeight w:val="230"/>
        </w:trPr>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(1,405,363)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3,713,519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14,536,076</w:t>
            </w:r>
          </w:p>
        </w:tc>
      </w:tr>
      <w:tr>
        <w:trPr>
          <w:trHeight w:val="229"/>
        </w:trPr>
        <w:tc>
          <w:tcPr>
            <w:tcW w:w="6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(1,131,453)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419,659</w:t>
            </w:r>
          </w:p>
        </w:tc>
      </w:tr>
      <w:tr>
        <w:trPr>
          <w:trHeight w:val="22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6,093,821</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8,453,396</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(281,268)</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(102,148)</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Life insurance policy proceeds received</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877,597</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(171,783)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(1,971,662)</w:t>
            </w: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Return of RediTrex</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of patent litigation</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21,757</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3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(13,500,000)</w:t>
            </w:r>
          </w:p>
        </w:tc>
      </w:tr>
      <w:tr>
        <w:trPr>
          <w:trHeight w:val="223"/>
        </w:trPr>
        <w:tc>
          <w:tcPr>
            <w:tcW w:w="674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(105,695)</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(13,674,456)</w:t>
            </w:r>
          </w:p>
        </w:tc>
      </w:tr>
      <w:tr>
        <w:trPr>
          <w:trHeight w:val="21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31,475,000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52,900,000</w:t>
            </w: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(34,890,856)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(51,700,000)</w:t>
            </w:r>
          </w:p>
        </w:tc>
      </w:tr>
      <w:tr>
        <w:trPr>
          <w:trHeight w:val="230"/>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(740,533)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(1,053,042)</w:t>
            </w:r>
          </w:p>
        </w:tc>
      </w:tr>
      <w:tr>
        <w:trPr>
          <w:trHeight w:val="230"/>
        </w:trPr>
        <w:tc>
          <w:tcPr>
            <w:tcW w:w="6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(3,268,083)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(2,208,744)</w:t>
            </w:r>
          </w:p>
        </w:tc>
      </w:tr>
      <w:tr>
        <w:trPr>
          <w:trHeight w:val="223"/>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(7,424,472)</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(2,061,786)</w:t>
            </w:r>
          </w:p>
        </w:tc>
      </w:tr>
      <w:tr>
        <w:trPr>
          <w:trHeight w:val="223"/>
        </w:trPr>
        <w:tc>
          <w:tcPr>
            <w:tcW w:w="6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(1,436,346)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(7,282,846)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19,757,970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27,040,816</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820" w:top="959" w:right="9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auto"/>
        </w:rPr>
        <w:t>CUMBERLAND PHARMACEUTICALS INC. AND SUBSIDIARIES</w:t>
      </w:r>
    </w:p>
    <w:p>
      <w:pPr>
        <w:spacing w:after="0" w:line="80" w:lineRule="exact"/>
        <w:rPr>
          <w:sz w:val="20"/>
          <w:szCs w:val="20"/>
          <w:color w:val="auto"/>
        </w:rPr>
      </w:pPr>
    </w:p>
    <w:p>
      <w:pPr>
        <w:jc w:val="center"/>
        <w:ind w:left="340" w:right="240"/>
        <w:spacing w:after="0" w:line="258" w:lineRule="auto"/>
        <w:rPr>
          <w:sz w:val="20"/>
          <w:szCs w:val="20"/>
          <w:color w:val="auto"/>
        </w:rPr>
      </w:pPr>
      <w:r>
        <w:rPr>
          <w:rFonts w:ascii="Times New Roman" w:cs="Times New Roman" w:eastAsia="Times New Roman" w:hAnsi="Times New Roman"/>
          <w:sz w:val="20"/>
          <w:szCs w:val="20"/>
          <w:color w:val="auto"/>
        </w:rPr>
        <w:t>Reconciliation of Net Income (Loss) Attributable to Common Shareholders to Adjusted Earnings (Loss) and Adjusted Diluted Earnings (Loss) Per Share</w:t>
      </w:r>
    </w:p>
    <w:p>
      <w:pPr>
        <w:jc w:val="center"/>
        <w:spacing w:after="0"/>
        <w:rPr>
          <w:sz w:val="20"/>
          <w:szCs w:val="20"/>
          <w:color w:val="auto"/>
        </w:rPr>
      </w:pPr>
      <w:r>
        <w:rPr>
          <w:rFonts w:ascii="Times New Roman" w:cs="Times New Roman" w:eastAsia="Times New Roman" w:hAnsi="Times New Roman"/>
          <w:sz w:val="22"/>
          <w:szCs w:val="22"/>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8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December 31,</w:t>
            </w: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80"/>
        </w:trPr>
        <w:tc>
          <w:tcPr>
            <w:tcW w:w="5260" w:type="dxa"/>
            <w:vAlign w:val="bottom"/>
          </w:tcPr>
          <w:p>
            <w:pPr>
              <w:spacing w:after="0"/>
              <w:rPr>
                <w:sz w:val="15"/>
                <w:szCs w:val="15"/>
                <w:color w:val="auto"/>
              </w:rPr>
            </w:pPr>
          </w:p>
        </w:tc>
        <w:tc>
          <w:tcPr>
            <w:tcW w:w="14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impact</w:t>
            </w: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w w:val="98"/>
              </w:rPr>
              <w:t>Earnings per share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(6,291,020)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(2,440,729)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176"/>
        </w:trPr>
        <w:tc>
          <w:tcPr>
            <w:tcW w:w="5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18,985</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(6,301,987)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(2,459,714)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(a)</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26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Write-down of expired inventory </w:t>
            </w:r>
            <w:r>
              <w:rPr>
                <w:rFonts w:ascii="Times New Roman" w:cs="Times New Roman" w:eastAsia="Times New Roman" w:hAnsi="Times New Roman"/>
                <w:sz w:val="23"/>
                <w:szCs w:val="23"/>
                <w:color w:val="auto"/>
                <w:vertAlign w:val="superscript"/>
              </w:rPr>
              <w:t>(c)</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178,792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179,456</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55"/>
        </w:trPr>
        <w:tc>
          <w:tcPr>
            <w:tcW w:w="52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 Per</w:t>
            </w: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(1,508,236)</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(690,036)</w:t>
            </w: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30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14,164,270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14,401,432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Earnings impact</w:t>
            </w:r>
          </w:p>
        </w:tc>
        <w:tc>
          <w:tcPr>
            <w:tcW w:w="136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color w:val="auto"/>
                <w:w w:val="98"/>
              </w:rPr>
              <w:t>Earnings per share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Earnings impact</w:t>
            </w:r>
          </w:p>
        </w:tc>
        <w:tc>
          <w:tcPr>
            <w:tcW w:w="14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Earnings per share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impact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impact</w:t>
            </w:r>
          </w:p>
        </w:tc>
        <w:tc>
          <w:tcPr>
            <w:tcW w:w="0" w:type="dxa"/>
            <w:vAlign w:val="bottom"/>
          </w:tcPr>
          <w:p>
            <w:pPr>
              <w:spacing w:after="0"/>
              <w:rPr>
                <w:sz w:val="1"/>
                <w:szCs w:val="1"/>
                <w:color w:val="auto"/>
              </w:rPr>
            </w:pPr>
          </w:p>
        </w:tc>
      </w:tr>
      <w:tr>
        <w:trPr>
          <w:trHeight w:val="90"/>
        </w:trPr>
        <w:tc>
          <w:tcPr>
            <w:tcW w:w="5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common shareholders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(6,279,320)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(5,570,241)</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176"/>
        </w:trPr>
        <w:tc>
          <w:tcPr>
            <w:tcW w:w="5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Net income loss at subsidiary attributable to noncontrolling</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51,446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79,798</w:t>
            </w: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(6,330,766)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(5,650,039)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 (loss)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68,850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8,279,796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5,328,113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447,503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Write-down of expired inventory </w:t>
            </w:r>
            <w:r>
              <w:rPr>
                <w:rFonts w:ascii="Times New Roman" w:cs="Times New Roman" w:eastAsia="Times New Roman" w:hAnsi="Times New Roman"/>
                <w:sz w:val="23"/>
                <w:szCs w:val="23"/>
                <w:color w:val="auto"/>
                <w:vertAlign w:val="superscript"/>
              </w:rPr>
              <w:t>(c)</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1,979,380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insurance proceeds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(611,330)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585,995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155"/>
        </w:trPr>
        <w:tc>
          <w:tcPr>
            <w:tcW w:w="52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Adjusted Earnings (loss) and Adjusted Diluted Earnings (loss) Per</w:t>
            </w: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2,394,046</w:t>
            </w:r>
          </w:p>
        </w:tc>
        <w:tc>
          <w:tcPr>
            <w:tcW w:w="120" w:type="dxa"/>
            <w:vAlign w:val="bottom"/>
          </w:tcPr>
          <w:p>
            <w:pPr>
              <w:spacing w:after="0"/>
              <w:rPr>
                <w:sz w:val="13"/>
                <w:szCs w:val="13"/>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2,050,067</w:t>
            </w:r>
          </w:p>
        </w:tc>
        <w:tc>
          <w:tcPr>
            <w:tcW w:w="16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16"/>
        </w:trPr>
        <w:tc>
          <w:tcPr>
            <w:tcW w:w="5240" w:type="dxa"/>
            <w:vAlign w:val="bottom"/>
          </w:tcPr>
          <w:p>
            <w:pPr>
              <w:ind w:left="2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Share</w:t>
            </w:r>
            <w:r>
              <w:rPr>
                <w:rFonts w:ascii="Times New Roman" w:cs="Times New Roman" w:eastAsia="Times New Roman" w:hAnsi="Times New Roman"/>
                <w:sz w:val="10"/>
                <w:szCs w:val="10"/>
                <w:b w:val="1"/>
                <w:bCs w:val="1"/>
                <w:color w:val="auto"/>
              </w:rPr>
              <w:t xml:space="preserve"> (d) (e)</w:t>
            </w:r>
          </w:p>
        </w:tc>
        <w:tc>
          <w:tcPr>
            <w:tcW w:w="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14,526,400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14,809,257</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59" w:right="339" w:bottom="1440" w:gutter="0" w:footer="0" w:header="0"/>
        </w:sectPr>
      </w:pPr>
    </w:p>
    <w:bookmarkStart w:id="14" w:name="page15"/>
    <w:bookmarkEnd w:id="14"/>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spacing w:after="0" w:line="13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defines these supplemental financial measures as follows:</w:t>
      </w:r>
    </w:p>
    <w:p>
      <w:pPr>
        <w:spacing w:after="0" w:line="94" w:lineRule="exact"/>
        <w:rPr>
          <w:sz w:val="20"/>
          <w:szCs w:val="20"/>
          <w:color w:val="auto"/>
        </w:rPr>
      </w:pPr>
    </w:p>
    <w:p>
      <w:pPr>
        <w:jc w:val="both"/>
        <w:ind w:left="660" w:hanging="328"/>
        <w:spacing w:after="0" w:line="254" w:lineRule="auto"/>
        <w:tabs>
          <w:tab w:leader="none" w:pos="653" w:val="left"/>
        </w:tabs>
        <w:numPr>
          <w:ilvl w:val="0"/>
          <w:numId w:val="3"/>
        </w:numPr>
        <w:rPr>
          <w:rFonts w:ascii="Calibri" w:cs="Calibri" w:eastAsia="Calibri" w:hAnsi="Calibri"/>
          <w:sz w:val="20"/>
          <w:szCs w:val="20"/>
          <w:color w:val="auto"/>
        </w:rPr>
      </w:pPr>
      <w:r>
        <w:rPr>
          <w:rFonts w:ascii="Times New Roman" w:cs="Times New Roman" w:eastAsia="Times New Roman" w:hAnsi="Times New Roman"/>
          <w:sz w:val="22"/>
          <w:szCs w:val="22"/>
          <w:b w:val="1"/>
          <w:bCs w:val="1"/>
          <w:color w:val="auto"/>
        </w:rPr>
        <w:t xml:space="preserve">Adjusted Earnings: </w:t>
      </w:r>
      <w:r>
        <w:rPr>
          <w:rFonts w:ascii="Times New Roman" w:cs="Times New Roman" w:eastAsia="Times New Roman" w:hAnsi="Times New Roman"/>
          <w:sz w:val="22"/>
          <w:szCs w:val="22"/>
          <w:color w:val="auto"/>
        </w:rPr>
        <w:t>Net income (loss) adjusted for the impact of income taxes, depreciation and amortization expense,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share-based compensation, interest income and interest expense. The definition of Adjusted Earnings has been changed to include all gains and losses, as gains are occurring more frequently for the Company. The financial information presented for the year ended December 31, 2022, has been adjusted to be consistent with the current year presentation.</w:t>
      </w:r>
    </w:p>
    <w:p>
      <w:pPr>
        <w:spacing w:after="0" w:line="3" w:lineRule="exact"/>
        <w:rPr>
          <w:rFonts w:ascii="Calibri" w:cs="Calibri" w:eastAsia="Calibri" w:hAnsi="Calibri"/>
          <w:sz w:val="20"/>
          <w:szCs w:val="20"/>
          <w:color w:val="auto"/>
        </w:rPr>
      </w:pPr>
    </w:p>
    <w:p>
      <w:pPr>
        <w:ind w:left="1160" w:hanging="288"/>
        <w:spacing w:after="0"/>
        <w:tabs>
          <w:tab w:leader="none" w:pos="116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Includes $3.3 million impairment loss on intangible assets.</w:t>
      </w:r>
    </w:p>
    <w:p>
      <w:pPr>
        <w:spacing w:after="0" w:line="222"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share-based compensation of Cumberland.</w:t>
      </w:r>
    </w:p>
    <w:p>
      <w:pPr>
        <w:spacing w:after="0" w:line="246"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the write-down of expired inventory.</w:t>
      </w:r>
    </w:p>
    <w:p>
      <w:pPr>
        <w:spacing w:after="0" w:line="246" w:lineRule="exact"/>
        <w:rPr>
          <w:rFonts w:ascii="Times New Roman" w:cs="Times New Roman" w:eastAsia="Times New Roman" w:hAnsi="Times New Roman"/>
          <w:sz w:val="22"/>
          <w:szCs w:val="22"/>
          <w:color w:val="auto"/>
        </w:rPr>
      </w:pPr>
    </w:p>
    <w:p>
      <w:pPr>
        <w:ind w:left="1300" w:firstLine="4"/>
        <w:spacing w:after="0" w:line="271" w:lineRule="auto"/>
        <w:tabs>
          <w:tab w:leader="none" w:pos="1606"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Year-to-date Adjusted Earnings includes a litigation settlement based on two $500,000 milestone payments due to the Company for the license associated with its Vibativ product.</w:t>
      </w:r>
    </w:p>
    <w:p>
      <w:pPr>
        <w:spacing w:after="0" w:line="9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2"/>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Year-to-date Adjusted Earnings includes a gain on the refund of 2022 and 2023 FDA fees in the amount of</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$2.8 million.</w:t>
      </w:r>
    </w:p>
    <w:p>
      <w:pPr>
        <w:spacing w:after="0" w:line="232" w:lineRule="exact"/>
        <w:rPr>
          <w:sz w:val="20"/>
          <w:szCs w:val="20"/>
          <w:color w:val="auto"/>
        </w:rPr>
      </w:pPr>
    </w:p>
    <w:p>
      <w:pPr>
        <w:ind w:left="660" w:right="20" w:hanging="328"/>
        <w:spacing w:after="0" w:line="275" w:lineRule="auto"/>
        <w:tabs>
          <w:tab w:leader="none" w:pos="655"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Diluted Earnings Per Share: </w:t>
      </w:r>
      <w:r>
        <w:rPr>
          <w:rFonts w:ascii="Times New Roman" w:cs="Times New Roman" w:eastAsia="Times New Roman" w:hAnsi="Times New Roman"/>
          <w:sz w:val="22"/>
          <w:szCs w:val="22"/>
          <w:color w:val="auto"/>
        </w:rPr>
        <w:t>Adjusted Earnings (loss) divided by diluted weighted-average common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2024-03-05T16:18:33Z</dcterms:created>
  <dcterms:modified xsi:type="dcterms:W3CDTF">2024-03-05T16:18:33Z</dcterms:modified>
</cp:coreProperties>
</file>