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Caroline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07" w:lineRule="auto"/>
        <w:rPr>
          <w:sz w:val="20"/>
          <w:szCs w:val="20"/>
          <w:color w:val="auto"/>
        </w:rPr>
      </w:pPr>
      <w:r>
        <w:rPr>
          <w:rFonts w:ascii="Arial" w:cs="Arial" w:eastAsia="Arial" w:hAnsi="Arial"/>
          <w:sz w:val="17"/>
          <w:szCs w:val="17"/>
          <w:color w:val="0000FF"/>
        </w:rPr>
        <w:t>2525 WEST END AVENUE SUITE 950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CUMBERLAND PHARMACEUTICALS</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CPIX</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03/17/2021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0"/>
          <w:szCs w:val="20"/>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03/17/2021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1,000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11,933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Restricted stock award will vest 100% on March 17, 2022.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Caroline Young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198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Hamm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200"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10th day of June 2021.</w:t>
      </w:r>
    </w:p>
    <w:p>
      <w:pPr>
        <w:spacing w:after="0" w:line="39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Caroline Young</w:t>
      </w:r>
    </w:p>
    <w:p>
      <w:pPr>
        <w:spacing w:after="0" w:line="207"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Caroline Young</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4087"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2021-06-11T16:24:38Z</dcterms:created>
  <dcterms:modified xsi:type="dcterms:W3CDTF">2021-06-11T16:24:38Z</dcterms:modified>
</cp:coreProperties>
</file>