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0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340" w:right="3759" w:hanging="8"/>
        <w:spacing w:after="0" w:line="217" w:lineRule="exact"/>
        <w:tabs>
          <w:tab w:leader="none" w:pos="53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03" w:lineRule="exact"/>
        <w:rPr>
          <w:sz w:val="24"/>
          <w:szCs w:val="24"/>
          <w:color w:val="auto"/>
        </w:rPr>
      </w:pPr>
    </w:p>
    <w:p>
      <w:pPr>
        <w:ind w:left="2360"/>
        <w:spacing w:after="0"/>
        <w:rPr>
          <w:sz w:val="20"/>
          <w:szCs w:val="20"/>
          <w:color w:val="auto"/>
        </w:rPr>
      </w:pPr>
      <w:r>
        <w:rPr>
          <w:rFonts w:ascii="Arial" w:cs="Arial" w:eastAsia="Arial" w:hAnsi="Arial"/>
          <w:sz w:val="32"/>
          <w:szCs w:val="32"/>
          <w:b w:val="1"/>
          <w:bCs w:val="1"/>
          <w:color w:val="auto"/>
        </w:rPr>
        <w:t>CUMBERLAND PHARMACEUTICALS INC.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Payment of Filing Fee </w:t>
      </w:r>
      <w:r>
        <w:rPr>
          <w:rFonts w:ascii="Arial" w:cs="Arial" w:eastAsia="Arial" w:hAnsi="Arial"/>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760" w:right="1379" w:hanging="410"/>
        <w:spacing w:after="0" w:line="235"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760" w:hanging="410"/>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-1467485</wp:posOffset>
            </wp:positionV>
            <wp:extent cx="6360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-1184910</wp:posOffset>
            </wp:positionV>
            <wp:extent cx="5109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-893445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-499110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-215900</wp:posOffset>
            </wp:positionV>
            <wp:extent cx="510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74930</wp:posOffset>
            </wp:positionV>
            <wp:extent cx="5109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32" w:lineRule="exact"/>
        <w:rPr>
          <w:sz w:val="24"/>
          <w:szCs w:val="24"/>
          <w:color w:val="auto"/>
        </w:rPr>
      </w:pPr>
    </w:p>
    <w:p>
      <w:pPr>
        <w:ind w:left="680" w:hanging="44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sz w:val="24"/>
          <w:szCs w:val="24"/>
          <w:color w:val="auto"/>
        </w:rPr>
      </w:pPr>
    </w:p>
    <w:p>
      <w:pPr>
        <w:ind w:left="680" w:right="179" w:hanging="391"/>
        <w:spacing w:after="0" w:line="224"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2"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440" w:hanging="41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-1099185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-798830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-490220</wp:posOffset>
            </wp:positionV>
            <wp:extent cx="4534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-207645</wp:posOffset>
            </wp:positionV>
            <wp:extent cx="4534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66040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139"/>
          </w:cols>
          <w:pgMar w:left="320" w:top="1025" w:right="1440" w:bottom="1440" w:gutter="0" w:footer="0" w:header="0"/>
        </w:sectPr>
      </w:pPr>
    </w:p>
    <w:bookmarkStart w:id="1" w:name="page2"/>
    <w:bookmarkEnd w:id="1"/>
    <w:p>
      <w:pPr>
        <w:jc w:val="center"/>
        <w:ind w:right="-3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6"/>
                <w:szCs w:val="16"/>
                <w:b w:val="1"/>
                <w:bCs w:val="1"/>
                <w:color w:val="auto"/>
                <w:w w:val="91"/>
              </w:rPr>
              <w:t>Page Number</w:t>
            </w:r>
          </w:p>
        </w:tc>
      </w:tr>
      <w:tr>
        <w:trPr>
          <w:trHeight w:val="357"/>
        </w:trPr>
        <w:tc>
          <w:tcPr>
            <w:tcW w:w="4340" w:type="dxa"/>
            <w:vAlign w:val="bottom"/>
            <w:tcBorders>
              <w:bottom w:val="single" w:sz="8" w:color="0000FF"/>
            </w:tcBorders>
            <w:gridSpan w:val="9"/>
          </w:tcPr>
          <w:p>
            <w:pPr>
              <w:spacing w:after="0"/>
              <w:rPr>
                <w:rFonts w:ascii="Arial" w:cs="Arial" w:eastAsia="Arial" w:hAnsi="Arial"/>
                <w:sz w:val="18"/>
                <w:szCs w:val="18"/>
                <w:color w:val="0000FF"/>
                <w:w w:val="96"/>
              </w:rPr>
            </w:pPr>
            <w:hyperlink w:anchor="page2">
              <w:r>
                <w:rPr>
                  <w:rFonts w:ascii="Arial" w:cs="Arial" w:eastAsia="Arial" w:hAnsi="Arial"/>
                  <w:sz w:val="18"/>
                  <w:szCs w:val="18"/>
                  <w:color w:val="0000FF"/>
                  <w:w w:val="96"/>
                </w:rPr>
                <w:t>NOTICE OF ANNUAL MEETING OF SHAREHOLDERS</w:t>
              </w:r>
            </w:hyperlink>
          </w:p>
        </w:tc>
        <w:tc>
          <w:tcPr>
            <w:tcW w:w="4000" w:type="dxa"/>
            <w:vAlign w:val="bottom"/>
            <w:gridSpan w:val="4"/>
          </w:tcPr>
          <w:p>
            <w:pPr>
              <w:spacing w:after="0"/>
              <w:rPr>
                <w:sz w:val="24"/>
                <w:szCs w:val="24"/>
                <w:color w:val="auto"/>
              </w:rPr>
            </w:pPr>
          </w:p>
        </w:tc>
        <w:tc>
          <w:tcPr>
            <w:tcW w:w="1500" w:type="dxa"/>
            <w:vAlign w:val="bottom"/>
          </w:tcPr>
          <w:p>
            <w:pPr>
              <w:jc w:val="center"/>
              <w:ind w:left="451"/>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r>
      <w:tr>
        <w:trPr>
          <w:trHeight w:val="209"/>
        </w:trPr>
        <w:tc>
          <w:tcPr>
            <w:tcW w:w="8340" w:type="dxa"/>
            <w:vAlign w:val="bottom"/>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PROXY STATEMENT FOR ANNUAL MEETING OF SHAREHOLDERS TO BE HELD APRIL </w:t>
              </w:r>
            </w:hyperlink>
            <w:r>
              <w:rPr>
                <w:rFonts w:ascii="Arial" w:cs="Arial" w:eastAsia="Arial" w:hAnsi="Arial"/>
                <w:sz w:val="18"/>
                <w:szCs w:val="18"/>
                <w:color w:val="0000FF"/>
              </w:rPr>
              <w:t>28, 2022</w:t>
            </w:r>
          </w:p>
        </w:tc>
        <w:tc>
          <w:tcPr>
            <w:tcW w:w="1500" w:type="dxa"/>
            <w:vAlign w:val="bottom"/>
          </w:tcPr>
          <w:p>
            <w:pPr>
              <w:jc w:val="center"/>
              <w:ind w:left="451"/>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10"/>
        </w:trPr>
        <w:tc>
          <w:tcPr>
            <w:tcW w:w="104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PROPOSAL I</w:t>
              </w:r>
            </w:hyperlink>
          </w:p>
        </w:tc>
        <w:tc>
          <w:tcPr>
            <w:tcW w:w="6760" w:type="dxa"/>
            <w:vAlign w:val="bottom"/>
            <w:tcBorders>
              <w:top w:val="single" w:sz="8" w:color="0000FF"/>
            </w:tcBorders>
            <w:gridSpan w:val="11"/>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451"/>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r>
      <w:tr>
        <w:trPr>
          <w:trHeight w:val="209"/>
        </w:trPr>
        <w:tc>
          <w:tcPr>
            <w:tcW w:w="110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12">
              <w:r>
                <w:rPr>
                  <w:rFonts w:ascii="Arial" w:cs="Arial" w:eastAsia="Arial" w:hAnsi="Arial"/>
                  <w:sz w:val="18"/>
                  <w:szCs w:val="18"/>
                  <w:color w:val="0000FF"/>
                  <w:w w:val="94"/>
                </w:rPr>
                <w:t>PROPOSAL II</w:t>
              </w:r>
            </w:hyperlink>
          </w:p>
        </w:tc>
        <w:tc>
          <w:tcPr>
            <w:tcW w:w="7240" w:type="dxa"/>
            <w:vAlign w:val="bottom"/>
            <w:gridSpan w:val="11"/>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13</w:t>
              </w:r>
            </w:hyperlink>
          </w:p>
        </w:tc>
      </w:tr>
      <w:tr>
        <w:trPr>
          <w:trHeight w:val="209"/>
        </w:trPr>
        <w:tc>
          <w:tcPr>
            <w:tcW w:w="16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AUDIT COMMITTEE</w:t>
              </w:r>
            </w:hyperlink>
          </w:p>
        </w:tc>
        <w:tc>
          <w:tcPr>
            <w:tcW w:w="6660" w:type="dxa"/>
            <w:vAlign w:val="bottom"/>
            <w:gridSpan w:val="9"/>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14</w:t>
              </w:r>
            </w:hyperlink>
          </w:p>
        </w:tc>
      </w:tr>
      <w:tr>
        <w:trPr>
          <w:trHeight w:val="210"/>
        </w:trPr>
        <w:tc>
          <w:tcPr>
            <w:tcW w:w="6740" w:type="dxa"/>
            <w:vAlign w:val="bottom"/>
            <w:tcBorders>
              <w:bottom w:val="single" w:sz="8" w:color="0000FF"/>
            </w:tcBorders>
            <w:gridSpan w:val="11"/>
          </w:tcPr>
          <w:p>
            <w:pPr>
              <w:spacing w:after="0"/>
              <w:rPr>
                <w:rFonts w:ascii="Arial" w:cs="Arial" w:eastAsia="Arial" w:hAnsi="Arial"/>
                <w:sz w:val="18"/>
                <w:szCs w:val="18"/>
                <w:color w:val="0000FF"/>
                <w:w w:val="96"/>
              </w:rPr>
            </w:pPr>
            <w:hyperlink w:anchor="page17">
              <w:r>
                <w:rPr>
                  <w:rFonts w:ascii="Arial" w:cs="Arial" w:eastAsia="Arial" w:hAnsi="Arial"/>
                  <w:sz w:val="18"/>
                  <w:szCs w:val="18"/>
                  <w:color w:val="0000FF"/>
                  <w:w w:val="96"/>
                </w:rPr>
                <w:t>SECURITY OWNERSHIP OF CERTAIN BENEFICIAL OWNERS AND MANAGEMENT</w:t>
              </w:r>
            </w:hyperlink>
          </w:p>
        </w:tc>
        <w:tc>
          <w:tcPr>
            <w:tcW w:w="1600" w:type="dxa"/>
            <w:vAlign w:val="bottom"/>
            <w:gridSpan w:val="2"/>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r>
      <w:tr>
        <w:trPr>
          <w:trHeight w:val="209"/>
        </w:trPr>
        <w:tc>
          <w:tcPr>
            <w:tcW w:w="386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COMPENSATION DISCUSSION AND ANALYSIS</w:t>
              </w:r>
            </w:hyperlink>
          </w:p>
        </w:tc>
        <w:tc>
          <w:tcPr>
            <w:tcW w:w="4480" w:type="dxa"/>
            <w:vAlign w:val="bottom"/>
            <w:gridSpan w:val="5"/>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r>
      <w:tr>
        <w:trPr>
          <w:trHeight w:val="209"/>
        </w:trPr>
        <w:tc>
          <w:tcPr>
            <w:tcW w:w="5020" w:type="dxa"/>
            <w:vAlign w:val="bottom"/>
            <w:tcBorders>
              <w:bottom w:val="single" w:sz="8" w:color="0000FF"/>
            </w:tcBorders>
            <w:gridSpan w:val="10"/>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EXECUTIVE COMPENSATION AND RELATED INFORMATION</w:t>
              </w:r>
            </w:hyperlink>
          </w:p>
        </w:tc>
        <w:tc>
          <w:tcPr>
            <w:tcW w:w="3320" w:type="dxa"/>
            <w:vAlign w:val="bottom"/>
            <w:gridSpan w:val="3"/>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r>
      <w:tr>
        <w:trPr>
          <w:trHeight w:val="210"/>
        </w:trPr>
        <w:tc>
          <w:tcPr>
            <w:tcW w:w="296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GRANTS OF PLAN-BASED AWARDS</w:t>
              </w:r>
            </w:hyperlink>
          </w:p>
        </w:tc>
        <w:tc>
          <w:tcPr>
            <w:tcW w:w="5380" w:type="dxa"/>
            <w:vAlign w:val="bottom"/>
            <w:gridSpan w:val="6"/>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r>
      <w:tr>
        <w:trPr>
          <w:trHeight w:val="209"/>
        </w:trPr>
        <w:tc>
          <w:tcPr>
            <w:tcW w:w="234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CORPORATE GOVERNANCE</w:t>
              </w:r>
            </w:hyperlink>
          </w:p>
        </w:tc>
        <w:tc>
          <w:tcPr>
            <w:tcW w:w="6000" w:type="dxa"/>
            <w:vAlign w:val="bottom"/>
            <w:gridSpan w:val="8"/>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r>
      <w:tr>
        <w:trPr>
          <w:trHeight w:val="210"/>
        </w:trPr>
        <w:tc>
          <w:tcPr>
            <w:tcW w:w="83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SHAREHOLDER PROPOSALS</w:t>
              </w:r>
            </w:hyperlink>
          </w:p>
        </w:tc>
        <w:tc>
          <w:tcPr>
            <w:tcW w:w="1500" w:type="dxa"/>
            <w:vAlign w:val="bottom"/>
          </w:tcPr>
          <w:p>
            <w:pPr>
              <w:jc w:val="center"/>
              <w:ind w:left="47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41</w:t>
              </w:r>
            </w:hyperlink>
          </w:p>
        </w:tc>
      </w:tr>
      <w:tr>
        <w:trPr>
          <w:trHeight w:val="209"/>
        </w:trPr>
        <w:tc>
          <w:tcPr>
            <w:tcW w:w="2380" w:type="dxa"/>
            <w:vAlign w:val="bottom"/>
            <w:tcBorders>
              <w:top w:val="single" w:sz="8" w:color="0000FF"/>
            </w:tcBorders>
            <w:gridSpan w:val="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OTHER MATTERS</w:t>
              </w:r>
            </w:hyperlink>
          </w:p>
        </w:tc>
        <w:tc>
          <w:tcPr>
            <w:tcW w:w="5960" w:type="dxa"/>
            <w:vAlign w:val="bottom"/>
            <w:gridSpan w:val="7"/>
          </w:tcPr>
          <w:p>
            <w:pPr>
              <w:spacing w:after="0"/>
              <w:rPr>
                <w:sz w:val="18"/>
                <w:szCs w:val="18"/>
                <w:color w:val="auto"/>
              </w:rPr>
            </w:pPr>
          </w:p>
        </w:tc>
        <w:tc>
          <w:tcPr>
            <w:tcW w:w="1500" w:type="dxa"/>
            <w:vAlign w:val="bottom"/>
          </w:tcPr>
          <w:p>
            <w:pPr>
              <w:jc w:val="center"/>
              <w:ind w:left="47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r>
      <w:tr>
        <w:trPr>
          <w:trHeight w:val="20"/>
        </w:trPr>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840"/>
          </w:cols>
          <w:pgMar w:left="840" w:top="1417" w:right="1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911860</wp:posOffset>
            </wp:positionV>
            <wp:extent cx="285432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March 18, 2022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3E7E"/>
        </w:rPr>
        <w:t>DEAR FELLOW SHAREHOLDERS: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You are invited to join us for the 2022 Annual Meeting of Shareholders of Cumberland Pharmaceuticals Inc. The meeting will be held on April 28, 2022 at 9:30 a.m. Central Time, at Cumberland’s Corporate Offices located at 2525 West End Avenue, Nashville, Tennessee.</w:t>
      </w:r>
    </w:p>
    <w:p>
      <w:pPr>
        <w:spacing w:after="0" w:line="104"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 xml:space="preserve">The enclosed </w:t>
      </w:r>
      <w:r>
        <w:rPr>
          <w:rFonts w:ascii="Arial" w:cs="Arial" w:eastAsia="Arial" w:hAnsi="Arial"/>
          <w:sz w:val="19"/>
          <w:szCs w:val="19"/>
          <w:i w:val="1"/>
          <w:iCs w:val="1"/>
          <w:color w:val="auto"/>
        </w:rPr>
        <w:t>Notice of Annual Meeting</w:t>
      </w:r>
      <w:r>
        <w:rPr>
          <w:rFonts w:ascii="Arial" w:cs="Arial" w:eastAsia="Arial" w:hAnsi="Arial"/>
          <w:sz w:val="19"/>
          <w:szCs w:val="19"/>
          <w:color w:val="auto"/>
        </w:rPr>
        <w:t xml:space="preserve"> and </w:t>
      </w:r>
      <w:r>
        <w:rPr>
          <w:rFonts w:ascii="Arial" w:cs="Arial" w:eastAsia="Arial" w:hAnsi="Arial"/>
          <w:sz w:val="19"/>
          <w:szCs w:val="19"/>
          <w:i w:val="1"/>
          <w:iCs w:val="1"/>
          <w:color w:val="auto"/>
        </w:rPr>
        <w:t>Proxy Statement</w:t>
      </w:r>
      <w:r>
        <w:rPr>
          <w:rFonts w:ascii="Arial" w:cs="Arial" w:eastAsia="Arial" w:hAnsi="Arial"/>
          <w:sz w:val="19"/>
          <w:szCs w:val="19"/>
          <w:color w:val="auto"/>
        </w:rPr>
        <w:t xml:space="preserve"> describe the formal business to be transacted at this year's Annual Meeting. The Board's recommendations on these items are included with the proposals, and your support is important.</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6263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 J. Kazimi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APRIL 28, 2022</w:t>
      </w:r>
    </w:p>
    <w:p>
      <w:pPr>
        <w:spacing w:after="0" w:line="200" w:lineRule="exact"/>
        <w:rPr>
          <w:sz w:val="20"/>
          <w:szCs w:val="20"/>
          <w:color w:val="auto"/>
        </w:rPr>
      </w:pPr>
    </w:p>
    <w:p>
      <w:pPr>
        <w:spacing w:after="0" w:line="3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2022 Annual Meeting of Shareholders of Cumberland Pharmaceuticals Inc., will be held on April 28, 2022 at 9:30 a.m. Central Time, at the Cumberland Pharmaceuticals Inc., Centennial Boardroom, 2525 West End Avenue, Suite 950, Nashville, Tennessee 37203. The items of business are:</w:t>
      </w:r>
    </w:p>
    <w:p>
      <w:pPr>
        <w:spacing w:after="0" w:line="119" w:lineRule="exact"/>
        <w:rPr>
          <w:sz w:val="20"/>
          <w:szCs w:val="20"/>
          <w:color w:val="auto"/>
        </w:rPr>
      </w:pPr>
    </w:p>
    <w:p>
      <w:pPr>
        <w:ind w:left="660" w:hanging="328"/>
        <w:spacing w:after="0" w:line="274" w:lineRule="auto"/>
        <w:tabs>
          <w:tab w:leader="none" w:pos="8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consider and act upon a proposal to elect to the Company's Board of Directors, Dr. Gordon R. Bernard, Mr. Joseph C. Galante and Mr. A.J. Kazimi;</w:t>
      </w:r>
    </w:p>
    <w:p>
      <w:pPr>
        <w:spacing w:after="0" w:line="109" w:lineRule="exact"/>
        <w:rPr>
          <w:rFonts w:ascii="Arial" w:cs="Arial" w:eastAsia="Arial" w:hAnsi="Arial"/>
          <w:sz w:val="20"/>
          <w:szCs w:val="20"/>
          <w:color w:val="auto"/>
        </w:rPr>
      </w:pPr>
    </w:p>
    <w:p>
      <w:pPr>
        <w:ind w:left="660" w:hanging="328"/>
        <w:spacing w:after="0" w:line="274" w:lineRule="auto"/>
        <w:tabs>
          <w:tab w:leader="none" w:pos="63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ratify a proposal to consider the appointment of BKD, LLP as the Company's independent registered public accounting firm for the 2022 fiscal year; and</w:t>
      </w:r>
    </w:p>
    <w:p>
      <w:pPr>
        <w:spacing w:after="0" w:line="95"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other business that may properly come before our annual meeting.</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Shareholders of record at the close of business on March 1, 2022 are entitled to receive notification and vote at the Annual Meeting and any adjournments or postponements of the meeting. If you were a shareholder at the close of business on March 1, 2022, you are entitled to vote at the Annual Meeting.</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18, 2022, we will begin mailing a Notice of Internet Availability of Proxy Materials (“Notice”) to our shareholders. We have provided access to our proxy materials on the Internet. The proxy materials include our 2021 Annual Report to Shareholders, our Annual Report on Form 10-K for 2021 and the Proxy Statement and proxy card.</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62635"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 and Chief Executive Officer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SHAREHOLDERS MEETING TO BE HELD ON APRIL 28, 2022</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This Proxy Statement, our 2021 Annual Report to Shareholders and our Annual Report on Form 10-K for 2021 are available at: </w:t>
      </w:r>
      <w:r>
        <w:rPr>
          <w:rFonts w:ascii="Arial" w:cs="Arial" w:eastAsia="Arial" w:hAnsi="Arial"/>
          <w:sz w:val="20"/>
          <w:szCs w:val="20"/>
          <w:b w:val="1"/>
          <w:bCs w:val="1"/>
          <w:i w:val="1"/>
          <w:iCs w:val="1"/>
          <w:u w:val="single" w:color="auto"/>
          <w:color w:val="auto"/>
        </w:rPr>
        <w:t>http://www.cstproxy.com/cumberlandpharma/2022</w:t>
      </w:r>
      <w:r>
        <w:rPr>
          <w:rFonts w:ascii="Arial" w:cs="Arial" w:eastAsia="Arial" w:hAnsi="Arial"/>
          <w:sz w:val="20"/>
          <w:szCs w:val="20"/>
          <w:b w:val="1"/>
          <w:bCs w:val="1"/>
          <w:color w:val="auto"/>
        </w:rPr>
        <w:t>. Directions to attend the Annual Meeting and vote in person are available on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website, </w:t>
      </w:r>
      <w:r>
        <w:rPr>
          <w:rFonts w:ascii="Arial" w:cs="Arial" w:eastAsia="Arial" w:hAnsi="Arial"/>
          <w:sz w:val="20"/>
          <w:szCs w:val="20"/>
          <w:b w:val="1"/>
          <w:bCs w:val="1"/>
          <w:i w:val="1"/>
          <w:iCs w:val="1"/>
          <w:color w:val="auto"/>
        </w:rPr>
        <w:t>www.cumberlandpharma.com</w:t>
      </w:r>
      <w:r>
        <w:rPr>
          <w:rFonts w:ascii="Arial" w:cs="Arial" w:eastAsia="Arial" w:hAnsi="Arial"/>
          <w:sz w:val="20"/>
          <w:szCs w:val="20"/>
          <w:b w:val="1"/>
          <w:bCs w:val="1"/>
          <w:color w:val="auto"/>
        </w:rPr>
        <w:t xml:space="preserve">. From the homepage, link through the </w:t>
      </w:r>
      <w:r>
        <w:rPr>
          <w:rFonts w:ascii="Arial" w:cs="Arial" w:eastAsia="Arial" w:hAnsi="Arial"/>
          <w:sz w:val="20"/>
          <w:szCs w:val="20"/>
          <w:b w:val="1"/>
          <w:bCs w:val="1"/>
          <w:i w:val="1"/>
          <w:iCs w:val="1"/>
          <w:color w:val="auto"/>
        </w:rPr>
        <w:t>“Investor Relations”</w:t>
      </w:r>
      <w:r>
        <w:rPr>
          <w:rFonts w:ascii="Arial" w:cs="Arial" w:eastAsia="Arial" w:hAnsi="Arial"/>
          <w:sz w:val="20"/>
          <w:szCs w:val="20"/>
          <w:b w:val="1"/>
          <w:bCs w:val="1"/>
          <w:color w:val="auto"/>
        </w:rPr>
        <w:t xml:space="preserve"> page to the </w:t>
      </w:r>
      <w:r>
        <w:rPr>
          <w:rFonts w:ascii="Arial" w:cs="Arial" w:eastAsia="Arial" w:hAnsi="Arial"/>
          <w:sz w:val="20"/>
          <w:szCs w:val="20"/>
          <w:b w:val="1"/>
          <w:bCs w:val="1"/>
          <w:i w:val="1"/>
          <w:iCs w:val="1"/>
          <w:color w:val="auto"/>
        </w:rPr>
        <w:t>“Events Calendar”</w:t>
      </w:r>
      <w:r>
        <w:rPr>
          <w:rFonts w:ascii="Arial" w:cs="Arial" w:eastAsia="Arial" w:hAnsi="Arial"/>
          <w:sz w:val="20"/>
          <w:szCs w:val="20"/>
          <w:b w:val="1"/>
          <w:bCs w:val="1"/>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-177165</wp:posOffset>
            </wp:positionV>
            <wp:extent cx="1600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Voting Your Shares</w:t>
      </w:r>
    </w:p>
    <w:p>
      <w:pPr>
        <w:spacing w:after="0" w:line="249" w:lineRule="exact"/>
        <w:rPr>
          <w:sz w:val="20"/>
          <w:szCs w:val="20"/>
          <w:color w:val="auto"/>
        </w:rPr>
      </w:pPr>
    </w:p>
    <w:p>
      <w:pPr>
        <w:ind w:right="460"/>
        <w:spacing w:after="0" w:line="259" w:lineRule="auto"/>
        <w:rPr>
          <w:sz w:val="20"/>
          <w:szCs w:val="20"/>
          <w:color w:val="auto"/>
        </w:rPr>
      </w:pPr>
      <w:r>
        <w:rPr>
          <w:rFonts w:ascii="Arial" w:cs="Arial" w:eastAsia="Arial" w:hAnsi="Arial"/>
          <w:sz w:val="20"/>
          <w:szCs w:val="20"/>
          <w:color w:val="auto"/>
        </w:rPr>
        <w:t>You may vote if you owned shares of our common stock at the close of business on March 1, 2022. You may vote in person, or submit a proxy by the Internet, mobile device or mail as follows:</w:t>
      </w:r>
    </w:p>
    <w:tbl>
      <w:tblPr>
        <w:tblLayout w:type="fixed"/>
        <w:tblInd w:w="460" w:type="dxa"/>
        <w:tblCellMar>
          <w:top w:w="0" w:type="dxa"/>
          <w:left w:w="0" w:type="dxa"/>
          <w:bottom w:w="0" w:type="dxa"/>
          <w:right w:w="0" w:type="dxa"/>
        </w:tblCellMar>
      </w:tblPr>
      <w:tr>
        <w:trPr>
          <w:trHeight w:val="195"/>
        </w:trPr>
        <w:tc>
          <w:tcPr>
            <w:tcW w:w="1660" w:type="dxa"/>
            <w:vAlign w:val="bottom"/>
          </w:tcPr>
          <w:p>
            <w:pPr>
              <w:spacing w:after="0" w:line="195" w:lineRule="exact"/>
              <w:rPr>
                <w:sz w:val="20"/>
                <w:szCs w:val="20"/>
                <w:color w:val="auto"/>
              </w:rPr>
            </w:pPr>
            <w:r>
              <w:rPr>
                <w:rFonts w:ascii="Arial" w:cs="Arial" w:eastAsia="Arial" w:hAnsi="Arial"/>
                <w:sz w:val="18"/>
                <w:szCs w:val="18"/>
                <w:color w:val="auto"/>
              </w:rPr>
              <w:t>Internet:</w:t>
            </w:r>
          </w:p>
        </w:tc>
        <w:tc>
          <w:tcPr>
            <w:tcW w:w="17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6"/>
              </w:rPr>
              <w:t>www.cstproxyvote.com</w:t>
            </w:r>
          </w:p>
        </w:tc>
        <w:tc>
          <w:tcPr>
            <w:tcW w:w="4520" w:type="dxa"/>
            <w:vAlign w:val="bottom"/>
          </w:tcPr>
          <w:p>
            <w:pPr>
              <w:spacing w:after="0"/>
              <w:rPr>
                <w:sz w:val="16"/>
                <w:szCs w:val="16"/>
                <w:color w:val="auto"/>
              </w:rPr>
            </w:pPr>
          </w:p>
        </w:tc>
      </w:tr>
      <w:tr>
        <w:trPr>
          <w:trHeight w:val="249"/>
        </w:trPr>
        <w:tc>
          <w:tcPr>
            <w:tcW w:w="1660" w:type="dxa"/>
            <w:vAlign w:val="bottom"/>
          </w:tcPr>
          <w:p>
            <w:pPr>
              <w:spacing w:after="0"/>
              <w:rPr>
                <w:sz w:val="20"/>
                <w:szCs w:val="20"/>
                <w:color w:val="auto"/>
              </w:rPr>
            </w:pPr>
            <w:r>
              <w:rPr>
                <w:rFonts w:ascii="Arial" w:cs="Arial" w:eastAsia="Arial" w:hAnsi="Arial"/>
                <w:sz w:val="18"/>
                <w:szCs w:val="18"/>
                <w:color w:val="auto"/>
              </w:rPr>
              <w:t>Mail:</w:t>
            </w:r>
          </w:p>
        </w:tc>
        <w:tc>
          <w:tcPr>
            <w:tcW w:w="6280" w:type="dxa"/>
            <w:vAlign w:val="bottom"/>
            <w:gridSpan w:val="2"/>
          </w:tcPr>
          <w:p>
            <w:pPr>
              <w:spacing w:after="0"/>
              <w:rPr>
                <w:sz w:val="20"/>
                <w:szCs w:val="20"/>
                <w:color w:val="auto"/>
              </w:rPr>
            </w:pPr>
            <w:r>
              <w:rPr>
                <w:rFonts w:ascii="Arial" w:cs="Arial" w:eastAsia="Arial" w:hAnsi="Arial"/>
                <w:sz w:val="18"/>
                <w:szCs w:val="18"/>
                <w:color w:val="auto"/>
                <w:w w:val="89"/>
              </w:rPr>
              <w:t>Complete, sign, date and return your proxy card in the postage-paid envelope provided.</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 Person:</w:t>
            </w:r>
          </w:p>
        </w:tc>
        <w:tc>
          <w:tcPr>
            <w:tcW w:w="6280" w:type="dxa"/>
            <w:vAlign w:val="bottom"/>
            <w:gridSpan w:val="2"/>
          </w:tcPr>
          <w:p>
            <w:pPr>
              <w:spacing w:after="0"/>
              <w:rPr>
                <w:sz w:val="20"/>
                <w:szCs w:val="20"/>
                <w:color w:val="auto"/>
              </w:rPr>
            </w:pPr>
            <w:r>
              <w:rPr>
                <w:rFonts w:ascii="Arial" w:cs="Arial" w:eastAsia="Arial" w:hAnsi="Arial"/>
                <w:sz w:val="18"/>
                <w:szCs w:val="18"/>
                <w:color w:val="auto"/>
              </w:rPr>
              <w:t>Attend our annual meeting and vote by ballot</w:t>
            </w:r>
          </w:p>
        </w:tc>
      </w:tr>
    </w:tbl>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submit your proxy via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CUMBERLAND PHARMACEUTICALS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APRIL 28, 2022</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accompanies the Notice of Annual Meeting of Shareholders of Cumberland Pharmaceuticals Inc., a Tennessee corporation (“we,” “our,” "Cumberland," or “the Company”), in connection with the solicitation of proxies by and on behalf of our Board of Directors for use at our Annual Meeting to be held on April 28, 2022 at 9:30 a.m. Central Time, at the offices of Cumberland Pharmaceuticals Inc., 2525 West End Avenue, Suite 950, Nashville, Tennessee 37203, and at any postponement or adjournment of the meeting.</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are furnishing proxy materials to our shareholders primarily via the Internet under rules adopted by the Securities and Exchange Commission, instead of mailing printed copies of those materials to each shareholder. These materials are available to shareholders via the Internet at the following website: </w:t>
      </w:r>
      <w:r>
        <w:rPr>
          <w:rFonts w:ascii="Arial" w:cs="Arial" w:eastAsia="Arial" w:hAnsi="Arial"/>
          <w:sz w:val="17"/>
          <w:szCs w:val="17"/>
          <w:b w:val="1"/>
          <w:bCs w:val="1"/>
          <w:i w:val="1"/>
          <w:iCs w:val="1"/>
          <w:u w:val="single" w:color="auto"/>
          <w:color w:val="auto"/>
        </w:rPr>
        <w:t>http://www.cstproxy.com/cumberlandpharma/2022</w:t>
      </w:r>
      <w:r>
        <w:rPr>
          <w:rFonts w:ascii="Arial" w:cs="Arial" w:eastAsia="Arial" w:hAnsi="Arial"/>
          <w:sz w:val="17"/>
          <w:szCs w:val="17"/>
          <w:color w:val="auto"/>
        </w:rPr>
        <w:t>. On March 18, 2022, we will begin mailing to our shareholders a Notice of Internet Availability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Proxy Materials containing instructions on how to access our 2021 Annual Report to Shareholders, our Annual Report on Form 10-K for 2021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2022 Annual Meeting?</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2022 Annual Meeting, shareholders will act upon the matters outlined in the attached Notice of Annual Meeting and described in detail in this Proxy Statement, which are:</w:t>
      </w:r>
    </w:p>
    <w:p>
      <w:pPr>
        <w:spacing w:after="0" w:line="10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 consider and act upon a proposal to elect to the Company's Board of Directors, Dr. Gordon R. Bernard, Mr. Joseph C. Galante and Mr. A.J. Kazimi;</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 ratify the appointment of BKD, LLP as our independent registered public accounting firm for 2022;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(3) to transact such other business as may properly come before our annual meeting or any postponement or adjournment of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management will report on our performance during the fiscal year ended December 31, 2021 and respond to questions from shareholders.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the Board does not anticipate that any other matters will come before the 2022 Annual Meeting, your executed proxy gives the official proxies the right to vote your shares at their discretion on any other matter properly brought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2022 Annual Meeting?</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shareholders of record at the close of business on March 1, 2022, or the “record date,” will be entitled to notice of, and to vote at, the Annual Meeting or any adjournment or postponement of the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the Holders of Our Common Stock?</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2022 Annual Meeting includes three (3) Class III director seats. The election of directors is by plurality voting, meaning that the three nominees receiving the greatest number of votes cast will be elected; provided that a quorum is present. On each other matter to be presented, a matter will be approved if the votes cast in favor of the action exceed the votes cast opposing the action.</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Bylaws provide that the presence, in person or by proxy, of the holders of a majority of shares entitled to vote at our Annual Meeting shall constitute a quorum. On the record date there were 14,655,202 shares of our common stock (excluding restricted shares) issued and outstanding and such shares are the only shares entitled to vote at the Annual Meeting. Therefore, we anticipate that the quorum for our Annual Meeting will be 7,327,602 shares.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Your Proxy may be sent directly to the broker that holds your shares. A broker may vote your shares on your behalf without instructions for routine matters. However, a broker must have instructions from you to vote your shares with respect to non-routine matters, such as the election of directors.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election to the Board of Directors of the nominees for the three (3) Class III directorships named in this Proxy Statement (See Proposal I), and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BKD, LLP as our independent registered public accounting firm for the year ending December 31, 2022 (See Proposal II).</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proxy holders will vote in their discretion with respect to any other matter that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Arial" w:cs="Arial" w:eastAsia="Arial" w:hAnsi="Arial"/>
          <w:sz w:val="16"/>
          <w:szCs w:val="16"/>
          <w:b w:val="1"/>
          <w:bCs w:val="1"/>
          <w:color w:val="auto"/>
        </w:rPr>
        <w:t>IF NO INSTRUCTIONS ARE INDICATED</w:t>
      </w:r>
    </w:p>
    <w:p>
      <w:pPr>
        <w:jc w:val="both"/>
        <w:spacing w:after="0" w:line="253" w:lineRule="auto"/>
        <w:rPr>
          <w:sz w:val="20"/>
          <w:szCs w:val="20"/>
          <w:color w:val="auto"/>
        </w:rPr>
      </w:pPr>
      <w:r>
        <w:rPr>
          <w:rFonts w:ascii="Arial" w:cs="Arial" w:eastAsia="Arial" w:hAnsi="Arial"/>
          <w:sz w:val="18"/>
          <w:szCs w:val="18"/>
          <w:b w:val="1"/>
          <w:bCs w:val="1"/>
          <w:color w:val="auto"/>
        </w:rPr>
        <w:t>ON THE PROXY CARD, THE OFFICIAL PROXIES WILL VOTE (1) “FOR” PROPOSAL I DESCRIBED IN THIS PROXY STATEMENT; (2) "FOR" THE RATIFICATION OF THE APPOINTMENT OF BKD, LLP AS OUR INDEPENDENT REGISTERED PUBLIC ACCOUNTING FIRM FOR THE YEAR ENDING DECEMBER 31, 2022; AND (3) AS TO ANY OTHER MATTERS PROPERLY BROUGHT BEFORE THE ANNUAL MEETING OR ANY POSTPONEMENT OR ADJOURNMENT THEREOF, IN THE SOLE DISCRETION OF THE PROXY HOLDERS.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 (iii) appearing at the Annual Meeting and voting in person. All written notices of revocation of proxies should be addressed as follows: Cumberland Pharmaceuticals Inc., 2525 West End Avenue, Suite 950, Nashville, Tennessee 37203,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April 28, 2022, our Board of Directors will consist of eight directors, divided into three classes, serving staggered three-year terms. One of three classes is elected each year to succeed the directors whose terms are expiring. At this 2022 Annual Meeting, the term of the three (3) Class III directors expire. The individuals nominated for election as director in Class III at this 2022 Annual Meeting would, if elected, hold office for a three-year term expiring in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Dr. Bernard, Mr. Galante and Mr. Kazimi are currently serving as directors of the Company. There are currently six independent directors serving on our Board.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to serve as Class III directors, for term expiring in 2025</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Gordon R. Bernard. </w:t>
      </w:r>
      <w:r>
        <w:rPr>
          <w:rFonts w:ascii="Arial" w:cs="Arial" w:eastAsia="Arial" w:hAnsi="Arial"/>
          <w:sz w:val="16"/>
          <w:szCs w:val="16"/>
          <w:color w:val="auto"/>
        </w:rPr>
        <w:t>Dr. Bernard, 70, served as our Medical Director from 1999 until 2010 and currently serves as Chair of our Medical Advisory Board.</w:t>
      </w:r>
      <w:r>
        <w:rPr>
          <w:rFonts w:ascii="Arial" w:cs="Arial" w:eastAsia="Arial" w:hAnsi="Arial"/>
          <w:sz w:val="16"/>
          <w:szCs w:val="16"/>
          <w:i w:val="1"/>
          <w:iCs w:val="1"/>
          <w:color w:val="auto"/>
        </w:rPr>
        <w:t xml:space="preserve"> </w:t>
      </w:r>
      <w:r>
        <w:rPr>
          <w:rFonts w:ascii="Arial" w:cs="Arial" w:eastAsia="Arial" w:hAnsi="Arial"/>
          <w:sz w:val="16"/>
          <w:szCs w:val="16"/>
          <w:color w:val="auto"/>
        </w:rPr>
        <w:t>He has served on our board of directors since 2010. Dr. Bernard is the Executive Vice President for Research at Vanderbilt University Medical Center, and also the Melinda Owen Bass Professor of Medicine and former Chief of the Division of Allergy, Pulmonary and Critical Care Medicine at Vanderbilt. In addition, he is Senior Associate Dean for Clinical Sciences and Chairman of Vanderbilt’s Pharmacy and Therapeutics Committee, which is responsible for approving the Vanderbilt Medical Center Formulary of approved drugs and therapeutics. Dr. Bernard has been conducting national and international trials of pharmaceuticals since 1980 and he has been steering committee chair of the National Institutes of Health, Acute Respiratory Distress Syndrome Clinical Trials Network since its inception in 1994 through its conclusion in 2014. This network is the only federally supported ongoing system for the conduct of research in the hospital Intensive Care Unit, or ICU. He holds a B.S. from the University of Southwestern Louisiana and an M.D. from Louisiana State University. Dr. Bernard maintains an active practice as an Intensivist in the Medical ICU at Vanderbilt and is therefore in a position to observe, first hand, the pharmaceutical management issues surrounding the care of a wide variety of the most severely ill patients and identify their unmet medical needs. The board believes Dr. Bernard’s medical background is extremely valuable as the Company seeks to continue expanding its pipeline with promising products that offer advancement to patient care and are well-positioned competitively.</w:t>
      </w:r>
    </w:p>
    <w:p>
      <w:pPr>
        <w:spacing w:after="0" w:line="1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Joseph C. Galante. </w:t>
      </w:r>
      <w:r>
        <w:rPr>
          <w:rFonts w:ascii="Arial" w:cs="Arial" w:eastAsia="Arial" w:hAnsi="Arial"/>
          <w:sz w:val="16"/>
          <w:szCs w:val="16"/>
          <w:color w:val="auto"/>
        </w:rPr>
        <w:t>Mr. Galante, 72, is a music industry executive with extensive experience that scans a celebrated career. He is accredited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the careers of Alabama, Dave Mathews Band, Dolly Parton, Kenny Chesney, Brad Paisley, Martina McBride, Carrie Underwood, Clint Black, Miranda Lambert, and the Judds, among others. His successful business track record, entrepreneurial and public company experience make him a valuable member of our board.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Mr. Galante is currently a member of the Board of Directors of Pinnacle Financial Partners whose shares are listed on the NASDAQ stock exchange, the Country Music Association (CMA) Foundation and Fishbowl Spirits, LLC. He holds a B.S. in finance and marketing from Fordam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17" w:right="339" w:bottom="1440" w:gutter="0" w:footer="0" w:header="0"/>
        </w:sectPr>
      </w:pPr>
    </w:p>
    <w:bookmarkStart w:id="9" w:name="page10"/>
    <w:bookmarkEnd w:id="9"/>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A.J. Kazimi. </w:t>
      </w:r>
      <w:r>
        <w:rPr>
          <w:rFonts w:ascii="Arial" w:cs="Arial" w:eastAsia="Arial" w:hAnsi="Arial"/>
          <w:sz w:val="16"/>
          <w:szCs w:val="16"/>
          <w:color w:val="auto"/>
        </w:rPr>
        <w:t>Mr. Kazimi, 63, founded our company in 1999 and has served as the Chairman of our Board of Directors and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His career includes 31 years in the biopharmaceutical industry. At Cumberland, he has overseen the development and FDA approval of the company’s Acetadote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Caldolor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while also leading the acquisition of the Company’s six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Expected to Stand For Re-Election in 2023</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Joey A. Jacobs</w:t>
      </w:r>
      <w:r>
        <w:rPr>
          <w:rFonts w:ascii="Arial" w:cs="Arial" w:eastAsia="Arial" w:hAnsi="Arial"/>
          <w:sz w:val="16"/>
          <w:szCs w:val="16"/>
          <w:color w:val="auto"/>
        </w:rPr>
        <w:t>. Mr. Jacobs, 68, joined Cumberland’s Board of Directors in 2011 and is Chairman of our Governance and Nominating Committee and Lead</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 A healthcare veteran with more than 45 years of industry experience, Mr. Jacobs is retired as former Chairman and Chief Executive Officer of Acadia Healthcare, a rapidly growing behavioral health company. Mr. Jacobs is the former Chairman, President and Chief Executive Officer of Nashville-based Psychiatric Solutions, Inc. (PSI), which he co-founded in 1997 and grew into a $2 billion behavioral healthcare system before the company’s sale to Universal Health Services in 2010. Prior to founding PSI, Mr. Jacobs spent 21 years at Hospital Corporation of America, or HCA, where he served in various capacities. In addition to serving as the former Chairman of the Nashville Health Care Council, he is also a past director of the Federation of American Hospitals and the National Association of Psychiatric Health Systems. He is currently an Advisory Board member of the Monroe Carell, Jr. Children’s Hospital at Vanderbilt and Middle Tennessee State University where he was awarded MTSU’s Jennings A. Jones Champion of Free Enterprise Award in 2013. Mr. Jacobs holds a B.S. degree from Middle Tennessee State University. The board believes Mr. Jacobs’ extensive hospital industry experience as well as his experience as chairman and CEO of a publicly traded healthcare company will be critical as the Company continues to develop its hospital acute care product line and navigate the responsibilities associated with being a public company.</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Caroline R. Young. </w:t>
      </w:r>
      <w:r>
        <w:rPr>
          <w:rFonts w:ascii="Arial" w:cs="Arial" w:eastAsia="Arial" w:hAnsi="Arial"/>
          <w:sz w:val="17"/>
          <w:szCs w:val="17"/>
          <w:color w:val="auto"/>
        </w:rPr>
        <w:t>Ms. Young, 47, joined the Board of Directors of Cumberland Pharmaceuticals in 2016. She serves as Cumberland’s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Social, and Governance (ESG) Board Director. Ms. Young bring two decades of health care and life sciences experience to the role. Currently, she serves as Vice President of Partnership Development with Frist Cressey Ventures (FCV), where she focuses on accelerating value for FCV’s partnerships and enhancing relationships with health care industry-wide stakeholders. Before joining FCV, Ms. Young partnered with Former U.S. Senate Majority Leader Bill Frist to launch NashvilleHealth, a first-of-a-kind initiative to drive community-level health improvement. Prior to that role, Ms. Young led one of the nation’s premier health care industry associations, the Nashville Health Care Council, where she cultivated a national network of executives in support of leadership and innovation. She joined the council as President, and under her leadership membership grew to encompass 300 diverse organizations in the nation’s leading health care community. She also held prior positions as the founding Executive Director of Life Science Tennessee in communication roles for the State of Tennessee’s Department of Economic and Community Development (ECD). Ms. Young is a member of the Advisory Board of the Washington, DC-based Women Business Leaders of the U.S. Healthcare Industry. She holds an MS from the University of Tennessee and a BA from the University of Mississippi.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Kenneth J. Krogulski</w:t>
      </w:r>
      <w:r>
        <w:rPr>
          <w:rFonts w:ascii="Arial" w:cs="Arial" w:eastAsia="Arial" w:hAnsi="Arial"/>
          <w:sz w:val="17"/>
          <w:szCs w:val="17"/>
          <w:color w:val="auto"/>
        </w:rPr>
        <w:t>. Mr. Krogulski, 64, joined Cumberland’s Board of Directors in 2017. He has over 40 years of experience in security analysis and</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management and is currently the Managing Partner and Chief Investment Officer of Berkshire Asset Management, LLC. Berkshire is an independent SEC registered Pennsylvania based investment advisory firm with over $3.5 billion in assets under supervision as of December 31, 2022. Prior to Berkshire, Mr. Krogulski began his career in financial services in 1979 at First Eastern Bank, N.A., now PNC Financial, as an investment analyst and portfolio manager, where he advanced to Chief Investment Officer of the Trust Department. In addition, Mr. Krogulski is currently on the board of Allied Services Integrated Health System. He previously served as a Director of Landmark Community Bank (LDKB: NASDAQ) and numerous nonprofit organizations. Mr. Krogulski holds a B.S. in finance from Indiana University of Pennsylvania and earned his M.B.A. from Wilkes University. In addition, he holds the Chartered Financial Analyst designation.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Expected to Stand for Re-Election in 2024</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Martin E. Cearnal. </w:t>
      </w:r>
      <w:r>
        <w:rPr>
          <w:rFonts w:ascii="Arial" w:cs="Arial" w:eastAsia="Arial" w:hAnsi="Arial"/>
          <w:sz w:val="16"/>
          <w:szCs w:val="16"/>
          <w:color w:val="auto"/>
        </w:rPr>
        <w:t>Mr. Cearnal, 77, has served as a member of our Board of Directors since 2004. In 2008, he joined our management team to head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development for Cumberland, currently serving as Executive Vice President and Chief Commercial Officer. In 2021 Mr. Cearnal was promoted to President, Cumberland Sales Corp while maintaining his role of Chief Commercial Officer for the corporation.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over 50 years of experience in the healthcare industry and has been involved with the launches of such noteworthy pharmaceutical products as Lipitor®, Actos®, Intron-A®, Straterra®, Botox® and Humira®. He spent 17 years at Revlon Healthcare in a variety of domestic and international pharmaceutical marketing roles culminating in his position as Vice President, Marketing for International Operations. He has a B.S. degree from Southeast Missouri State University. The board believes Mr. Cearnal brings significant marketing-related knowledge to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Company, which has and will help facilitate successful product launches and marketing plans, among other contributions</w:t>
      </w:r>
      <w:r>
        <w:rPr>
          <w:rFonts w:ascii="Arial" w:cs="Arial" w:eastAsia="Arial" w:hAnsi="Arial"/>
          <w:sz w:val="21"/>
          <w:szCs w:val="21"/>
          <w:color w:val="4D4D4D"/>
        </w:rPr>
        <w:t>.</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James R. Jones</w:t>
      </w:r>
      <w:r>
        <w:rPr>
          <w:rFonts w:ascii="Arial" w:cs="Arial" w:eastAsia="Arial" w:hAnsi="Arial"/>
          <w:sz w:val="16"/>
          <w:szCs w:val="16"/>
          <w:color w:val="auto"/>
        </w:rPr>
        <w:t>. Mr. Jones, 74, has served as a member of our Board of Directors since 2010 and is Chair of our Audit Committee. Mr. Jones’ 36-year</w:t>
      </w:r>
      <w:r>
        <w:rPr>
          <w:rFonts w:ascii="Arial" w:cs="Arial" w:eastAsia="Arial" w:hAnsi="Arial"/>
          <w:sz w:val="16"/>
          <w:szCs w:val="16"/>
          <w:i w:val="1"/>
          <w:iCs w:val="1"/>
          <w:color w:val="auto"/>
        </w:rPr>
        <w:t xml:space="preserve"> </w:t>
      </w:r>
      <w:r>
        <w:rPr>
          <w:rFonts w:ascii="Arial" w:cs="Arial" w:eastAsia="Arial" w:hAnsi="Arial"/>
          <w:sz w:val="16"/>
          <w:szCs w:val="16"/>
          <w:color w:val="auto"/>
        </w:rPr>
        <w:t>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believes Mr. Jones’ significant accounting background will strengthen Cumberland’s existing financial capabilities and play a key role as the company is subject to increasingly stringent accounting and auditing regulations as a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21" w:right="339" w:bottom="1440" w:gutter="0" w:footer="0" w:header="0"/>
        </w:sectPr>
      </w:pPr>
    </w:p>
    <w:bookmarkStart w:id="12" w:name="page13"/>
    <w:bookmarkEnd w:id="12"/>
    <w:p>
      <w:pPr>
        <w:ind w:left="5040"/>
        <w:spacing w:after="0"/>
        <w:rPr>
          <w:sz w:val="20"/>
          <w:szCs w:val="20"/>
          <w:color w:val="auto"/>
        </w:rPr>
      </w:pPr>
      <w:r>
        <w:rPr>
          <w:rFonts w:ascii="Arial" w:cs="Arial" w:eastAsia="Arial" w:hAnsi="Arial"/>
          <w:sz w:val="18"/>
          <w:szCs w:val="18"/>
          <w:b w:val="1"/>
          <w:bCs w:val="1"/>
          <w:color w:val="auto"/>
        </w:rPr>
        <w:t>PROPOSAL II</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PROPOSAL TO RATIFY APPOINTMENT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BKD, LLP AS OUR INDEPENDENT REGISTERED PUBLIC ACCOUNTING FIRM</w:t>
      </w: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of our Board of Directors has appointed the firm of BKD, LLP ("BKD") as our independent registered public accounting firm to audit our consolidated financial statements for the fiscal year ending December 31, 2022. BKD has served as our independent registered public accounting firm since May 1, 2020.</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Representatives of BKD will be present at the Annual Meeting and will have an opportunity to make a statement, if they so desire, and will be available to respond to appropriate questions.</w:t>
      </w:r>
    </w:p>
    <w:p>
      <w:pPr>
        <w:spacing w:after="0" w:line="19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STRONGLY RECOMMENDS A VOTE “FOR” THE RATIFICATION OF THE APPOINTMENT OF BKD, LLP AS OUR INDEPENDENT REGISTERED PUBLIC ACCOUNTING FIRM FOR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17" w:right="339" w:bottom="1440" w:gutter="0" w:footer="0" w:header="0"/>
        </w:sectPr>
      </w:pPr>
    </w:p>
    <w:bookmarkStart w:id="13" w:name="page14"/>
    <w:bookmarkEnd w:id="1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is comprised of three directors, all of whom are independent in accordance with the listing standards of the Nasdaq Global Select Market and within the meaning of Rule 10A-3 of the Securities Exchange Act of 1934, as amended.</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is responsible for providing oversight of the Company’s accounting and financial reporting process as well as the audit of the Company’s financial statements.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last year, and earlier this year in preparation for the filing with the SEC of our Annual Report on Form 10-K for the year ended December 31, 2021 or the 10-K, the Audit Committee:</w:t>
      </w:r>
    </w:p>
    <w:p>
      <w:pPr>
        <w:spacing w:after="0" w:line="19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management and the Company’s independent registered public accounting firm;</w:t>
      </w:r>
    </w:p>
    <w:p>
      <w:pPr>
        <w:spacing w:after="0" w:line="46" w:lineRule="exact"/>
        <w:rPr>
          <w:rFonts w:ascii="Arial" w:cs="Arial" w:eastAsia="Arial" w:hAnsi="Arial"/>
          <w:sz w:val="16"/>
          <w:szCs w:val="16"/>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20" w:lineRule="exact"/>
        <w:rPr>
          <w:rFonts w:ascii="Arial" w:cs="Arial" w:eastAsia="Arial" w:hAnsi="Arial"/>
          <w:sz w:val="17"/>
          <w:szCs w:val="17"/>
          <w:color w:val="auto"/>
        </w:rPr>
      </w:pPr>
    </w:p>
    <w:p>
      <w:pPr>
        <w:jc w:val="both"/>
        <w:ind w:left="820" w:hanging="326"/>
        <w:spacing w:after="0" w:line="25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1" w:lineRule="exact"/>
        <w:rPr>
          <w:rFonts w:ascii="Arial" w:cs="Arial" w:eastAsia="Arial" w:hAnsi="Arial"/>
          <w:sz w:val="18"/>
          <w:szCs w:val="18"/>
          <w:color w:val="auto"/>
        </w:rPr>
      </w:pPr>
    </w:p>
    <w:p>
      <w:pPr>
        <w:jc w:val="both"/>
        <w:ind w:left="820" w:hanging="326"/>
        <w:spacing w:after="0" w:line="25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spacing w:after="0" w:line="1" w:lineRule="exact"/>
        <w:rPr>
          <w:rFonts w:ascii="Arial" w:cs="Arial" w:eastAsia="Arial" w:hAnsi="Arial"/>
          <w:sz w:val="18"/>
          <w:szCs w:val="18"/>
          <w:color w:val="auto"/>
        </w:rPr>
      </w:pPr>
    </w:p>
    <w:p>
      <w:pPr>
        <w:ind w:left="820" w:right="20" w:hanging="326"/>
        <w:spacing w:after="0" w:line="25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jc w:val="both"/>
        <w:ind w:left="820" w:hanging="326"/>
        <w:spacing w:after="0" w:line="252"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Audit Committee, please refer to its charter, a copy of which is posted on the Company’s website at </w:t>
      </w:r>
      <w:r>
        <w:rPr>
          <w:rFonts w:ascii="Arial" w:cs="Arial" w:eastAsia="Arial" w:hAnsi="Arial"/>
          <w:sz w:val="18"/>
          <w:szCs w:val="18"/>
          <w:i w:val="1"/>
          <w:iCs w:val="1"/>
          <w:u w:val="single" w:color="auto"/>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Audit Committee</w:t>
      </w:r>
    </w:p>
    <w:p>
      <w:pPr>
        <w:spacing w:after="0" w:line="194" w:lineRule="exact"/>
        <w:rPr>
          <w:sz w:val="20"/>
          <w:szCs w:val="20"/>
          <w:color w:val="auto"/>
        </w:rPr>
      </w:pPr>
    </w:p>
    <w:p>
      <w:pPr>
        <w:ind w:left="20"/>
        <w:spacing w:after="0"/>
        <w:tabs>
          <w:tab w:leader="none" w:pos="2820" w:val="left"/>
          <w:tab w:leader="none" w:pos="5800" w:val="left"/>
        </w:tabs>
        <w:rPr>
          <w:sz w:val="20"/>
          <w:szCs w:val="20"/>
          <w:color w:val="auto"/>
        </w:rPr>
      </w:pPr>
      <w:r>
        <w:rPr>
          <w:rFonts w:ascii="Arial" w:cs="Arial" w:eastAsia="Arial" w:hAnsi="Arial"/>
          <w:sz w:val="18"/>
          <w:szCs w:val="18"/>
          <w:b w:val="1"/>
          <w:bCs w:val="1"/>
          <w:color w:val="auto"/>
        </w:rPr>
        <w:t>Mr. James R. Jones</w:t>
      </w:r>
      <w:r>
        <w:rPr>
          <w:sz w:val="20"/>
          <w:szCs w:val="20"/>
          <w:color w:val="auto"/>
        </w:rPr>
        <w:tab/>
      </w:r>
      <w:r>
        <w:rPr>
          <w:rFonts w:ascii="Arial" w:cs="Arial" w:eastAsia="Arial" w:hAnsi="Arial"/>
          <w:sz w:val="18"/>
          <w:szCs w:val="18"/>
          <w:b w:val="1"/>
          <w:bCs w:val="1"/>
          <w:color w:val="auto"/>
        </w:rPr>
        <w:t>Mr. Kenneth J. Krogulski</w:t>
      </w:r>
      <w:r>
        <w:rPr>
          <w:sz w:val="20"/>
          <w:szCs w:val="20"/>
          <w:color w:val="auto"/>
        </w:rPr>
        <w:tab/>
      </w:r>
      <w:r>
        <w:rPr>
          <w:rFonts w:ascii="Arial" w:cs="Arial" w:eastAsia="Arial" w:hAnsi="Arial"/>
          <w:sz w:val="16"/>
          <w:szCs w:val="16"/>
          <w:b w:val="1"/>
          <w:bCs w:val="1"/>
          <w:color w:val="auto"/>
        </w:rPr>
        <w:t>Mr. Joseph C. Galante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2"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8"/>
          <w:szCs w:val="18"/>
          <w:color w:val="auto"/>
        </w:rPr>
        <w:t>The Audit Committee of the Board of the Company engaged BKD to serve as the Company's independent registered public accounting firm for the Company for the year ended December 31, 2021 and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billed to us for professional services by BKD for the fiscal year ended December 31, 2021 and 2020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130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1"/>
                <w:szCs w:val="21"/>
                <w:color w:val="auto"/>
              </w:rPr>
            </w:pPr>
          </w:p>
        </w:tc>
      </w:tr>
      <w:tr>
        <w:trPr>
          <w:trHeight w:val="142"/>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366,088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320,591</w:t>
            </w:r>
          </w:p>
        </w:tc>
        <w:tc>
          <w:tcPr>
            <w:tcW w:w="140" w:type="dxa"/>
            <w:vAlign w:val="bottom"/>
          </w:tcPr>
          <w:p>
            <w:pPr>
              <w:spacing w:after="0"/>
              <w:rPr>
                <w:sz w:val="19"/>
                <w:szCs w:val="19"/>
                <w:color w:val="auto"/>
              </w:rPr>
            </w:pPr>
          </w:p>
        </w:tc>
      </w:tr>
      <w:tr>
        <w:trPr>
          <w:trHeight w:val="230"/>
        </w:trPr>
        <w:tc>
          <w:tcPr>
            <w:tcW w:w="282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29"/>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Fees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r>
      <w:tr>
        <w:trPr>
          <w:trHeight w:val="230"/>
        </w:trPr>
        <w:tc>
          <w:tcPr>
            <w:tcW w:w="2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All Other Fees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auto"/>
            </w:tcBorders>
          </w:tcPr>
          <w:p>
            <w:pPr>
              <w:spacing w:after="0"/>
              <w:rPr>
                <w:sz w:val="19"/>
                <w:szCs w:val="19"/>
                <w:color w:val="auto"/>
              </w:rPr>
            </w:pPr>
          </w:p>
        </w:tc>
      </w:tr>
      <w:tr>
        <w:trPr>
          <w:trHeight w:val="243"/>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366,088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320,591</w:t>
            </w:r>
          </w:p>
        </w:tc>
        <w:tc>
          <w:tcPr>
            <w:tcW w:w="140" w:type="dxa"/>
            <w:vAlign w:val="bottom"/>
            <w:tcBorders>
              <w:bottom w:val="single" w:sz="8" w:color="auto"/>
            </w:tcBorders>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includes those in connection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offerings. Those fees were $42,340 for the year December 31, 2021.</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2021 and 2020, respectively, prior to performing such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changes in the Company's independent registered public accounting firm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Item 9(d) of Schedule 14A, the Company must provide the disclosure required by Item 304(a) of Regulation S-K, similar to the disclosures previously provided by the Company in its Form 8-K dated May 1, 2020.</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Audit Committee of the Board of Directors completed a review of the appointment of the Company's independent registered public accounting firm for the fiscal year ending December 31, 2020. As a result of this review, on April 29, 2020, the Audit Committee informed BDO of its decision to not retain BDO as the Company's independent registered public accounting firm, effective as of that date. In addition, on April 29, 2020, the Audit Committee informed BKD that they were selected as the Company's independent registered public accounting firm for the fiscal year ending December 31, 2020. BKD had obtained provisional approval as of that date, with the formal engagement of BKD being subject to BKD completing its final client acceptance process.</w:t>
      </w:r>
    </w:p>
    <w:p>
      <w:pPr>
        <w:spacing w:after="0" w:line="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Company's fiscal years ended December 31, 2019 and 2018, and the subsequent interim period through April 29, 2020, there were (i) no disagreements between the Company and BDO on any matter of accounting principles or practices, financial statement disclosure, or auditing scope or procedures, which disagreements, if not resolved to BDO’s satisfaction, would have caused BDO to make reference to the subject matter of the disagreement in its report on the Company's consolidated financial statements for the relevant year, and (ii) no "reportable events" as that term is defined in Item 304(a)(1)(v) of Regulation S-K. The audit reports of BDO on the consolidated financial statements of the Company as of December 31, 2019 and 2018, contained no adverse opinion or disclaimer of opinion and were not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17" w:right="339" w:bottom="1440" w:gutter="0" w:footer="0" w:header="0"/>
        </w:sectPr>
      </w:pPr>
    </w:p>
    <w:bookmarkStart w:id="16" w:name="page17"/>
    <w:bookmarkEnd w:id="16"/>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29, 2020, the Company provided BDO with a copy of the Auditor Current Report and requested BDO to, as promptly as possible, furnish the Company with a letter (the "BDO Letter") addressed to the SEC stating whether BDO agrees with the statements made by the Company in response to Item 304(a) of Regulation S-K and, if not, stating the respects in which it does not agree. BDO furnished to the Company a letter addressed to the SEC, dated, May 1, 2020, which stated that BDO agrees with the statements made in response to Item 304(a) insofar as they relate to their Firm.</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 2020, BKD completed its final client acceptance approval process and the Audit Committee formally engaged BKD as the Company's independent registered public accounting firm for the fiscal year ending December 31, 2020. During the Company's fiscal years ended December 31, 2019 and 2018, and the subsequent interim period through May 1, 2020, neither the Company, nor anyone on its behalf, consulted with BKD regarding the application of accounting principles to a specified transaction, either completed or proposed; or the type of audit opinion that might be rendered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solely upon information made available to us, the following table sets forth information with respect to the beneficial ownership of our common stock as of March 1, 2022 (except as otherwise indicated) by (1) each person who is known by us to beneficially own more than five percent of our common stock (based solely on our review of SEC filings); (2) each of our directors and nominees; (3) our Chief Executive Officer, Chief Financial Officer, Former Chief Financial Officer and each of our other three most highly compensated executive officers,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2525 West End Avenue, Suite 950, Nashville, Tennessee 37203. To the knowledge of the Company, no other person or entity holds more than 5% of the outstanding shares of common stock, except as set forth in the following table.</w:t>
      </w:r>
    </w:p>
    <w:p>
      <w:pPr>
        <w:spacing w:after="0" w:line="107"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58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Shares of Common</w:t>
            </w:r>
          </w:p>
        </w:tc>
        <w:tc>
          <w:tcPr>
            <w:tcW w:w="2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6"/>
              </w:rPr>
              <w:t>Percent of Outstanding</w:t>
            </w:r>
          </w:p>
        </w:tc>
        <w:tc>
          <w:tcPr>
            <w:tcW w:w="0" w:type="dxa"/>
            <w:vAlign w:val="bottom"/>
          </w:tcPr>
          <w:p>
            <w:pPr>
              <w:spacing w:after="0"/>
              <w:rPr>
                <w:sz w:val="1"/>
                <w:szCs w:val="1"/>
                <w:color w:val="auto"/>
              </w:rPr>
            </w:pPr>
          </w:p>
        </w:tc>
      </w:tr>
      <w:tr>
        <w:trPr>
          <w:trHeight w:val="176"/>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Name of Beneficial Owner</w:t>
            </w:r>
            <w:r>
              <w:rPr>
                <w:rFonts w:ascii="Arial" w:cs="Arial" w:eastAsia="Arial" w:hAnsi="Arial"/>
                <w:sz w:val="23"/>
                <w:szCs w:val="23"/>
                <w:color w:val="auto"/>
                <w:vertAlign w:val="superscript"/>
              </w:rPr>
              <w:t>(1)</w:t>
            </w:r>
          </w:p>
        </w:tc>
        <w:tc>
          <w:tcPr>
            <w:tcW w:w="2580" w:type="dxa"/>
            <w:vAlign w:val="bottom"/>
          </w:tcPr>
          <w:p>
            <w:pPr>
              <w:jc w:val="center"/>
              <w:ind w:left="410"/>
              <w:spacing w:after="0" w:line="176" w:lineRule="exact"/>
              <w:rPr>
                <w:sz w:val="20"/>
                <w:szCs w:val="20"/>
                <w:color w:val="auto"/>
              </w:rPr>
            </w:pPr>
            <w:r>
              <w:rPr>
                <w:rFonts w:ascii="Arial" w:cs="Arial" w:eastAsia="Arial" w:hAnsi="Arial"/>
                <w:sz w:val="18"/>
                <w:szCs w:val="18"/>
                <w:b w:val="1"/>
                <w:bCs w:val="1"/>
                <w:color w:val="auto"/>
                <w:w w:val="88"/>
              </w:rPr>
              <w:t>Stock Beneficially</w:t>
            </w: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860" w:type="dxa"/>
            <w:vAlign w:val="bottom"/>
            <w:vMerge w:val="continue"/>
          </w:tcPr>
          <w:p>
            <w:pPr>
              <w:spacing w:after="0"/>
              <w:rPr>
                <w:sz w:val="24"/>
                <w:szCs w:val="24"/>
                <w:color w:val="auto"/>
              </w:rPr>
            </w:pPr>
          </w:p>
        </w:tc>
        <w:tc>
          <w:tcPr>
            <w:tcW w:w="258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Owned</w:t>
            </w:r>
          </w:p>
        </w:tc>
        <w:tc>
          <w:tcPr>
            <w:tcW w:w="2080" w:type="dxa"/>
            <w:vAlign w:val="bottom"/>
          </w:tcPr>
          <w:p>
            <w:pPr>
              <w:jc w:val="right"/>
              <w:ind w:right="290"/>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 J. Kazimi</w:t>
            </w:r>
            <w:r>
              <w:rPr>
                <w:rFonts w:ascii="Arial" w:cs="Arial" w:eastAsia="Arial" w:hAnsi="Arial"/>
                <w:sz w:val="23"/>
                <w:szCs w:val="23"/>
                <w:color w:val="auto"/>
                <w:vertAlign w:val="superscript"/>
              </w:rPr>
              <w:t>(3)</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5,770,563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Kenneth J. Krogulski</w:t>
            </w:r>
            <w:r>
              <w:rPr>
                <w:rFonts w:ascii="Arial" w:cs="Arial" w:eastAsia="Arial" w:hAnsi="Arial"/>
                <w:sz w:val="23"/>
                <w:szCs w:val="23"/>
                <w:color w:val="auto"/>
                <w:vertAlign w:val="superscript"/>
              </w:rPr>
              <w:t>(4)</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183,141</w:t>
            </w:r>
          </w:p>
        </w:tc>
        <w:tc>
          <w:tcPr>
            <w:tcW w:w="208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Martin E. Cearnal</w:t>
            </w:r>
            <w:r>
              <w:rPr>
                <w:rFonts w:ascii="Arial" w:cs="Arial" w:eastAsia="Arial" w:hAnsi="Arial"/>
                <w:sz w:val="23"/>
                <w:szCs w:val="23"/>
                <w:color w:val="auto"/>
                <w:vertAlign w:val="superscript"/>
              </w:rPr>
              <w:t>(5)</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178,473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Leo B. Pavliv</w:t>
            </w:r>
            <w:r>
              <w:rPr>
                <w:rFonts w:ascii="Arial" w:cs="Arial" w:eastAsia="Arial" w:hAnsi="Arial"/>
                <w:sz w:val="23"/>
                <w:szCs w:val="23"/>
                <w:color w:val="auto"/>
                <w:vertAlign w:val="superscript"/>
              </w:rPr>
              <w:t>(6)</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168,118</w:t>
            </w:r>
          </w:p>
        </w:tc>
        <w:tc>
          <w:tcPr>
            <w:tcW w:w="208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Joey A. Jacobs</w:t>
            </w:r>
            <w:r>
              <w:rPr>
                <w:rFonts w:ascii="Arial" w:cs="Arial" w:eastAsia="Arial" w:hAnsi="Arial"/>
                <w:sz w:val="23"/>
                <w:szCs w:val="23"/>
                <w:color w:val="auto"/>
                <w:vertAlign w:val="superscript"/>
              </w:rPr>
              <w:t>(7)</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98,415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James L. Herman</w:t>
            </w:r>
            <w:r>
              <w:rPr>
                <w:rFonts w:ascii="Arial" w:cs="Arial" w:eastAsia="Arial" w:hAnsi="Arial"/>
                <w:sz w:val="23"/>
                <w:szCs w:val="23"/>
                <w:color w:val="auto"/>
                <w:vertAlign w:val="superscript"/>
              </w:rPr>
              <w:t>(8)</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45,001</w:t>
            </w:r>
          </w:p>
        </w:tc>
        <w:tc>
          <w:tcPr>
            <w:tcW w:w="2080" w:type="dxa"/>
            <w:vAlign w:val="bottom"/>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Joseph C. Galante </w:t>
            </w:r>
            <w:r>
              <w:rPr>
                <w:rFonts w:ascii="Arial" w:cs="Arial" w:eastAsia="Arial" w:hAnsi="Arial"/>
                <w:sz w:val="23"/>
                <w:szCs w:val="23"/>
                <w:color w:val="auto"/>
                <w:vertAlign w:val="superscript"/>
              </w:rPr>
              <w:t>(9)</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44,061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James R. Jones</w:t>
            </w:r>
            <w:r>
              <w:rPr>
                <w:rFonts w:ascii="Arial" w:cs="Arial" w:eastAsia="Arial" w:hAnsi="Arial"/>
                <w:sz w:val="23"/>
                <w:szCs w:val="23"/>
                <w:color w:val="auto"/>
                <w:vertAlign w:val="superscript"/>
              </w:rPr>
              <w:t>(10)</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19,365</w:t>
            </w:r>
          </w:p>
        </w:tc>
        <w:tc>
          <w:tcPr>
            <w:tcW w:w="2080" w:type="dxa"/>
            <w:vAlign w:val="bottom"/>
          </w:tcPr>
          <w:p>
            <w:pPr>
              <w:jc w:val="right"/>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Caroline R. Young</w:t>
            </w:r>
            <w:r>
              <w:rPr>
                <w:rFonts w:ascii="Arial" w:cs="Arial" w:eastAsia="Arial" w:hAnsi="Arial"/>
                <w:sz w:val="23"/>
                <w:szCs w:val="23"/>
                <w:color w:val="auto"/>
                <w:vertAlign w:val="superscript"/>
              </w:rPr>
              <w:t>(11)</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14,777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Michael P. Bonner</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11,720</w:t>
            </w:r>
          </w:p>
        </w:tc>
        <w:tc>
          <w:tcPr>
            <w:tcW w:w="2080" w:type="dxa"/>
            <w:vAlign w:val="bottom"/>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John M. Hamm</w:t>
            </w:r>
            <w:r>
              <w:rPr>
                <w:rFonts w:ascii="Arial" w:cs="Arial" w:eastAsia="Arial" w:hAnsi="Arial"/>
                <w:sz w:val="23"/>
                <w:szCs w:val="23"/>
                <w:color w:val="auto"/>
                <w:vertAlign w:val="superscript"/>
              </w:rPr>
              <w:t>(12)</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6,800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Gordon R. Bernard</w:t>
            </w:r>
            <w:r>
              <w:rPr>
                <w:rFonts w:ascii="Arial" w:cs="Arial" w:eastAsia="Arial" w:hAnsi="Arial"/>
                <w:sz w:val="23"/>
                <w:szCs w:val="23"/>
                <w:color w:val="auto"/>
                <w:vertAlign w:val="superscript"/>
              </w:rPr>
              <w:t>(13)</w:t>
            </w: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and executive officers as a group (12 persons)</w:t>
            </w:r>
          </w:p>
        </w:tc>
        <w:tc>
          <w:tcPr>
            <w:tcW w:w="2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6,540,434</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43.55 %</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2340" w:right="1540" w:hanging="594"/>
        <w:spacing w:after="0" w:line="221" w:lineRule="auto"/>
        <w:tabs>
          <w:tab w:leader="none" w:pos="2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99" w:lineRule="exact"/>
        <w:rPr>
          <w:rFonts w:ascii="Arial" w:cs="Arial" w:eastAsia="Arial" w:hAnsi="Arial"/>
          <w:sz w:val="17"/>
          <w:szCs w:val="17"/>
          <w:color w:val="auto"/>
        </w:rPr>
      </w:pPr>
    </w:p>
    <w:p>
      <w:pPr>
        <w:ind w:left="2340" w:hanging="594"/>
        <w:spacing w:after="0"/>
        <w:tabs>
          <w:tab w:leader="none" w:pos="2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15,133,254 shares of common stock outstanding on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17" w:right="339" w:bottom="1440" w:gutter="0" w:footer="0" w:header="0"/>
        </w:sectPr>
      </w:pPr>
    </w:p>
    <w:bookmarkStart w:id="18" w:name="page19"/>
    <w:bookmarkEnd w:id="18"/>
    <w:p>
      <w:pPr>
        <w:spacing w:after="0" w:line="22" w:lineRule="exact"/>
        <w:rPr>
          <w:sz w:val="20"/>
          <w:szCs w:val="20"/>
          <w:color w:val="auto"/>
        </w:rPr>
      </w:pPr>
    </w:p>
    <w:p>
      <w:pPr>
        <w:ind w:left="2220" w:right="779" w:hanging="643"/>
        <w:spacing w:after="0" w:line="235"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312,000 shares that Mr. Kazimi has the right to acquire upon the vesting of restricted stock.</w:t>
      </w:r>
    </w:p>
    <w:p>
      <w:pPr>
        <w:spacing w:after="0" w:line="107" w:lineRule="exact"/>
        <w:rPr>
          <w:rFonts w:ascii="Arial" w:cs="Arial" w:eastAsia="Arial" w:hAnsi="Arial"/>
          <w:sz w:val="18"/>
          <w:szCs w:val="18"/>
          <w:color w:val="auto"/>
        </w:rPr>
      </w:pPr>
    </w:p>
    <w:p>
      <w:pPr>
        <w:ind w:left="2220" w:hanging="643"/>
        <w:spacing w:after="0"/>
        <w:tabs>
          <w:tab w:leader="none" w:pos="2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1,000 shares Mr. Krogulski has the right to acquire upon the vesting of restricted stock.</w:t>
      </w:r>
    </w:p>
    <w:p>
      <w:pPr>
        <w:spacing w:after="0" w:line="140" w:lineRule="exact"/>
        <w:rPr>
          <w:rFonts w:ascii="Arial" w:cs="Arial" w:eastAsia="Arial" w:hAnsi="Arial"/>
          <w:sz w:val="16"/>
          <w:szCs w:val="16"/>
          <w:color w:val="auto"/>
        </w:rPr>
      </w:pPr>
    </w:p>
    <w:p>
      <w:pPr>
        <w:ind w:left="2220" w:hanging="643"/>
        <w:spacing w:after="0"/>
        <w:tabs>
          <w:tab w:leader="none" w:pos="2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15,000 shares Mr. Cearnal has the right to acquire upon the vesting of restricted stock.</w:t>
      </w:r>
    </w:p>
    <w:p>
      <w:pPr>
        <w:spacing w:after="0" w:line="140" w:lineRule="exact"/>
        <w:rPr>
          <w:rFonts w:ascii="Arial" w:cs="Arial" w:eastAsia="Arial" w:hAnsi="Arial"/>
          <w:sz w:val="16"/>
          <w:szCs w:val="16"/>
          <w:color w:val="auto"/>
        </w:rPr>
      </w:pPr>
    </w:p>
    <w:p>
      <w:pPr>
        <w:ind w:left="2220" w:hanging="643"/>
        <w:spacing w:after="0"/>
        <w:tabs>
          <w:tab w:leader="none" w:pos="2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38,500 shares Mr. Pavliv has the right to acquire upon the vesting of restricted stock.</w:t>
      </w:r>
    </w:p>
    <w:p>
      <w:pPr>
        <w:spacing w:after="0" w:line="142" w:lineRule="exact"/>
        <w:rPr>
          <w:rFonts w:ascii="Arial" w:cs="Arial" w:eastAsia="Arial" w:hAnsi="Arial"/>
          <w:sz w:val="17"/>
          <w:szCs w:val="17"/>
          <w:color w:val="auto"/>
        </w:rPr>
      </w:pPr>
    </w:p>
    <w:p>
      <w:pPr>
        <w:ind w:left="2220" w:hanging="643"/>
        <w:spacing w:after="0"/>
        <w:tabs>
          <w:tab w:leader="none" w:pos="2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5,000 shares Mr. Jacobs has the right to acquire upon the vesting of restricted stock.</w:t>
      </w:r>
    </w:p>
    <w:p>
      <w:pPr>
        <w:spacing w:after="0" w:line="128" w:lineRule="exact"/>
        <w:rPr>
          <w:rFonts w:ascii="Arial" w:cs="Arial" w:eastAsia="Arial" w:hAnsi="Arial"/>
          <w:sz w:val="17"/>
          <w:szCs w:val="17"/>
          <w:color w:val="auto"/>
        </w:rPr>
      </w:pPr>
    </w:p>
    <w:p>
      <w:pPr>
        <w:ind w:left="2220" w:hanging="643"/>
        <w:spacing w:after="0"/>
        <w:tabs>
          <w:tab w:leader="none" w:pos="2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13,000 shares Mr. Herman has the right to acquire upon the vesting of restricted stock.</w:t>
      </w:r>
    </w:p>
    <w:p>
      <w:pPr>
        <w:spacing w:after="0" w:line="140" w:lineRule="exact"/>
        <w:rPr>
          <w:rFonts w:ascii="Arial" w:cs="Arial" w:eastAsia="Arial" w:hAnsi="Arial"/>
          <w:sz w:val="16"/>
          <w:szCs w:val="16"/>
          <w:color w:val="auto"/>
        </w:rPr>
      </w:pPr>
    </w:p>
    <w:p>
      <w:pPr>
        <w:ind w:left="2220" w:hanging="643"/>
        <w:spacing w:after="0"/>
        <w:tabs>
          <w:tab w:leader="none" w:pos="2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1,000 shares Mr. Galante has the right to acquire upon the vesting of restricted stock.</w:t>
      </w:r>
    </w:p>
    <w:p>
      <w:pPr>
        <w:spacing w:after="0" w:line="129" w:lineRule="exact"/>
        <w:rPr>
          <w:sz w:val="20"/>
          <w:szCs w:val="20"/>
          <w:color w:val="auto"/>
        </w:rPr>
      </w:pPr>
    </w:p>
    <w:p>
      <w:pPr>
        <w:ind w:left="2220" w:hanging="688"/>
        <w:spacing w:after="0"/>
        <w:tabs>
          <w:tab w:leader="none" w:pos="2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1,000 shares Mr. Jones has the right to acquire upon the vesting of restricted stock.</w:t>
      </w:r>
    </w:p>
    <w:p>
      <w:pPr>
        <w:spacing w:after="0" w:line="142" w:lineRule="exact"/>
        <w:rPr>
          <w:rFonts w:ascii="Arial" w:cs="Arial" w:eastAsia="Arial" w:hAnsi="Arial"/>
          <w:sz w:val="17"/>
          <w:szCs w:val="17"/>
          <w:color w:val="auto"/>
        </w:rPr>
      </w:pPr>
    </w:p>
    <w:p>
      <w:pPr>
        <w:ind w:left="2220" w:hanging="685"/>
        <w:spacing w:after="0"/>
        <w:tabs>
          <w:tab w:leader="none" w:pos="2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1,000 shares Mrs. Young has the right to acquire upon the vesting of restricted stock.</w:t>
      </w:r>
    </w:p>
    <w:p>
      <w:pPr>
        <w:spacing w:after="0" w:line="128" w:lineRule="exact"/>
        <w:rPr>
          <w:rFonts w:ascii="Arial" w:cs="Arial" w:eastAsia="Arial" w:hAnsi="Arial"/>
          <w:sz w:val="17"/>
          <w:szCs w:val="17"/>
          <w:color w:val="auto"/>
        </w:rPr>
      </w:pPr>
    </w:p>
    <w:p>
      <w:pPr>
        <w:ind w:left="2220" w:hanging="688"/>
        <w:spacing w:after="0"/>
        <w:tabs>
          <w:tab w:leader="none" w:pos="2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6,800 shares Mr. Hamm has the right to acquire upon the vesting of restricted stock.</w:t>
      </w:r>
    </w:p>
    <w:p>
      <w:pPr>
        <w:spacing w:after="0" w:line="128" w:lineRule="exact"/>
        <w:rPr>
          <w:rFonts w:ascii="Arial" w:cs="Arial" w:eastAsia="Arial" w:hAnsi="Arial"/>
          <w:sz w:val="17"/>
          <w:szCs w:val="17"/>
          <w:color w:val="auto"/>
        </w:rPr>
      </w:pPr>
    </w:p>
    <w:p>
      <w:pPr>
        <w:jc w:val="both"/>
        <w:ind w:left="2220" w:right="779" w:hanging="688"/>
        <w:spacing w:after="0" w:line="259" w:lineRule="auto"/>
        <w:tabs>
          <w:tab w:leader="none" w:pos="2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Policy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hold any hedging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139"/>
          </w:cols>
          <w:pgMar w:left="320" w:top="1440" w:right="1440" w:bottom="1440" w:gutter="0" w:footer="0" w:header="0"/>
        </w:sectPr>
      </w:pPr>
    </w:p>
    <w:bookmarkStart w:id="19" w:name="page20"/>
    <w:bookmarkEnd w:id="19"/>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Compensation Discussion and Analysis provides you with a detailed description of our executive compensation philosophy and programs, the compensation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2021:</w:t>
      </w:r>
    </w:p>
    <w:p>
      <w:pPr>
        <w:spacing w:after="0" w:line="21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A.J. Kazimi, our Chief Executive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Martin E. Cearnal, our Executive Vice President Marketing &amp; Sales and Chief Commercial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Leo B. Pavliv, our Executive Vice President, Operations and Chief Development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James L. Herman, our Executive Vice President National Accounts and Corporate Compliance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John M. Hamm, our Senior Director Accounting &amp; Finance and Chief Financial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Michael P. Bonner, our former Senior Director Accounting &amp; Finance and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 managed through the COVID-19 pandemic in 2021, continuing to operate our business - keeping facilities open and our organization intact.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also maintained our ongoing compliance with the many laws and regulations that apply to us as a publicly traded, pharmaceutical company.</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 brands were negatively impacted by the lockdowns and postponement of physician office visits and elective procedures. However, we are very fortunate to have a diversified product portfolio, with other brands delivering a strong performance.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year include the following:</w:t>
      </w:r>
    </w:p>
    <w:p>
      <w:pPr>
        <w:spacing w:after="0" w:line="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Execution of an agreement to acquire the U.S. rights to Sancuso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8"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FDA approval for the administration of our Caldolor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prior to surgery.</w:t>
      </w:r>
    </w:p>
    <w:p>
      <w:pPr>
        <w:ind w:left="660" w:hanging="328"/>
        <w:spacing w:after="0" w:line="20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Extension of our line of credit for a new three year term with an expansion to a $20 million facility.</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Supported the submission of our Vibativ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for marketing approval in China.</w:t>
      </w:r>
    </w:p>
    <w:p>
      <w:pPr>
        <w:spacing w:after="0" w:line="8"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National launch of our RediTrex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injectable methotrexate products.</w:t>
      </w: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Successful implementation of our co-promotion initiatives to support our Kristalose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Announcement of publications featuring relevant data associated with our Caldolor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Vaprisol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w:t>
      </w:r>
    </w:p>
    <w:p>
      <w:pPr>
        <w:ind w:left="660" w:hanging="328"/>
        <w:spacing w:after="0" w:line="20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Execution of an agreement to establish a new headquarter office facility.</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Completion of an agreement to license and launch Vibativ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Puerto Rico.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executives' compensation is tied to and rewards both Company and individual performance:</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review our programs periodically to ensure that they are appropriate and competitive.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annual agreements for each of our employees that do not have change-of-control features.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generally do not provide 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Role of Advisory Vote on Compensation of our Named Executive Officers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recognizes the fundamental interest our shareholders have in the compensation of our executive officers. At the 2020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long-term goals of the Company.</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2023.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 achieve the following objectives:</w:t>
      </w:r>
    </w:p>
    <w:p>
      <w:pPr>
        <w:spacing w:after="0" w:line="15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shareholders by motivating executive officers to increase shareholder value and rewarding them when shareholder value increases;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 competitive compensation package in which total compensation is primarily determined by company and individual results along with the creation of long term shareholder value;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fairness among the executive management team by recognizing the contributions each executive makes to our success;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our executives so they will manage our business to meet our long-range objectives.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making decisions on setting compensation for our Named Executive Officers, the Compensation Committee considers, among other factors, the importance of their importance to us and the business, the individual's past salary history, market compensation for similar positions and the contributions to be made by the executive officer to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to guide our decisions regarding executive compensation:</w:t>
      </w:r>
    </w:p>
    <w:p>
      <w:pPr>
        <w:spacing w:after="0" w:line="1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compensation packages considering market levels;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performance goals to be achieved that will increase long term value to our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a comprehensive benefits package to all full-time employees;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fair and equitable compensation consistent with experience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Process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and management each play a role in designing our executive compensation program and determining performance levels and associated payouts. The roles of the Compensation Committee and management are carefully determined to reflect best practices.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which is composed entirely of independent directors, oversees our executive compensation program. Each year, the Compensation Committee reviews and approves the elements of compensation for all executive officers, including but not limited to the Named Executive Officers. Our Compensation Committee independently considers appropriate compensation for our Chief Executive Officer ("CEO") during an executive session without the CEO present. Our Compensation Committee meets with the CEO outside the presence of all other executive officers to consider their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CEO annually reviews each other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or the Radford Survey, is considered. Based in part on these recommendations from our CEO, the Compensation Committee approves the annual compensation package of our Named Executive Officers other than our CEO and compensation guidelines for the rest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Marketplace Assessment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making compensation determinations, our Compensation Committee periodically considers published survey data to guide compensation decisions.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reviews data in the Radford Survey of 800 biopharmaceutical companies to determine whether base salary, annual bonuses and long-term equity incentive awards for each of our Named Executive Officers are generally in the range of reported compensation for positions similar to those held by each Named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the Individual Compensation of our Named Executive Officers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then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executive officer’s performance, as well as other factors including the Compensation Committee’s assessment of the executive officer’s past experience, knowledge, future potential and the scope of their responsibilities.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Corporate objectives against which our executive officers are evaluated include growth in shipments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bonuses;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equity incentive compensation;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compensation and benefits including retirement, health and welfare benefits.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the primary role of each compensation element is provided below, followed by a discussion of the individual elements of compensation for the Named Executive Officers, including the CEO, during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above, our Compensation Committee reviews recommendations and determines base salaries for each Named Executive Officer after a review of published survey data, which provides us with a general understanding of the reasonableness and competitiveness of our compensation. We believe the base salaries paid to our executives during 2021 achieved our compensation objectives, compared favorably to market pay levels and were consistent with our goal of providing base salaries that are within the market ranges for similar sized companies in our industry.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the Radford Survey as a benchmarking guide for bonuses as a percentage of base salary, and then considers each executive officer's individual performance to determine bonuses paid in a given year.</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2021, adjustments to our executive officers’ total compensation were made based on an analysis of current market pay levels in the aforementioned Radford Survey. In addition to our analysis of market pay levels, factors taken into account in determining 2021 bonuses included each executive officer's contributions, performance, role and responsibilities and the relationship of the executive officer's base pay to that of other executive officers.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award long-term equity incentive grants to executive officers as part of our total compensation package. These awards are consistent with our pay for performance principles and align the interests of the executive officers with the interests of our shareholders. The Compensation Committee reviews and approves the amount of each award to be granted to executive officers.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or the 1999 Plan, until April 2007, and thereafter pursuant to our 2007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Long-Term Incentive Compensation Plan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purposes of the 2007 Long-Term Incentive Compensation Plan, as amended, or the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2007 Plan authorizes the issuance of each of the following incentives:</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incentive stock options (options that meet Internal Revenue Service requirements for special tax treatment);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nonqualified stock options (all stock options other than incentive stock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appreciation rights (right to receive any excess in fair market value of shares over a specified exercise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stock (shares subject to vesting, transfer and forfeiture limitations);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shares (contingent awards comprised of stock and/or cash and paid only if specified performance goals are met).</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Compensation Committee administers the 2007 Plan. The Compensation Committee is authorized to select participants, determine the type and number of awards to be granted, determine, and later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change-of-control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2007 Plan, all executive officers were granted shares of restricted stock in 2021. These restricted shares will all vest on the fourth anniversary of their grant date. As of December 31, 2021, there were 558,151 shares of unvested restricted stock issued pursuant to the 2007 Plan, which have defined vesting schedules. There were also 238,740 shares of common stock outstanding as of December 31, 2021 that were issued pursuant to the 2007 Plan.</w:t>
      </w:r>
    </w:p>
    <w:p>
      <w:pPr>
        <w:spacing w:after="0" w:line="81" w:lineRule="exact"/>
        <w:rPr>
          <w:sz w:val="20"/>
          <w:szCs w:val="20"/>
          <w:color w:val="auto"/>
        </w:rPr>
      </w:pPr>
    </w:p>
    <w:p>
      <w:pPr>
        <w:ind w:right="1860"/>
        <w:spacing w:after="0" w:line="414" w:lineRule="auto"/>
        <w:rPr>
          <w:sz w:val="20"/>
          <w:szCs w:val="20"/>
          <w:color w:val="auto"/>
        </w:rPr>
      </w:pPr>
      <w:r>
        <w:rPr>
          <w:rFonts w:ascii="Arial" w:cs="Arial" w:eastAsia="Arial" w:hAnsi="Arial"/>
          <w:sz w:val="18"/>
          <w:szCs w:val="18"/>
          <w:color w:val="auto"/>
        </w:rPr>
        <w:t xml:space="preserve">As of December 31, 2021, there were 171,550 outstanding options to purchase shares of common stock pursuant to the 2007 Plan. </w:t>
      </w:r>
      <w:r>
        <w:rPr>
          <w:rFonts w:ascii="Arial" w:cs="Arial" w:eastAsia="Arial" w:hAnsi="Arial"/>
          <w:sz w:val="18"/>
          <w:szCs w:val="18"/>
          <w:b w:val="1"/>
          <w:bCs w:val="1"/>
          <w:color w:val="auto"/>
        </w:rPr>
        <w:t>Retirement Savings Opportunity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generally do not provide perquisites to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2022,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facts to our Board of Directors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terminated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retirement, resignation or other termination or change in control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2012, we put in place a new retirement benefit plan, the Summit Program, for a select group of senior management and key employees. These individuals were selected based on tenure, performance and achievement. We expect to add more individuals to this plan each year. The decision to add individuals to this plan is discretionary and will be subject to the terms of the Summit Program.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in the Retirement Plan section, we do not have any plan that provides for payments or other benefits at, following, or in connection with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Compensation Committee believes that our executive officers made favorable progress in meeting corporate and individual objectives in 2021 and that the progress justified the resulting increases in base salary as well as annual bonuses and equity awards.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managed through the COVID-19 pandemic in 2021, continuing to operate our business - keeping facilities open and our organization intact. We also maintained our ongoing compliance with the many laws and regulations, that apply to us as a publicly traded, pharmaceutical company.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w:t>
      </w:r>
    </w:p>
    <w:p>
      <w:pPr>
        <w:spacing w:after="0" w:line="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brands were negatively impacted by the lockdowns and postponement of physician office visits and elective procedures. However, we are very fortunate to have a diversified product portfolio, with other brands delivering a strong performance.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factors considered by our Compensation Committee in assessing performance of executive officers in 2021 are set forth below:</w:t>
      </w:r>
    </w:p>
    <w:p>
      <w:pPr>
        <w:spacing w:after="0" w:line="181" w:lineRule="exact"/>
        <w:rPr>
          <w:sz w:val="20"/>
          <w:szCs w:val="20"/>
          <w:color w:val="auto"/>
        </w:rPr>
      </w:pPr>
    </w:p>
    <w:p>
      <w:pPr>
        <w:jc w:val="both"/>
        <w:ind w:left="66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b w:val="1"/>
          <w:bCs w:val="1"/>
          <w:color w:val="auto"/>
        </w:rPr>
        <w:t xml:space="preserve">A.J. Kazimi. </w:t>
      </w:r>
      <w:r>
        <w:rPr>
          <w:rFonts w:ascii="Arial" w:cs="Arial" w:eastAsia="Arial" w:hAnsi="Arial"/>
          <w:sz w:val="18"/>
          <w:szCs w:val="18"/>
          <w:color w:val="auto"/>
        </w:rPr>
        <w:t>Since its inception Mr. Kazimi has led the Company's significant corporate initiatives, including our initial public offering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on the Nasdaq Global Select Market. He has raised over $100 million to support the formation, development and growth of the Company. He has developed and guided our strategy to build our commercial portfolio of eight FDA-approved brands. Mr. Kazimi has also led the acquisitions associated with five of our marketed products, as well as the establishment of our co-promotion arrangements. He has overseen the management and growth of our organization including key executive appointments and guided our favorable Acetadote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patent defense, as well as the expansion of our patent portfolio. During 2021, Mr. Kazimi led the evaluation, negotiations and financing associated with the acquisition of the assets associated with the Sancuso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He also led efforts with the Company’s co-promotion and international partners to develop new markets for our brands. During 2021, he oversaw the initiatives to keep the Company’s operations open and further develop the organization during the pandemic.</w:t>
      </w:r>
    </w:p>
    <w:p>
      <w:pPr>
        <w:spacing w:after="0" w:line="176" w:lineRule="exact"/>
        <w:rPr>
          <w:rFonts w:ascii="Arial" w:cs="Arial" w:eastAsia="Arial" w:hAnsi="Arial"/>
          <w:sz w:val="22"/>
          <w:szCs w:val="22"/>
          <w:color w:val="auto"/>
        </w:rPr>
      </w:pPr>
    </w:p>
    <w:p>
      <w:pPr>
        <w:jc w:val="both"/>
        <w:ind w:left="660" w:hanging="328"/>
        <w:spacing w:after="0" w:line="260" w:lineRule="auto"/>
        <w:tabs>
          <w:tab w:leader="none" w:pos="655" w:val="left"/>
        </w:tabs>
        <w:numPr>
          <w:ilvl w:val="0"/>
          <w:numId w:val="19"/>
        </w:numPr>
        <w:rPr>
          <w:rFonts w:ascii="Arial" w:cs="Arial" w:eastAsia="Arial" w:hAnsi="Arial"/>
          <w:sz w:val="19"/>
          <w:szCs w:val="19"/>
          <w:color w:val="auto"/>
        </w:rPr>
      </w:pPr>
      <w:r>
        <w:rPr>
          <w:rFonts w:ascii="Arial" w:cs="Arial" w:eastAsia="Arial" w:hAnsi="Arial"/>
          <w:sz w:val="16"/>
          <w:szCs w:val="16"/>
          <w:b w:val="1"/>
          <w:bCs w:val="1"/>
          <w:color w:val="auto"/>
        </w:rPr>
        <w:t xml:space="preserve">Martin E. Cearnal. </w:t>
      </w:r>
      <w:r>
        <w:rPr>
          <w:rFonts w:ascii="Arial" w:cs="Arial" w:eastAsia="Arial" w:hAnsi="Arial"/>
          <w:sz w:val="16"/>
          <w:szCs w:val="16"/>
          <w:color w:val="auto"/>
        </w:rPr>
        <w:t>Mr. Cearnal was instrumental in the sales of each of our brands in 2021. He oversaw the commercial activities in support of</w:t>
      </w:r>
      <w:r>
        <w:rPr>
          <w:rFonts w:ascii="Arial" w:cs="Arial" w:eastAsia="Arial" w:hAnsi="Arial"/>
          <w:sz w:val="16"/>
          <w:szCs w:val="16"/>
          <w:b w:val="1"/>
          <w:bCs w:val="1"/>
          <w:color w:val="auto"/>
        </w:rPr>
        <w:t xml:space="preserve"> </w:t>
      </w:r>
      <w:r>
        <w:rPr>
          <w:rFonts w:ascii="Arial" w:cs="Arial" w:eastAsia="Arial" w:hAnsi="Arial"/>
          <w:sz w:val="16"/>
          <w:szCs w:val="16"/>
          <w:color w:val="auto"/>
        </w:rPr>
        <w:t>Vibativ</w:t>
      </w:r>
      <w:r>
        <w:rPr>
          <w:rFonts w:ascii="Arial" w:cs="Arial" w:eastAsia="Arial" w:hAnsi="Arial"/>
          <w:sz w:val="20"/>
          <w:szCs w:val="20"/>
          <w:color w:val="auto"/>
          <w:vertAlign w:val="superscript"/>
        </w:rPr>
        <w:t>®</w:t>
      </w:r>
      <w:r>
        <w:rPr>
          <w:rFonts w:ascii="Arial" w:cs="Arial" w:eastAsia="Arial" w:hAnsi="Arial"/>
          <w:sz w:val="16"/>
          <w:szCs w:val="16"/>
          <w:color w:val="auto"/>
        </w:rPr>
        <w:t>, our newest marketed product, which provided a significant contribution to the revenue for the Company during the year. Mr. Cearnal continued to direct strategy for the marketing campaigns and activities to support all of our products and oversaw the ongoing development of our</w:t>
      </w:r>
    </w:p>
    <w:p>
      <w:pPr>
        <w:spacing w:after="0" w:line="7" w:lineRule="exact"/>
        <w:rPr>
          <w:rFonts w:ascii="Arial" w:cs="Arial" w:eastAsia="Arial" w:hAnsi="Arial"/>
          <w:sz w:val="19"/>
          <w:szCs w:val="19"/>
          <w:color w:val="auto"/>
        </w:rPr>
      </w:pPr>
    </w:p>
    <w:p>
      <w:pPr>
        <w:jc w:val="both"/>
        <w:ind w:left="660"/>
        <w:spacing w:after="0" w:line="311" w:lineRule="auto"/>
        <w:rPr>
          <w:rFonts w:ascii="Arial" w:cs="Arial" w:eastAsia="Arial" w:hAnsi="Arial"/>
          <w:sz w:val="19"/>
          <w:szCs w:val="19"/>
          <w:color w:val="auto"/>
        </w:rPr>
      </w:pPr>
      <w:r>
        <w:rPr>
          <w:rFonts w:ascii="Arial" w:cs="Arial" w:eastAsia="Arial" w:hAnsi="Arial"/>
          <w:sz w:val="16"/>
          <w:szCs w:val="16"/>
          <w:color w:val="auto"/>
        </w:rPr>
        <w:t>sales organization in 2021 including the modest expansion of our sales divisions. He has also continued to be a key member of the Company's business development team, supporting the Sancuso acquisition and helping to manage our key relationships with other commercial organizations. Mr. Cearnal supervised the launch of the Company’s next generation Caldolor product and RediTrex line of new methotrexate products.</w:t>
      </w:r>
    </w:p>
    <w:p>
      <w:pPr>
        <w:spacing w:after="0" w:line="117" w:lineRule="exact"/>
        <w:rPr>
          <w:rFonts w:ascii="Arial" w:cs="Arial" w:eastAsia="Arial" w:hAnsi="Arial"/>
          <w:sz w:val="19"/>
          <w:szCs w:val="19"/>
          <w:color w:val="auto"/>
        </w:rPr>
      </w:pPr>
    </w:p>
    <w:p>
      <w:pPr>
        <w:jc w:val="both"/>
        <w:ind w:left="660" w:hanging="328"/>
        <w:spacing w:after="0" w:line="262" w:lineRule="auto"/>
        <w:tabs>
          <w:tab w:leader="none" w:pos="655" w:val="left"/>
        </w:tabs>
        <w:numPr>
          <w:ilvl w:val="0"/>
          <w:numId w:val="19"/>
        </w:numPr>
        <w:rPr>
          <w:rFonts w:ascii="Arial" w:cs="Arial" w:eastAsia="Arial" w:hAnsi="Arial"/>
          <w:sz w:val="21"/>
          <w:szCs w:val="21"/>
          <w:color w:val="auto"/>
        </w:rPr>
      </w:pPr>
      <w:r>
        <w:rPr>
          <w:rFonts w:ascii="Arial" w:cs="Arial" w:eastAsia="Arial" w:hAnsi="Arial"/>
          <w:sz w:val="17"/>
          <w:szCs w:val="17"/>
          <w:b w:val="1"/>
          <w:bCs w:val="1"/>
          <w:color w:val="auto"/>
        </w:rPr>
        <w:t xml:space="preserve">Leo B. Pavliv. </w:t>
      </w:r>
      <w:r>
        <w:rPr>
          <w:rFonts w:ascii="Arial" w:cs="Arial" w:eastAsia="Arial" w:hAnsi="Arial"/>
          <w:sz w:val="17"/>
          <w:szCs w:val="17"/>
          <w:color w:val="auto"/>
        </w:rPr>
        <w:t>Mr. Pavliv provided leadership for the regulatory and clinical development activities of the Company. He also managed our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formulation laboratories and manufacturing partners. He oversaw all of our contract manufacturing facilities assuring a quality review and release for our product batches. Mr. Pavliv led submissions to the FDA resulting in the approval of expanded labeling for Caldolor during the year. During 2021, he oversaw the progress and enrollment in the Company’s series of pipeline candidates in Phase II clinical studies. Mr. Pavliv also managed our medical science liaison and pharmacovigilance capabilities in support of the Company's brands in 2021. He is the inventor for most of the Company’s patents, including those newly issued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67" w:lineRule="exact"/>
        <w:rPr>
          <w:sz w:val="20"/>
          <w:szCs w:val="20"/>
          <w:color w:val="auto"/>
        </w:rPr>
      </w:pPr>
    </w:p>
    <w:p>
      <w:pPr>
        <w:jc w:val="both"/>
        <w:ind w:left="660" w:hanging="328"/>
        <w:spacing w:after="0" w:line="246"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b w:val="1"/>
          <w:bCs w:val="1"/>
          <w:color w:val="auto"/>
        </w:rPr>
        <w:t>James L. Herman</w:t>
      </w:r>
      <w:r>
        <w:rPr>
          <w:rFonts w:ascii="Arial" w:cs="Arial" w:eastAsia="Arial" w:hAnsi="Arial"/>
          <w:sz w:val="18"/>
          <w:szCs w:val="18"/>
          <w:color w:val="auto"/>
        </w:rPr>
        <w:t>. Mr. Herman managed the Company's key customer relationships in 2021 resulting in the continued timely distribution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marketed brands during the year. He oversaw the distribution of our Caldolor next generation product, our RediTrex line of new methotrexate products and our newly packaged Vibativ brand helping with the key transition activities associated with three products. Mr. Herman led the expansion of our national accounts capability and led an initiative to establish accounts with a group of key new customers in support of our Vibativ brand. In addition to these commercial achievements, he continued to lead our corporate compliance efforts which included implementing the initiative to address the product serialization requirements as well as the training, communication and implementation of the Company's compliance policies.</w:t>
      </w:r>
    </w:p>
    <w:p>
      <w:pPr>
        <w:spacing w:after="0" w:line="155" w:lineRule="exact"/>
        <w:rPr>
          <w:rFonts w:ascii="Arial" w:cs="Arial" w:eastAsia="Arial" w:hAnsi="Arial"/>
          <w:sz w:val="22"/>
          <w:szCs w:val="22"/>
          <w:color w:val="auto"/>
        </w:rPr>
      </w:pPr>
    </w:p>
    <w:p>
      <w:pPr>
        <w:jc w:val="both"/>
        <w:ind w:left="660" w:hanging="328"/>
        <w:spacing w:after="0" w:line="267"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7"/>
          <w:szCs w:val="17"/>
          <w:b w:val="1"/>
          <w:bCs w:val="1"/>
          <w:color w:val="auto"/>
        </w:rPr>
        <w:t xml:space="preserve">John Hamm. </w:t>
      </w:r>
      <w:r>
        <w:rPr>
          <w:rFonts w:ascii="Arial" w:cs="Arial" w:eastAsia="Arial" w:hAnsi="Arial"/>
          <w:sz w:val="17"/>
          <w:szCs w:val="17"/>
          <w:color w:val="auto"/>
        </w:rPr>
        <w:t>Mr. Hamm served as the Company’s principal financial officer and was responsible for the Company’s financial systems and</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following his appointment to the position in May of 2021. He then managed our SEC reporting including the filing of our quarterly reports on Form 10-Q during the remainder of the year. Mr. Hamm also led the discussions and related analysis for the acquisition of Sancuso. He helped secure the extension of our line of credit for a new three year term, as well as expansion of that facility to $20 million in order to support our Sancuso transaction. During 2021, he continued to oversee the Company’s business development and legal activities. He was responsible for negotiating the agreement for our new headquarter office facilities. Mr. Hamm also oversaw the reorganization of our accounting and finance department, and managed all the insurance arrangements for the Company during the year.</w:t>
      </w:r>
    </w:p>
    <w:p>
      <w:pPr>
        <w:spacing w:after="0" w:line="139" w:lineRule="exact"/>
        <w:rPr>
          <w:rFonts w:ascii="Arial" w:cs="Arial" w:eastAsia="Arial" w:hAnsi="Arial"/>
          <w:sz w:val="19"/>
          <w:szCs w:val="19"/>
          <w:color w:val="auto"/>
        </w:rPr>
      </w:pPr>
    </w:p>
    <w:p>
      <w:pPr>
        <w:jc w:val="both"/>
        <w:ind w:left="660" w:right="20" w:hanging="328"/>
        <w:spacing w:after="0" w:line="239"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b w:val="1"/>
          <w:bCs w:val="1"/>
          <w:color w:val="auto"/>
        </w:rPr>
        <w:t xml:space="preserve">Michael P. Bonner. </w:t>
      </w:r>
      <w:r>
        <w:rPr>
          <w:rFonts w:ascii="Arial" w:cs="Arial" w:eastAsia="Arial" w:hAnsi="Arial"/>
          <w:sz w:val="18"/>
          <w:szCs w:val="18"/>
          <w:color w:val="auto"/>
        </w:rPr>
        <w:t>Mr. Bonner served as the Company’s principal financial officer until mid-May of 2021, when he departed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pursue other opportunities. Following his departure, Mr. Bonner continued to provide consulting services to support the transition of the Company’s financial and accounting activities to Mr. Hamm.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each of our non-tenured, non-executive director annual compensation includes $50,000 plus 1,000 shares of restricted stock issued pursuant to our 2007 Directors' Incentive Compensation Plan, as amended, or the 2007 Directors’ Plan. Annual compensation for each of our tenured (having completed their first three-year term) non-executive directors for service on the Board of Directors for 2021 was $60,000 plus 1,000 shares of restricted stock.</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their responsibilities and activities, for 2021, the Chairman of our Medical Advisory Board received additional compensation of $35,000, and our Lead Independent Director received an additional 4,000 shares of restricted stock.</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annual compensation for our tenured, non-executive directors for 2022 will be $60,000 plus 1,000 shares of restricted stock issued pursuant to the 2007 Directors' Plan. The Chairman of our Medical Advisory Board will receive additional compensation of $35,000 in 2022 and our Lead Independent Director will receive an additional 4,000 shares of restricted stock.</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Directors' Incentive Compensation Plan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2021, the 2007 Directors’ Plan was amended to extend our ability to make grants thereunder, until April 21, 2026.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2007 Directors' Plan authorizes the issuance to non-employee directors of each of the following types of awards:</w:t>
      </w:r>
    </w:p>
    <w:p>
      <w:pPr>
        <w:spacing w:after="0" w:line="1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nonqualified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stock grants (shares subject to various restrictions and conditions as determined by our Compensation Committee);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grants (awards of shares of our common stock with full and unrestricted ownership rights).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2021, there were no outstanding options to purchase shares of common stock pursuant to the 2007 Directors' Plan. As of December 31, 2021, there were 10,000 shares of unvested restricted stock issued pursuant to the 2007 Directors' Plan which have defined vesting schedules.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reviewed and discussed this Compensation Discussion and Analysis with management. Based on its review of this Compensation Discussion and Analysis and discussions with management, the Committee has recommended to the Board that this Compensation Discussion and Analysis be included in this Proxy Statement.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would like additional information on the responsibilities of the Compensation Committee, please refer to its charter, a copy of which is posted on the Company’s website at </w:t>
      </w:r>
      <w:r>
        <w:rPr>
          <w:rFonts w:ascii="Arial" w:cs="Arial" w:eastAsia="Arial" w:hAnsi="Arial"/>
          <w:sz w:val="18"/>
          <w:szCs w:val="18"/>
          <w:i w:val="1"/>
          <w:iCs w:val="1"/>
          <w:color w:val="auto"/>
        </w:rPr>
        <w:t>www.cumberlandpharma.com</w:t>
      </w:r>
      <w:r>
        <w:rPr>
          <w:rFonts w:ascii="Arial" w:cs="Arial" w:eastAsia="Arial" w:hAnsi="Arial"/>
          <w:sz w:val="18"/>
          <w:szCs w:val="18"/>
          <w:color w:val="auto"/>
        </w:rPr>
        <w:t xml:space="preserve"> and is also available in print to any shareholder who requests 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Compensation Committee</w:t>
      </w:r>
    </w:p>
    <w:p>
      <w:pPr>
        <w:spacing w:after="0" w:line="181" w:lineRule="exact"/>
        <w:rPr>
          <w:sz w:val="20"/>
          <w:szCs w:val="20"/>
          <w:color w:val="auto"/>
        </w:rPr>
      </w:pPr>
    </w:p>
    <w:p>
      <w:pPr>
        <w:ind w:left="580"/>
        <w:spacing w:after="0"/>
        <w:tabs>
          <w:tab w:leader="none" w:pos="3420" w:val="left"/>
          <w:tab w:leader="none" w:pos="6180" w:val="left"/>
        </w:tabs>
        <w:rPr>
          <w:sz w:val="20"/>
          <w:szCs w:val="20"/>
          <w:color w:val="auto"/>
        </w:rPr>
      </w:pPr>
      <w:r>
        <w:rPr>
          <w:rFonts w:ascii="Arial" w:cs="Arial" w:eastAsia="Arial" w:hAnsi="Arial"/>
          <w:sz w:val="18"/>
          <w:szCs w:val="18"/>
          <w:b w:val="1"/>
          <w:bCs w:val="1"/>
          <w:color w:val="auto"/>
        </w:rPr>
        <w:t>Mr. Joseph C. Galante</w:t>
      </w:r>
      <w:r>
        <w:rPr>
          <w:sz w:val="20"/>
          <w:szCs w:val="20"/>
          <w:color w:val="auto"/>
        </w:rPr>
        <w:tab/>
      </w:r>
      <w:r>
        <w:rPr>
          <w:rFonts w:ascii="Arial" w:cs="Arial" w:eastAsia="Arial" w:hAnsi="Arial"/>
          <w:sz w:val="18"/>
          <w:szCs w:val="18"/>
          <w:b w:val="1"/>
          <w:bCs w:val="1"/>
          <w:color w:val="auto"/>
        </w:rPr>
        <w:t>Ms. Caroline R. Young</w:t>
      </w:r>
      <w:r>
        <w:rPr>
          <w:sz w:val="20"/>
          <w:szCs w:val="20"/>
          <w:color w:val="auto"/>
        </w:rPr>
        <w:tab/>
      </w:r>
      <w:r>
        <w:rPr>
          <w:rFonts w:ascii="Arial" w:cs="Arial" w:eastAsia="Arial" w:hAnsi="Arial"/>
          <w:sz w:val="16"/>
          <w:szCs w:val="16"/>
          <w:b w:val="1"/>
          <w:bCs w:val="1"/>
          <w:color w:val="auto"/>
        </w:rPr>
        <w:t>Mr. Kenneth J. Krogulski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compensation for services in all capacities to our company for our fiscal years ended December 31, 2021, 2020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2019 for the Named Executive Officers: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Deferred</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Bonus</w:t>
            </w:r>
          </w:p>
        </w:tc>
        <w:tc>
          <w:tcPr>
            <w:tcW w:w="1120" w:type="dxa"/>
            <w:vAlign w:val="bottom"/>
            <w:vMerge w:val="continue"/>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560" w:type="dxa"/>
            <w:vAlign w:val="bottom"/>
            <w:vMerge w:val="continue"/>
          </w:tcPr>
          <w:p>
            <w:pPr>
              <w:spacing w:after="0"/>
              <w:rPr>
                <w:sz w:val="11"/>
                <w:szCs w:val="11"/>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 (2)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 (3)</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2000" w:type="dxa"/>
            <w:vAlign w:val="bottom"/>
          </w:tcPr>
          <w:p>
            <w:pPr>
              <w:ind w:left="60"/>
              <w:spacing w:after="0"/>
              <w:rPr>
                <w:sz w:val="20"/>
                <w:szCs w:val="20"/>
                <w:color w:val="auto"/>
              </w:rPr>
            </w:pPr>
            <w:r>
              <w:rPr>
                <w:rFonts w:ascii="Arial" w:cs="Arial" w:eastAsia="Arial" w:hAnsi="Arial"/>
                <w:sz w:val="16"/>
                <w:szCs w:val="16"/>
                <w:color w:val="auto"/>
              </w:rPr>
              <w:t>A.J. Kazimi</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610,132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322,000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12,500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1,207,129</w:t>
            </w:r>
          </w:p>
        </w:tc>
        <w:tc>
          <w:tcPr>
            <w:tcW w:w="0" w:type="dxa"/>
            <w:vAlign w:val="bottom"/>
          </w:tcPr>
          <w:p>
            <w:pPr>
              <w:spacing w:after="0"/>
              <w:rPr>
                <w:sz w:val="1"/>
                <w:szCs w:val="1"/>
                <w:color w:val="auto"/>
              </w:rPr>
            </w:pPr>
          </w:p>
        </w:tc>
      </w:tr>
      <w:tr>
        <w:trPr>
          <w:trHeight w:val="183"/>
        </w:trPr>
        <w:tc>
          <w:tcPr>
            <w:tcW w:w="200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5"/>
                <w:szCs w:val="1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589,500</w:t>
            </w:r>
          </w:p>
        </w:tc>
        <w:tc>
          <w:tcPr>
            <w:tcW w:w="280" w:type="dxa"/>
            <w:vAlign w:val="bottom"/>
          </w:tcPr>
          <w:p>
            <w:pPr>
              <w:spacing w:after="0"/>
              <w:rPr>
                <w:sz w:val="15"/>
                <w:szCs w:val="1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195,000</w:t>
            </w:r>
          </w:p>
        </w:tc>
        <w:tc>
          <w:tcPr>
            <w:tcW w:w="260" w:type="dxa"/>
            <w:vAlign w:val="bottom"/>
          </w:tcPr>
          <w:p>
            <w:pPr>
              <w:spacing w:after="0"/>
              <w:rPr>
                <w:sz w:val="15"/>
                <w:szCs w:val="1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356,000</w:t>
            </w:r>
          </w:p>
        </w:tc>
        <w:tc>
          <w:tcPr>
            <w:tcW w:w="540" w:type="dxa"/>
            <w:vAlign w:val="bottom"/>
          </w:tcPr>
          <w:p>
            <w:pPr>
              <w:spacing w:after="0"/>
              <w:rPr>
                <w:sz w:val="15"/>
                <w:szCs w:val="1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12,500</w:t>
            </w:r>
          </w:p>
        </w:tc>
        <w:tc>
          <w:tcPr>
            <w:tcW w:w="560" w:type="dxa"/>
            <w:vAlign w:val="bottom"/>
          </w:tcPr>
          <w:p>
            <w:pPr>
              <w:spacing w:after="0"/>
              <w:rPr>
                <w:sz w:val="15"/>
                <w:szCs w:val="1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2,497</w:t>
            </w:r>
          </w:p>
        </w:tc>
        <w:tc>
          <w:tcPr>
            <w:tcW w:w="2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1,155,497</w:t>
            </w: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0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566,800</w:t>
            </w:r>
          </w:p>
        </w:tc>
        <w:tc>
          <w:tcPr>
            <w:tcW w:w="2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260,000</w:t>
            </w:r>
          </w:p>
        </w:tc>
        <w:tc>
          <w:tcPr>
            <w:tcW w:w="26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598,000</w:t>
            </w:r>
          </w:p>
        </w:tc>
        <w:tc>
          <w:tcPr>
            <w:tcW w:w="5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5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1,477,297</w:t>
            </w:r>
          </w:p>
        </w:tc>
        <w:tc>
          <w:tcPr>
            <w:tcW w:w="0" w:type="dxa"/>
            <w:vAlign w:val="bottom"/>
          </w:tcPr>
          <w:p>
            <w:pPr>
              <w:spacing w:after="0"/>
              <w:rPr>
                <w:sz w:val="1"/>
                <w:szCs w:val="1"/>
                <w:color w:val="auto"/>
              </w:rPr>
            </w:pPr>
          </w:p>
        </w:tc>
      </w:tr>
      <w:tr>
        <w:trPr>
          <w:trHeight w:val="97"/>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Martin E. Cearnal</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336,500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16,100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419,344</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w w:val="98"/>
              </w:rPr>
              <w:t>Executive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325,000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56,000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17,800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10,000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409,544</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Commercial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312,000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29,900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40,000</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462,644</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Leo B. Pavliv</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437,500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16,100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521,844</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w w:val="98"/>
              </w:rPr>
              <w:t>Executive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422,000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67,500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89,000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579,244</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Development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405,600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80,000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149,500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40,000</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675,844</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00" w:type="dxa"/>
            <w:vAlign w:val="bottom"/>
            <w:shd w:val="clear" w:color="auto" w:fill="BFBFBF"/>
          </w:tcPr>
          <w:p>
            <w:pPr>
              <w:spacing w:after="0"/>
              <w:rPr>
                <w:sz w:val="8"/>
                <w:szCs w:val="8"/>
                <w:color w:val="auto"/>
              </w:rPr>
            </w:pPr>
          </w:p>
        </w:tc>
        <w:tc>
          <w:tcPr>
            <w:tcW w:w="62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540" w:type="dxa"/>
            <w:vAlign w:val="bottom"/>
            <w:shd w:val="clear" w:color="auto" w:fill="BFBFBF"/>
          </w:tcPr>
          <w:p>
            <w:pPr>
              <w:spacing w:after="0"/>
              <w:rPr>
                <w:sz w:val="8"/>
                <w:szCs w:val="8"/>
                <w:color w:val="auto"/>
              </w:rPr>
            </w:pPr>
          </w:p>
        </w:tc>
        <w:tc>
          <w:tcPr>
            <w:tcW w:w="940" w:type="dxa"/>
            <w:vAlign w:val="bottom"/>
            <w:shd w:val="clear" w:color="auto" w:fill="BFBFBF"/>
          </w:tcPr>
          <w:p>
            <w:pPr>
              <w:spacing w:after="0"/>
              <w:rPr>
                <w:sz w:val="8"/>
                <w:szCs w:val="8"/>
                <w:color w:val="auto"/>
              </w:rPr>
            </w:pPr>
          </w:p>
        </w:tc>
        <w:tc>
          <w:tcPr>
            <w:tcW w:w="56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James L. Herman</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9,660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15,000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345,308</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w w:val="98"/>
              </w:rPr>
              <w:t>Executive Vice President and</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260,000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14,240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7,500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332,388</w:t>
            </w:r>
          </w:p>
        </w:tc>
        <w:tc>
          <w:tcPr>
            <w:tcW w:w="0" w:type="dxa"/>
            <w:vAlign w:val="bottom"/>
          </w:tcPr>
          <w:p>
            <w:pPr>
              <w:spacing w:after="0"/>
              <w:rPr>
                <w:sz w:val="1"/>
                <w:szCs w:val="1"/>
                <w:color w:val="auto"/>
              </w:rPr>
            </w:pPr>
          </w:p>
        </w:tc>
      </w:tr>
      <w:tr>
        <w:trPr>
          <w:trHeight w:val="116"/>
        </w:trPr>
        <w:tc>
          <w:tcPr>
            <w:tcW w:w="2000" w:type="dxa"/>
            <w:vAlign w:val="bottom"/>
            <w:vMerge w:val="restart"/>
          </w:tcPr>
          <w:p>
            <w:pPr>
              <w:ind w:left="180"/>
              <w:spacing w:after="0"/>
              <w:rPr>
                <w:sz w:val="20"/>
                <w:szCs w:val="20"/>
                <w:color w:val="auto"/>
              </w:rPr>
            </w:pPr>
            <w:r>
              <w:rPr>
                <w:rFonts w:ascii="Arial" w:cs="Arial" w:eastAsia="Arial" w:hAnsi="Arial"/>
                <w:sz w:val="14"/>
                <w:szCs w:val="14"/>
                <w:color w:val="auto"/>
              </w:rPr>
              <w:t>Chief Compliance Officer</w:t>
            </w: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00" w:type="dxa"/>
            <w:vAlign w:val="bottom"/>
            <w:vMerge w:val="continue"/>
          </w:tcPr>
          <w:p>
            <w:pPr>
              <w:spacing w:after="0"/>
              <w:rPr>
                <w:sz w:val="5"/>
                <w:szCs w:val="5"/>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5"/>
                <w:szCs w:val="5"/>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250,000</w:t>
            </w:r>
          </w:p>
        </w:tc>
        <w:tc>
          <w:tcPr>
            <w:tcW w:w="28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55,000</w:t>
            </w:r>
          </w:p>
        </w:tc>
        <w:tc>
          <w:tcPr>
            <w:tcW w:w="260" w:type="dxa"/>
            <w:vAlign w:val="bottom"/>
          </w:tcPr>
          <w:p>
            <w:pPr>
              <w:spacing w:after="0"/>
              <w:rPr>
                <w:sz w:val="5"/>
                <w:szCs w:val="5"/>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17,940</w:t>
            </w:r>
          </w:p>
        </w:tc>
        <w:tc>
          <w:tcPr>
            <w:tcW w:w="540" w:type="dxa"/>
            <w:vAlign w:val="bottom"/>
          </w:tcPr>
          <w:p>
            <w:pPr>
              <w:spacing w:after="0"/>
              <w:rPr>
                <w:sz w:val="5"/>
                <w:szCs w:val="5"/>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30,000</w:t>
            </w:r>
          </w:p>
        </w:tc>
        <w:tc>
          <w:tcPr>
            <w:tcW w:w="560" w:type="dxa"/>
            <w:vAlign w:val="bottom"/>
          </w:tcPr>
          <w:p>
            <w:pPr>
              <w:spacing w:after="0"/>
              <w:rPr>
                <w:sz w:val="5"/>
                <w:szCs w:val="5"/>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353,588</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ACACAC"/>
          </w:tcPr>
          <w:p>
            <w:pPr>
              <w:spacing w:after="0"/>
              <w:rPr>
                <w:sz w:val="8"/>
                <w:szCs w:val="8"/>
                <w:color w:val="auto"/>
              </w:rPr>
            </w:pPr>
          </w:p>
        </w:tc>
        <w:tc>
          <w:tcPr>
            <w:tcW w:w="62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70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540" w:type="dxa"/>
            <w:vAlign w:val="bottom"/>
            <w:shd w:val="clear" w:color="auto" w:fill="ACACAC"/>
          </w:tcPr>
          <w:p>
            <w:pPr>
              <w:spacing w:after="0"/>
              <w:rPr>
                <w:sz w:val="8"/>
                <w:szCs w:val="8"/>
                <w:color w:val="auto"/>
              </w:rPr>
            </w:pPr>
          </w:p>
        </w:tc>
        <w:tc>
          <w:tcPr>
            <w:tcW w:w="940" w:type="dxa"/>
            <w:vAlign w:val="bottom"/>
            <w:shd w:val="clear" w:color="auto" w:fill="ACACAC"/>
          </w:tcPr>
          <w:p>
            <w:pPr>
              <w:spacing w:after="0"/>
              <w:rPr>
                <w:sz w:val="8"/>
                <w:szCs w:val="8"/>
                <w:color w:val="auto"/>
              </w:rPr>
            </w:pPr>
          </w:p>
        </w:tc>
        <w:tc>
          <w:tcPr>
            <w:tcW w:w="560" w:type="dxa"/>
            <w:vAlign w:val="bottom"/>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80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00" w:type="dxa"/>
            <w:vAlign w:val="bottom"/>
          </w:tcPr>
          <w:p>
            <w:pPr>
              <w:ind w:left="180"/>
              <w:spacing w:after="0" w:line="211" w:lineRule="exact"/>
              <w:rPr>
                <w:sz w:val="20"/>
                <w:szCs w:val="20"/>
                <w:color w:val="auto"/>
              </w:rPr>
            </w:pPr>
            <w:r>
              <w:rPr>
                <w:rFonts w:ascii="Arial" w:cs="Arial" w:eastAsia="Arial" w:hAnsi="Arial"/>
                <w:sz w:val="16"/>
                <w:szCs w:val="16"/>
                <w:color w:val="auto"/>
              </w:rPr>
              <w:t>John M. Hamm</w:t>
            </w:r>
            <w:r>
              <w:rPr>
                <w:rFonts w:ascii="Arial" w:cs="Arial" w:eastAsia="Arial" w:hAnsi="Arial"/>
                <w:sz w:val="21"/>
                <w:szCs w:val="21"/>
                <w:color w:val="auto"/>
                <w:vertAlign w:val="superscript"/>
              </w:rPr>
              <w:t>(4)</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177,500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9,660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227,538</w:t>
            </w:r>
          </w:p>
        </w:tc>
        <w:tc>
          <w:tcPr>
            <w:tcW w:w="0" w:type="dxa"/>
            <w:vAlign w:val="bottom"/>
          </w:tcPr>
          <w:p>
            <w:pPr>
              <w:spacing w:after="0"/>
              <w:rPr>
                <w:sz w:val="1"/>
                <w:szCs w:val="1"/>
                <w:color w:val="auto"/>
              </w:rPr>
            </w:pPr>
          </w:p>
        </w:tc>
      </w:tr>
      <w:tr>
        <w:trPr>
          <w:trHeight w:val="140"/>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rPr>
              <w:t>Senior Director of Finance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180"/>
              <w:spacing w:after="0" w:line="135" w:lineRule="exact"/>
              <w:rPr>
                <w:sz w:val="20"/>
                <w:szCs w:val="20"/>
                <w:color w:val="auto"/>
              </w:rPr>
            </w:pPr>
            <w:r>
              <w:rPr>
                <w:rFonts w:ascii="Arial" w:cs="Arial" w:eastAsia="Arial" w:hAnsi="Arial"/>
                <w:sz w:val="14"/>
                <w:szCs w:val="14"/>
                <w:color w:val="auto"/>
              </w:rPr>
              <w:t>and Accounting and Chief</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80"/>
              <w:spacing w:after="0"/>
              <w:rPr>
                <w:sz w:val="20"/>
                <w:szCs w:val="20"/>
                <w:color w:val="auto"/>
              </w:rPr>
            </w:pPr>
            <w:r>
              <w:rPr>
                <w:rFonts w:ascii="Arial" w:cs="Arial" w:eastAsia="Arial" w:hAnsi="Arial"/>
                <w:sz w:val="14"/>
                <w:szCs w:val="14"/>
                <w:color w:val="auto"/>
              </w:rPr>
              <w:t>Financial Officer</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00" w:type="dxa"/>
            <w:vAlign w:val="bottom"/>
            <w:shd w:val="clear" w:color="auto" w:fill="ACACAC"/>
          </w:tcPr>
          <w:p>
            <w:pPr>
              <w:spacing w:after="0"/>
              <w:rPr>
                <w:sz w:val="8"/>
                <w:szCs w:val="8"/>
                <w:color w:val="auto"/>
              </w:rPr>
            </w:pPr>
          </w:p>
        </w:tc>
        <w:tc>
          <w:tcPr>
            <w:tcW w:w="62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70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540" w:type="dxa"/>
            <w:vAlign w:val="bottom"/>
            <w:shd w:val="clear" w:color="auto" w:fill="ACACAC"/>
          </w:tcPr>
          <w:p>
            <w:pPr>
              <w:spacing w:after="0"/>
              <w:rPr>
                <w:sz w:val="8"/>
                <w:szCs w:val="8"/>
                <w:color w:val="auto"/>
              </w:rPr>
            </w:pPr>
          </w:p>
        </w:tc>
        <w:tc>
          <w:tcPr>
            <w:tcW w:w="940" w:type="dxa"/>
            <w:vAlign w:val="bottom"/>
            <w:shd w:val="clear" w:color="auto" w:fill="ACACAC"/>
          </w:tcPr>
          <w:p>
            <w:pPr>
              <w:spacing w:after="0"/>
              <w:rPr>
                <w:sz w:val="8"/>
                <w:szCs w:val="8"/>
                <w:color w:val="auto"/>
              </w:rPr>
            </w:pPr>
          </w:p>
        </w:tc>
        <w:tc>
          <w:tcPr>
            <w:tcW w:w="560" w:type="dxa"/>
            <w:vAlign w:val="bottom"/>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80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60"/>
              <w:spacing w:after="0"/>
              <w:rPr>
                <w:sz w:val="20"/>
                <w:szCs w:val="20"/>
                <w:color w:val="auto"/>
              </w:rPr>
            </w:pPr>
            <w:r>
              <w:rPr>
                <w:rFonts w:ascii="Arial" w:cs="Arial" w:eastAsia="Arial" w:hAnsi="Arial"/>
                <w:sz w:val="16"/>
                <w:szCs w:val="16"/>
                <w:color w:val="auto"/>
              </w:rPr>
              <w:t>Michael P. Bonner</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2021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16,100</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270,815</w:t>
            </w:r>
          </w:p>
        </w:tc>
        <w:tc>
          <w:tcPr>
            <w:tcW w:w="0" w:type="dxa"/>
            <w:vAlign w:val="bottom"/>
          </w:tcPr>
          <w:p>
            <w:pPr>
              <w:spacing w:after="0"/>
              <w:rPr>
                <w:sz w:val="1"/>
                <w:szCs w:val="1"/>
                <w:color w:val="auto"/>
              </w:rPr>
            </w:pPr>
          </w:p>
        </w:tc>
      </w:tr>
      <w:tr>
        <w:trPr>
          <w:trHeight w:val="141"/>
        </w:trPr>
        <w:tc>
          <w:tcPr>
            <w:tcW w:w="2000" w:type="dxa"/>
            <w:vAlign w:val="bottom"/>
          </w:tcPr>
          <w:p>
            <w:pPr>
              <w:ind w:left="180"/>
              <w:spacing w:after="0" w:line="141" w:lineRule="exact"/>
              <w:rPr>
                <w:sz w:val="20"/>
                <w:szCs w:val="20"/>
                <w:color w:val="auto"/>
              </w:rPr>
            </w:pPr>
            <w:r>
              <w:rPr>
                <w:rFonts w:ascii="Arial" w:cs="Arial" w:eastAsia="Arial" w:hAnsi="Arial"/>
                <w:sz w:val="14"/>
                <w:szCs w:val="14"/>
                <w:color w:val="auto"/>
              </w:rPr>
              <w:t>Senior Director of Finance</w:t>
            </w:r>
          </w:p>
        </w:tc>
        <w:tc>
          <w:tcPr>
            <w:tcW w:w="620" w:type="dxa"/>
            <w:vAlign w:val="bottom"/>
            <w:vMerge w:val="restart"/>
          </w:tcPr>
          <w:p>
            <w:pPr>
              <w:jc w:val="right"/>
              <w:ind w:right="59"/>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205,500</w:t>
            </w:r>
          </w:p>
        </w:tc>
        <w:tc>
          <w:tcPr>
            <w:tcW w:w="28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34,500</w:t>
            </w:r>
          </w:p>
        </w:tc>
        <w:tc>
          <w:tcPr>
            <w:tcW w:w="260" w:type="dxa"/>
            <w:vAlign w:val="bottom"/>
          </w:tcPr>
          <w:p>
            <w:pPr>
              <w:spacing w:after="0"/>
              <w:rPr>
                <w:sz w:val="12"/>
                <w:szCs w:val="12"/>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8,900</w:t>
            </w:r>
          </w:p>
        </w:tc>
        <w:tc>
          <w:tcPr>
            <w:tcW w:w="54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6,250</w:t>
            </w:r>
          </w:p>
        </w:tc>
        <w:tc>
          <w:tcPr>
            <w:tcW w:w="56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516</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255,666</w:t>
            </w:r>
          </w:p>
        </w:tc>
        <w:tc>
          <w:tcPr>
            <w:tcW w:w="0" w:type="dxa"/>
            <w:vAlign w:val="bottom"/>
          </w:tcPr>
          <w:p>
            <w:pPr>
              <w:spacing w:after="0"/>
              <w:rPr>
                <w:sz w:val="1"/>
                <w:szCs w:val="1"/>
                <w:color w:val="auto"/>
              </w:rPr>
            </w:pPr>
          </w:p>
        </w:tc>
      </w:tr>
      <w:tr>
        <w:trPr>
          <w:trHeight w:val="135"/>
        </w:trPr>
        <w:tc>
          <w:tcPr>
            <w:tcW w:w="2000" w:type="dxa"/>
            <w:vAlign w:val="bottom"/>
          </w:tcPr>
          <w:p>
            <w:pPr>
              <w:ind w:left="180"/>
              <w:spacing w:after="0" w:line="135" w:lineRule="exact"/>
              <w:rPr>
                <w:sz w:val="20"/>
                <w:szCs w:val="20"/>
                <w:color w:val="auto"/>
              </w:rPr>
            </w:pPr>
            <w:r>
              <w:rPr>
                <w:rFonts w:ascii="Arial" w:cs="Arial" w:eastAsia="Arial" w:hAnsi="Arial"/>
                <w:sz w:val="14"/>
                <w:szCs w:val="14"/>
                <w:color w:val="auto"/>
              </w:rPr>
              <w:t>and Accounting and Chief</w:t>
            </w: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00" w:type="dxa"/>
            <w:vAlign w:val="bottom"/>
          </w:tcPr>
          <w:p>
            <w:pPr>
              <w:ind w:left="180"/>
              <w:spacing w:after="0"/>
              <w:rPr>
                <w:sz w:val="20"/>
                <w:szCs w:val="20"/>
                <w:color w:val="auto"/>
              </w:rPr>
            </w:pPr>
            <w:r>
              <w:rPr>
                <w:rFonts w:ascii="Arial" w:cs="Arial" w:eastAsia="Arial" w:hAnsi="Arial"/>
                <w:sz w:val="14"/>
                <w:szCs w:val="14"/>
                <w:color w:val="auto"/>
              </w:rPr>
              <w:t>Financial Officer</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197,600</w:t>
            </w: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2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14,950</w:t>
            </w:r>
          </w:p>
        </w:tc>
        <w:tc>
          <w:tcPr>
            <w:tcW w:w="5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5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273,066</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1240" w:right="1320" w:hanging="46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fair value of restricted stock awards granted March 17, 2021, equaled $3.22, the closing price of our common stock on the grant date.</w:t>
      </w:r>
    </w:p>
    <w:p>
      <w:pPr>
        <w:spacing w:after="0" w:line="104" w:lineRule="exact"/>
        <w:rPr>
          <w:rFonts w:ascii="Arial" w:cs="Arial" w:eastAsia="Arial" w:hAnsi="Arial"/>
          <w:sz w:val="16"/>
          <w:szCs w:val="16"/>
          <w:color w:val="auto"/>
        </w:rPr>
      </w:pPr>
    </w:p>
    <w:p>
      <w:pPr>
        <w:ind w:left="1240" w:right="1320" w:hanging="46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118" w:lineRule="exact"/>
        <w:rPr>
          <w:rFonts w:ascii="Arial" w:cs="Arial" w:eastAsia="Arial" w:hAnsi="Arial"/>
          <w:sz w:val="16"/>
          <w:szCs w:val="16"/>
          <w:color w:val="auto"/>
        </w:rPr>
      </w:pPr>
    </w:p>
    <w:p>
      <w:pPr>
        <w:ind w:left="1240" w:hanging="46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premiums paid for by the Company with respect to life insurance for the benefit of the Named Executive Officers.</w:t>
      </w:r>
    </w:p>
    <w:p>
      <w:pPr>
        <w:spacing w:after="0" w:line="122" w:lineRule="exact"/>
        <w:rPr>
          <w:rFonts w:ascii="Arial" w:cs="Arial" w:eastAsia="Arial" w:hAnsi="Arial"/>
          <w:sz w:val="16"/>
          <w:szCs w:val="16"/>
          <w:color w:val="auto"/>
        </w:rPr>
      </w:pPr>
    </w:p>
    <w:p>
      <w:pPr>
        <w:ind w:left="1240" w:hanging="46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8"/>
          <w:szCs w:val="18"/>
          <w:color w:val="auto"/>
        </w:rPr>
        <w:t>Mr. Hamm was appointed as the Company's chief financial offer May 17,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For 2021, our last completed fiscal year, the annual total compensation, including salary, bonus, equity awards, and any deferred compensation of:</w:t>
      </w:r>
    </w:p>
    <w:p>
      <w:pPr>
        <w:spacing w:after="0" w:line="16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median employee identified at our company (other than our CEO) had total annual compensation of $127,558;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CEO, as reported in the Summary Compensation Table, for purposes of determining the CEO Pay Ratio had total annual compensation of $1,207,129.</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this information, for 2021, the ratio of the annual total compensation of Mr. Kazimi, our CEO, to the annual total compensation of our median employee was estimated to be 9:1.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27"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identify the median employee, and their annual total compensation, the Company examined its payroll records, for 2021, for all individuals other than the CEO that were employed at December 31, 2021. We determined that our employee population consisted of 85 individuals. Using that employee population, we collected and compared actual base salary, bonus, equity awards and any deferred compensation earned by all employees during 2021. Compensation for employees that began employment during the year was annualized based on rate of pay applied to a full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information regarding our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A.J. Kazimi, Chief Executive Officer. </w:t>
      </w:r>
      <w:r>
        <w:rPr>
          <w:rFonts w:ascii="Arial" w:cs="Arial" w:eastAsia="Arial" w:hAnsi="Arial"/>
          <w:sz w:val="16"/>
          <w:szCs w:val="16"/>
          <w:color w:val="auto"/>
        </w:rPr>
        <w:t>Mr. Kazimi, 63,founded our company in 1999 and has served as the Chairman of our Board of Directors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inception. His career includes 31 years in the biopharmaceutical industry. At Cumberland, he has overseen the development and FDA approval of the company’s Acetadote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Caldolor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Martin E. Cearnal, Executive Vice President and Chief Commercial Officer. </w:t>
      </w:r>
      <w:r>
        <w:rPr>
          <w:rFonts w:ascii="Arial" w:cs="Arial" w:eastAsia="Arial" w:hAnsi="Arial"/>
          <w:sz w:val="17"/>
          <w:szCs w:val="17"/>
          <w:color w:val="auto"/>
        </w:rPr>
        <w:t>Mr. Cearnal, 77, has served as a member of our Board of Directors since 2004.</w:t>
      </w:r>
      <w:r>
        <w:rPr>
          <w:rFonts w:ascii="Arial" w:cs="Arial" w:eastAsia="Arial" w:hAnsi="Arial"/>
          <w:sz w:val="17"/>
          <w:szCs w:val="17"/>
          <w:i w:val="1"/>
          <w:iCs w:val="1"/>
          <w:color w:val="auto"/>
        </w:rPr>
        <w:t xml:space="preserve"> </w:t>
      </w:r>
      <w:r>
        <w:rPr>
          <w:rFonts w:ascii="Arial" w:cs="Arial" w:eastAsia="Arial" w:hAnsi="Arial"/>
          <w:sz w:val="17"/>
          <w:szCs w:val="17"/>
          <w:color w:val="auto"/>
        </w:rPr>
        <w:t>In 2008, he joined our management team to head commercial development for Cumberland, currently serving as Executive Vice President and Chief Commercial Officer. In 2021 Mr. Cearnal was promoted to President, Cumberland Sales Corp while maintaining his role of Chief Commercial Officer for the corporation. He is the former President and Chief Executive Officer of Physicians World, which became the largest provider of continuing medical education during his tenure from 1985 to 2000. Physicians World was acquired by Thomson Healthcare in 2000, and Mr. Cearnal served as President of Thomson Physicians World from 2000 to 2003 and Executive Vice President-Chief Strategy Officer for Thomson Medical Education from 2003 through 2005. He then became Executive Vice President-Chief Strategy Officer for Jobson Medical Information. Mr. Cearnal has over 50 years of experience in the healthcare industry and has been involved with the launches of such noteworthy pharmaceutical products as Lipitor®, Actos®, Intron-A®, Straterra®, Botox® and Humira®. He spent 17 years at Revlon Healthcare in a variety of domestic and international pharmaceutical marketing roles culminating in his position as Vice President, Marketing for International Operations. He has a B.S. degree from Southeast Missouri State University. The board believes Mr. Cearnal brings significant marketing-related knowledge to the Company, which has and will help facilitate successful product launches and marketing plans, among other contributions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881" w:right="3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7"/>
          <w:szCs w:val="17"/>
          <w:i w:val="1"/>
          <w:iCs w:val="1"/>
          <w:color w:val="auto"/>
        </w:rPr>
        <w:t xml:space="preserve">Leo B. Pavliv, R. Ph., Executive Vice President, Operations and Chief Development Officer. </w:t>
      </w:r>
      <w:r>
        <w:rPr>
          <w:rFonts w:ascii="Arial" w:cs="Arial" w:eastAsia="Arial" w:hAnsi="Arial"/>
          <w:sz w:val="17"/>
          <w:szCs w:val="17"/>
          <w:color w:val="auto"/>
        </w:rPr>
        <w:t>Mr. Pavliv, 61, has served as our Vice President,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2003, was named Senior Vice President in 2009 and Chief Development Officer in 2012. He is responsible for Cumberland’s overall drug development, including manufacturing and quality operations, and has over 29 years of experience developing pharmaceutical and biological products. From 1997 to 2003, he worked at Cato Research, a contract research organization, most recently as Vice President of Pharmaceutical Development where he oversaw development of a wide variety of products throughout the development cycle. Prior to 1997, he held various scientific and management positions at both large pharmaceutical and smaller biopharmaceutical firms including Parke-Davis from 1984 to 1986, Agouron Pharmaceuticals from 1992 to 1997, ProCyte from 1989 to 1992, and Interferon Sciences from 1986 to 1989. He is a registered pharmacist (R.Ph.) and is regulatory affairs certified. Mr. Pavliv holds a B.S., Pharmacy, and an M.B.A. from Rutgers University.</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James L. Herman, Senior Vice President and Chief Compliance Officer. </w:t>
      </w:r>
      <w:r>
        <w:rPr>
          <w:rFonts w:ascii="Arial" w:cs="Arial" w:eastAsia="Arial" w:hAnsi="Arial"/>
          <w:sz w:val="18"/>
          <w:szCs w:val="18"/>
          <w:color w:val="auto"/>
        </w:rPr>
        <w:t>Mr. Herman, 65, handles all national accounts sales, including wholesalers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chain buying offices, managed care home offices and federal government accounts. He is also charged with overseeing our corporate compliance efforts. He has been with us since 2003 and has 31 years of pharmaceutical industry experience. From 1998 to 2003, he was with Solvay Pharmaceuticals and served as Director of Managed Care and Director of Trade Affairs and Customer Service. From 1990 to 1998, Mr. Herman was with Schwarz Pharma, where he held national sales leadership positions in National Accounts and Managed Care. He holds a B.S. from Indiana University and an M.B.A. from Cardinal Stritch University.</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John M. Hamm, Senior Director Finance &amp; Accounting and Chief Financial Officer. </w:t>
      </w:r>
      <w:r>
        <w:rPr>
          <w:rFonts w:ascii="Arial" w:cs="Arial" w:eastAsia="Arial" w:hAnsi="Arial"/>
          <w:sz w:val="16"/>
          <w:szCs w:val="16"/>
          <w:color w:val="auto"/>
        </w:rPr>
        <w:t>Mr. Hamm, 65, was appointed as the Senior Director Finance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Chief Financial Officer effective May 17, 2021. Mr. Hamm has over 25 years of finance and accounting experience, with a majority in the health care industry. Prior to initially joining Cumberland in 2019, Mr. Hamm was CFO, Partner of Tatum, LLC from 2010 to 2019. He previously held the positions of Chief Operating Officer and Chief Financial Officer, Pharmacy at HealthSpring, Inc., a managed care organization currently operating as Cigna-HealthSpring. Prior to that he was Vice President Finance at Emdeon Business Services. Emdeon Inc., a healthcare technology firm that now operates as Change Healthcare Inc., a NASDAQ listed company with over $3 billion in annual revenue. Mr. Hamm has a Bachelor of Science in Business Administration with a minor in Accounting from Wheeling University. He earned his Master’s in Business Administration with an emphasis in Accounting from the University of West Virginia. He is a Certified Management Accountant (CMA) and Certified Financial Manager (CFM).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895"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grants of plan-based awards we granted to our Named Executive Officers during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Exercise or Base</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Awards:</w:t>
            </w:r>
          </w:p>
        </w:tc>
        <w:tc>
          <w:tcPr>
            <w:tcW w:w="1380" w:type="dxa"/>
            <w:vAlign w:val="bottom"/>
            <w:vMerge w:val="continue"/>
          </w:tcPr>
          <w:p>
            <w:pPr>
              <w:spacing w:after="0"/>
              <w:rPr>
                <w:sz w:val="14"/>
                <w:szCs w:val="14"/>
                <w:color w:val="auto"/>
              </w:rPr>
            </w:pPr>
          </w:p>
        </w:tc>
        <w:tc>
          <w:tcPr>
            <w:tcW w:w="180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jc w:val="center"/>
              <w:ind w:left="17"/>
              <w:spacing w:after="0" w:line="162" w:lineRule="exact"/>
              <w:rPr>
                <w:sz w:val="20"/>
                <w:szCs w:val="20"/>
                <w:color w:val="auto"/>
              </w:rPr>
            </w:pPr>
            <w:r>
              <w:rPr>
                <w:rFonts w:ascii="Arial" w:cs="Arial" w:eastAsia="Arial" w:hAnsi="Arial"/>
                <w:sz w:val="16"/>
                <w:szCs w:val="16"/>
                <w:b w:val="1"/>
                <w:bCs w:val="1"/>
                <w:color w:val="auto"/>
                <w:w w:val="91"/>
              </w:rPr>
              <w:t>Awards:</w:t>
            </w: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Numbers of</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Price of Option</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Name</w:t>
            </w:r>
          </w:p>
        </w:tc>
        <w:tc>
          <w:tcPr>
            <w:tcW w:w="152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Grant Date</w:t>
            </w:r>
          </w:p>
        </w:tc>
        <w:tc>
          <w:tcPr>
            <w:tcW w:w="1440" w:type="dxa"/>
            <w:vAlign w:val="bottom"/>
          </w:tcPr>
          <w:p>
            <w:pPr>
              <w:jc w:val="center"/>
              <w:ind w:left="17"/>
              <w:spacing w:after="0" w:line="162" w:lineRule="exact"/>
              <w:rPr>
                <w:sz w:val="20"/>
                <w:szCs w:val="20"/>
                <w:color w:val="auto"/>
              </w:rPr>
            </w:pPr>
            <w:r>
              <w:rPr>
                <w:rFonts w:ascii="Arial" w:cs="Arial" w:eastAsia="Arial" w:hAnsi="Arial"/>
                <w:sz w:val="16"/>
                <w:szCs w:val="16"/>
                <w:b w:val="1"/>
                <w:bCs w:val="1"/>
                <w:color w:val="auto"/>
                <w:w w:val="92"/>
              </w:rPr>
              <w:t>Numbers of</w:t>
            </w:r>
          </w:p>
        </w:tc>
        <w:tc>
          <w:tcPr>
            <w:tcW w:w="13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Incentive Stock</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Awards</w:t>
            </w:r>
          </w:p>
        </w:tc>
        <w:tc>
          <w:tcPr>
            <w:tcW w:w="240" w:type="dxa"/>
            <w:vAlign w:val="bottom"/>
          </w:tcPr>
          <w:p>
            <w:pPr>
              <w:spacing w:after="0"/>
              <w:rPr>
                <w:sz w:val="14"/>
                <w:szCs w:val="14"/>
                <w:color w:val="auto"/>
              </w:rPr>
            </w:pPr>
          </w:p>
        </w:tc>
        <w:tc>
          <w:tcPr>
            <w:tcW w:w="156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0"/>
              </w:rPr>
              <w:t>of Stock and Option</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center"/>
              <w:ind w:left="17"/>
              <w:spacing w:after="0"/>
              <w:rPr>
                <w:sz w:val="20"/>
                <w:szCs w:val="20"/>
                <w:color w:val="auto"/>
              </w:rPr>
            </w:pPr>
            <w:r>
              <w:rPr>
                <w:rFonts w:ascii="Arial" w:cs="Arial" w:eastAsia="Arial" w:hAnsi="Arial"/>
                <w:sz w:val="16"/>
                <w:szCs w:val="16"/>
                <w:b w:val="1"/>
                <w:bCs w:val="1"/>
                <w:color w:val="auto"/>
                <w:w w:val="87"/>
              </w:rPr>
              <w:t>Shares of Stock</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3"/>
              </w:rPr>
              <w:t>Awards</w:t>
            </w:r>
          </w:p>
        </w:tc>
        <w:tc>
          <w:tcPr>
            <w:tcW w:w="0" w:type="dxa"/>
            <w:vAlign w:val="bottom"/>
          </w:tcPr>
          <w:p>
            <w:pPr>
              <w:spacing w:after="0"/>
              <w:rPr>
                <w:sz w:val="1"/>
                <w:szCs w:val="1"/>
                <w:color w:val="auto"/>
              </w:rPr>
            </w:pPr>
          </w:p>
        </w:tc>
      </w:tr>
      <w:tr>
        <w:trPr>
          <w:trHeight w:val="373"/>
        </w:trPr>
        <w:tc>
          <w:tcPr>
            <w:tcW w:w="1960" w:type="dxa"/>
            <w:vAlign w:val="bottom"/>
          </w:tcPr>
          <w:p>
            <w:pPr>
              <w:ind w:left="100"/>
              <w:spacing w:after="0"/>
              <w:rPr>
                <w:sz w:val="20"/>
                <w:szCs w:val="20"/>
                <w:color w:val="auto"/>
              </w:rPr>
            </w:pPr>
            <w:r>
              <w:rPr>
                <w:rFonts w:ascii="Arial" w:cs="Arial" w:eastAsia="Arial" w:hAnsi="Arial"/>
                <w:sz w:val="18"/>
                <w:szCs w:val="18"/>
                <w:color w:val="auto"/>
              </w:rPr>
              <w:t>A. J. Kazimi</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jc w:val="right"/>
              <w:ind w:right="77"/>
              <w:spacing w:after="0"/>
              <w:rPr>
                <w:sz w:val="20"/>
                <w:szCs w:val="20"/>
                <w:color w:val="auto"/>
              </w:rPr>
            </w:pPr>
            <w:r>
              <w:rPr>
                <w:rFonts w:ascii="Arial" w:cs="Arial" w:eastAsia="Arial" w:hAnsi="Arial"/>
                <w:sz w:val="18"/>
                <w:szCs w:val="18"/>
                <w:color w:val="auto"/>
              </w:rPr>
              <w:t>12,000</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38,640</w:t>
            </w:r>
          </w:p>
        </w:tc>
        <w:tc>
          <w:tcPr>
            <w:tcW w:w="0" w:type="dxa"/>
            <w:vAlign w:val="bottom"/>
          </w:tcPr>
          <w:p>
            <w:pPr>
              <w:spacing w:after="0"/>
              <w:rPr>
                <w:sz w:val="1"/>
                <w:szCs w:val="1"/>
                <w:color w:val="auto"/>
              </w:rPr>
            </w:pPr>
          </w:p>
        </w:tc>
      </w:tr>
      <w:tr>
        <w:trPr>
          <w:trHeight w:val="230"/>
        </w:trPr>
        <w:tc>
          <w:tcPr>
            <w:tcW w:w="1960" w:type="dxa"/>
            <w:vAlign w:val="bottom"/>
          </w:tcPr>
          <w:p>
            <w:pPr>
              <w:ind w:left="100"/>
              <w:spacing w:after="0"/>
              <w:rPr>
                <w:sz w:val="20"/>
                <w:szCs w:val="20"/>
                <w:color w:val="auto"/>
              </w:rPr>
            </w:pPr>
            <w:r>
              <w:rPr>
                <w:rFonts w:ascii="Arial" w:cs="Arial" w:eastAsia="Arial" w:hAnsi="Arial"/>
                <w:sz w:val="18"/>
                <w:szCs w:val="18"/>
                <w:color w:val="auto"/>
              </w:rPr>
              <w:t>A. J. Kazimi</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88,000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283,360</w:t>
            </w:r>
          </w:p>
        </w:tc>
        <w:tc>
          <w:tcPr>
            <w:tcW w:w="0" w:type="dxa"/>
            <w:vAlign w:val="bottom"/>
          </w:tcPr>
          <w:p>
            <w:pPr>
              <w:spacing w:after="0"/>
              <w:rPr>
                <w:sz w:val="1"/>
                <w:szCs w:val="1"/>
                <w:color w:val="auto"/>
              </w:rPr>
            </w:pPr>
          </w:p>
        </w:tc>
      </w:tr>
      <w:tr>
        <w:trPr>
          <w:trHeight w:val="229"/>
        </w:trPr>
        <w:tc>
          <w:tcPr>
            <w:tcW w:w="1960" w:type="dxa"/>
            <w:vAlign w:val="bottom"/>
          </w:tcPr>
          <w:p>
            <w:pPr>
              <w:ind w:left="100"/>
              <w:spacing w:after="0"/>
              <w:rPr>
                <w:sz w:val="20"/>
                <w:szCs w:val="20"/>
                <w:color w:val="auto"/>
              </w:rPr>
            </w:pPr>
            <w:r>
              <w:rPr>
                <w:rFonts w:ascii="Arial" w:cs="Arial" w:eastAsia="Arial" w:hAnsi="Arial"/>
                <w:sz w:val="18"/>
                <w:szCs w:val="18"/>
                <w:color w:val="auto"/>
              </w:rPr>
              <w:t>Martin E. Cearnal</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29"/>
        </w:trPr>
        <w:tc>
          <w:tcPr>
            <w:tcW w:w="1960" w:type="dxa"/>
            <w:vAlign w:val="bottom"/>
          </w:tcPr>
          <w:p>
            <w:pPr>
              <w:ind w:left="100"/>
              <w:spacing w:after="0"/>
              <w:rPr>
                <w:sz w:val="20"/>
                <w:szCs w:val="20"/>
                <w:color w:val="auto"/>
              </w:rPr>
            </w:pPr>
            <w:r>
              <w:rPr>
                <w:rFonts w:ascii="Arial" w:cs="Arial" w:eastAsia="Arial" w:hAnsi="Arial"/>
                <w:sz w:val="18"/>
                <w:szCs w:val="18"/>
                <w:color w:val="auto"/>
              </w:rPr>
              <w:t>Leo B. Pavliv</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30"/>
        </w:trPr>
        <w:tc>
          <w:tcPr>
            <w:tcW w:w="1960" w:type="dxa"/>
            <w:vAlign w:val="bottom"/>
          </w:tcPr>
          <w:p>
            <w:pPr>
              <w:ind w:left="100"/>
              <w:spacing w:after="0"/>
              <w:rPr>
                <w:sz w:val="20"/>
                <w:szCs w:val="20"/>
                <w:color w:val="auto"/>
              </w:rPr>
            </w:pPr>
            <w:r>
              <w:rPr>
                <w:rFonts w:ascii="Arial" w:cs="Arial" w:eastAsia="Arial" w:hAnsi="Arial"/>
                <w:sz w:val="18"/>
                <w:szCs w:val="18"/>
                <w:color w:val="auto"/>
              </w:rPr>
              <w:t>James L. Herman</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29"/>
        </w:trPr>
        <w:tc>
          <w:tcPr>
            <w:tcW w:w="1960" w:type="dxa"/>
            <w:vAlign w:val="bottom"/>
          </w:tcPr>
          <w:p>
            <w:pPr>
              <w:ind w:left="120"/>
              <w:spacing w:after="0"/>
              <w:rPr>
                <w:sz w:val="20"/>
                <w:szCs w:val="20"/>
                <w:color w:val="auto"/>
              </w:rPr>
            </w:pPr>
            <w:r>
              <w:rPr>
                <w:rFonts w:ascii="Arial" w:cs="Arial" w:eastAsia="Arial" w:hAnsi="Arial"/>
                <w:sz w:val="18"/>
                <w:szCs w:val="18"/>
                <w:color w:val="auto"/>
              </w:rPr>
              <w:t>John M. Hamm</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30"/>
        </w:trPr>
        <w:tc>
          <w:tcPr>
            <w:tcW w:w="1960" w:type="dxa"/>
            <w:vAlign w:val="bottom"/>
          </w:tcPr>
          <w:p>
            <w:pPr>
              <w:ind w:left="120"/>
              <w:spacing w:after="0"/>
              <w:rPr>
                <w:sz w:val="20"/>
                <w:szCs w:val="20"/>
                <w:color w:val="auto"/>
              </w:rPr>
            </w:pPr>
            <w:r>
              <w:rPr>
                <w:rFonts w:ascii="Arial" w:cs="Arial" w:eastAsia="Arial" w:hAnsi="Arial"/>
                <w:sz w:val="18"/>
                <w:szCs w:val="18"/>
                <w:color w:val="auto"/>
              </w:rPr>
              <w:t>Michael P. Bonner</w:t>
            </w:r>
          </w:p>
        </w:tc>
        <w:tc>
          <w:tcPr>
            <w:tcW w:w="1520" w:type="dxa"/>
            <w:vAlign w:val="bottom"/>
          </w:tcPr>
          <w:p>
            <w:pPr>
              <w:ind w:left="500"/>
              <w:spacing w:after="0"/>
              <w:rPr>
                <w:sz w:val="20"/>
                <w:szCs w:val="20"/>
                <w:color w:val="auto"/>
              </w:rPr>
            </w:pPr>
            <w:r>
              <w:rPr>
                <w:rFonts w:ascii="Arial" w:cs="Arial" w:eastAsia="Arial" w:hAnsi="Arial"/>
                <w:sz w:val="18"/>
                <w:szCs w:val="18"/>
                <w:color w:val="auto"/>
              </w:rPr>
              <w:t>03/17/2021</w:t>
            </w:r>
          </w:p>
        </w:tc>
        <w:tc>
          <w:tcPr>
            <w:tcW w:w="1440" w:type="dxa"/>
            <w:vAlign w:val="bottom"/>
          </w:tcPr>
          <w:p>
            <w:pPr>
              <w:spacing w:after="0"/>
              <w:rPr>
                <w:sz w:val="20"/>
                <w:szCs w:val="20"/>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unvested stock and unexercised option awards held by our Named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w w:val="93"/>
              </w:rPr>
              <w:t>Option Awards</w:t>
            </w:r>
          </w:p>
        </w:tc>
        <w:tc>
          <w:tcPr>
            <w:tcW w:w="1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92"/>
              </w:rPr>
              <w:t>Number of Shares or</w:t>
            </w:r>
          </w:p>
        </w:tc>
        <w:tc>
          <w:tcPr>
            <w:tcW w:w="120" w:type="dxa"/>
            <w:vAlign w:val="bottom"/>
          </w:tcPr>
          <w:p>
            <w:pPr>
              <w:spacing w:after="0"/>
              <w:rPr>
                <w:sz w:val="13"/>
                <w:szCs w:val="13"/>
                <w:color w:val="auto"/>
              </w:rPr>
            </w:pPr>
          </w:p>
        </w:tc>
        <w:tc>
          <w:tcPr>
            <w:tcW w:w="1400" w:type="dxa"/>
            <w:vAlign w:val="bottom"/>
          </w:tcPr>
          <w:p>
            <w:pPr>
              <w:jc w:val="center"/>
              <w:ind w:right="31"/>
              <w:spacing w:after="0" w:line="158" w:lineRule="exact"/>
              <w:rPr>
                <w:sz w:val="20"/>
                <w:szCs w:val="20"/>
                <w:color w:val="auto"/>
              </w:rPr>
            </w:pPr>
            <w:r>
              <w:rPr>
                <w:rFonts w:ascii="Arial" w:cs="Arial" w:eastAsia="Arial" w:hAnsi="Arial"/>
                <w:sz w:val="16"/>
                <w:szCs w:val="16"/>
                <w:b w:val="1"/>
                <w:bCs w:val="1"/>
                <w:color w:val="auto"/>
                <w:w w:val="94"/>
              </w:rPr>
              <w:t>Market Value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Option Exercise</w:t>
            </w:r>
          </w:p>
        </w:tc>
        <w:tc>
          <w:tcPr>
            <w:tcW w:w="142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Option</w:t>
            </w: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w w:val="89"/>
              </w:rPr>
              <w:t>Shares or Units of</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Underlying Unexercised</w:t>
            </w: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Units of Stock That</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Stock That Have Not</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Options (#) Exercisable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Price ($)</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Expiration Date</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Have Not Vested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Vested ($)</w:t>
            </w:r>
          </w:p>
        </w:tc>
        <w:tc>
          <w:tcPr>
            <w:tcW w:w="0" w:type="dxa"/>
            <w:vAlign w:val="bottom"/>
          </w:tcPr>
          <w:p>
            <w:pPr>
              <w:spacing w:after="0"/>
              <w:rPr>
                <w:sz w:val="1"/>
                <w:szCs w:val="1"/>
                <w:color w:val="auto"/>
              </w:rPr>
            </w:pPr>
          </w:p>
        </w:tc>
      </w:tr>
      <w:tr>
        <w:trPr>
          <w:trHeight w:val="37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 xml:space="preserve">A. J. Kazimi </w:t>
            </w:r>
            <w:r>
              <w:rPr>
                <w:rFonts w:ascii="Arial" w:cs="Arial" w:eastAsia="Arial" w:hAnsi="Arial"/>
                <w:sz w:val="23"/>
                <w:szCs w:val="23"/>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56,040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283,360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467,000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467,000</w:t>
            </w:r>
          </w:p>
        </w:tc>
        <w:tc>
          <w:tcPr>
            <w:tcW w:w="0" w:type="dxa"/>
            <w:vAlign w:val="bottom"/>
          </w:tcPr>
          <w:p>
            <w:pPr>
              <w:spacing w:after="0"/>
              <w:rPr>
                <w:sz w:val="1"/>
                <w:szCs w:val="1"/>
                <w:color w:val="auto"/>
              </w:rPr>
            </w:pPr>
          </w:p>
        </w:tc>
      </w:tr>
      <w:tr>
        <w:trPr>
          <w:trHeight w:val="94"/>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Martin E. Cearnal </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95"/>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Leo B. Pavliv </w:t>
            </w:r>
            <w:r>
              <w:rPr>
                <w:rFonts w:ascii="Arial" w:cs="Arial" w:eastAsia="Arial" w:hAnsi="Arial"/>
                <w:sz w:val="23"/>
                <w:szCs w:val="23"/>
                <w:color w:val="auto"/>
                <w:vertAlign w:val="superscript"/>
              </w:rPr>
              <w:t>(3)</w:t>
            </w: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116,750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95"/>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James L. Herman </w:t>
            </w:r>
            <w:r>
              <w:rPr>
                <w:rFonts w:ascii="Arial" w:cs="Arial" w:eastAsia="Arial" w:hAnsi="Arial"/>
                <w:sz w:val="23"/>
                <w:szCs w:val="23"/>
                <w:color w:val="auto"/>
                <w:vertAlign w:val="superscript"/>
              </w:rPr>
              <w:t>(4)</w:t>
            </w: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14,010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7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240" w:type="dxa"/>
            <w:vAlign w:val="bottom"/>
            <w:shd w:val="clear" w:color="auto" w:fill="BFBFBF"/>
          </w:tcPr>
          <w:p>
            <w:pPr>
              <w:spacing w:after="0"/>
              <w:rPr>
                <w:sz w:val="9"/>
                <w:szCs w:val="9"/>
                <w:color w:val="auto"/>
              </w:rPr>
            </w:pPr>
          </w:p>
        </w:tc>
        <w:tc>
          <w:tcPr>
            <w:tcW w:w="106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60" w:type="dxa"/>
            <w:vAlign w:val="bottom"/>
            <w:shd w:val="clear" w:color="auto" w:fill="BFBFBF"/>
          </w:tcPr>
          <w:p>
            <w:pPr>
              <w:spacing w:after="0"/>
              <w:rPr>
                <w:sz w:val="9"/>
                <w:szCs w:val="9"/>
                <w:color w:val="auto"/>
              </w:rPr>
            </w:pPr>
          </w:p>
        </w:tc>
        <w:tc>
          <w:tcPr>
            <w:tcW w:w="160" w:type="dxa"/>
            <w:vAlign w:val="bottom"/>
            <w:shd w:val="clear" w:color="auto" w:fill="BFBFBF"/>
          </w:tcPr>
          <w:p>
            <w:pPr>
              <w:spacing w:after="0"/>
              <w:rPr>
                <w:sz w:val="9"/>
                <w:szCs w:val="9"/>
                <w:color w:val="auto"/>
              </w:rPr>
            </w:pPr>
          </w:p>
        </w:tc>
        <w:tc>
          <w:tcPr>
            <w:tcW w:w="150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0" w:type="dxa"/>
            <w:vAlign w:val="bottom"/>
            <w:shd w:val="clear" w:color="auto" w:fill="BFBFBF"/>
          </w:tcPr>
          <w:p>
            <w:pPr>
              <w:spacing w:after="0"/>
              <w:rPr>
                <w:sz w:val="9"/>
                <w:szCs w:val="9"/>
                <w:color w:val="auto"/>
              </w:rPr>
            </w:pPr>
          </w:p>
        </w:tc>
        <w:tc>
          <w:tcPr>
            <w:tcW w:w="140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John M. Hamm </w:t>
            </w:r>
            <w:r>
              <w:rPr>
                <w:rFonts w:ascii="Arial" w:cs="Arial" w:eastAsia="Arial" w:hAnsi="Arial"/>
                <w:sz w:val="23"/>
                <w:szCs w:val="23"/>
                <w:color w:val="auto"/>
                <w:vertAlign w:val="superscript"/>
              </w:rPr>
              <w:t>(5)</w:t>
            </w: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360" w:hanging="380"/>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J. Kazimi:</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12,000 shares of restricted stock granted on March 17, 2021; 100% vesed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88,000 shares of ISOs granted on March 17, 2021; 100% vested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100,000 shares of restricted stock granted on March 20, 2018; 100% vested on March 20, 2022.</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Martin E. Cearnal:</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 shares of ISOs granted on March 17, 2021; 100% vested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20, 2018; 100% vested on March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891" w:right="339" w:bottom="1440" w:gutter="0" w:footer="0" w:header="0"/>
        </w:sectPr>
      </w:pPr>
    </w:p>
    <w:bookmarkStart w:id="33" w:name="page34"/>
    <w:bookmarkEnd w:id="33"/>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Leo B. Pavliv:</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5,000 shares of ISOs granted on March 17, 2021: 100% vested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8,500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5,000 shares of restricted stock granted on March 20, 2018; 100% vested on March 20, 2022.</w:t>
      </w:r>
    </w:p>
    <w:p>
      <w:pPr>
        <w:spacing w:after="0" w:line="9" w:lineRule="exact"/>
        <w:rPr>
          <w:rFonts w:ascii="Arial" w:cs="Arial" w:eastAsia="Arial" w:hAnsi="Arial"/>
          <w:sz w:val="18"/>
          <w:szCs w:val="18"/>
          <w:color w:val="auto"/>
        </w:rPr>
      </w:pPr>
    </w:p>
    <w:p>
      <w:pPr>
        <w:ind w:left="1420" w:hanging="440"/>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James L. Herman:</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3,000 shares of ISOs granted on March 17, 2021: 100% vested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4,000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3,000 shares of restricted stock granted on March 18, 2019; 100% vested on March 18, 2023.</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6,000 shares of restricted stock granted on March 20, 2018; 100% vested on March 20, 2022.</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John M. Hamm:</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3,000 shares of ISOs granted on March 17, 2021: 100% vested on March 17, 2025.</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1,500 shares of restricted stock granted on March 23, 2020; 100% vested on March 23, 2024.</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1,500 shares of restricted stock granted on November 27, 2019; 100% vested on November 27,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 awards and vesting of stock awards held by our Named Executive Officers during the fiscal year ended December 31, 2021:</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316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b w:val="1"/>
                <w:bCs w:val="1"/>
                <w:color w:val="auto"/>
              </w:rPr>
              <w:t>Option Awards</w:t>
            </w: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Stock Awards</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Number of Shares</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Value Realized on</w:t>
            </w: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Number of Shares</w:t>
            </w: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Value Realized on</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Acquired on Exercise</w:t>
            </w:r>
          </w:p>
        </w:tc>
        <w:tc>
          <w:tcPr>
            <w:tcW w:w="1500" w:type="dxa"/>
            <w:vAlign w:val="bottom"/>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Acquired on Vesting</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380" w:type="dxa"/>
            <w:vAlign w:val="bottom"/>
          </w:tcPr>
          <w:p>
            <w:pPr>
              <w:spacing w:after="0"/>
              <w:rPr>
                <w:sz w:val="18"/>
                <w:szCs w:val="18"/>
                <w:color w:val="auto"/>
              </w:rPr>
            </w:pPr>
          </w:p>
        </w:tc>
        <w:tc>
          <w:tcPr>
            <w:tcW w:w="1080" w:type="dxa"/>
            <w:vAlign w:val="bottom"/>
          </w:tcPr>
          <w:p>
            <w:pPr>
              <w:jc w:val="center"/>
              <w:ind w:right="211"/>
              <w:spacing w:after="0"/>
              <w:rPr>
                <w:sz w:val="20"/>
                <w:szCs w:val="20"/>
                <w:color w:val="auto"/>
              </w:rPr>
            </w:pPr>
            <w:r>
              <w:rPr>
                <w:rFonts w:ascii="Arial" w:cs="Arial" w:eastAsia="Arial" w:hAnsi="Arial"/>
                <w:sz w:val="16"/>
                <w:szCs w:val="16"/>
                <w:b w:val="1"/>
                <w:bCs w:val="1"/>
                <w:color w:val="auto"/>
                <w:w w:val="90"/>
              </w:rPr>
              <w:t>Vesting ($)</w:t>
            </w:r>
          </w:p>
        </w:tc>
        <w:tc>
          <w:tcPr>
            <w:tcW w:w="0" w:type="dxa"/>
            <w:vAlign w:val="bottom"/>
          </w:tcPr>
          <w:p>
            <w:pPr>
              <w:spacing w:after="0"/>
              <w:rPr>
                <w:sz w:val="1"/>
                <w:szCs w:val="1"/>
                <w:color w:val="auto"/>
              </w:rPr>
            </w:pPr>
          </w:p>
        </w:tc>
      </w:tr>
      <w:tr>
        <w:trPr>
          <w:trHeight w:val="100"/>
        </w:trPr>
        <w:tc>
          <w:tcPr>
            <w:tcW w:w="35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60"/>
              <w:spacing w:after="0"/>
              <w:rPr>
                <w:sz w:val="20"/>
                <w:szCs w:val="20"/>
                <w:color w:val="auto"/>
              </w:rPr>
            </w:pPr>
            <w:r>
              <w:rPr>
                <w:rFonts w:ascii="Arial" w:cs="Arial" w:eastAsia="Arial" w:hAnsi="Arial"/>
                <w:sz w:val="18"/>
                <w:szCs w:val="18"/>
                <w:color w:val="auto"/>
              </w:rPr>
              <w:t>A.J. Kazimi</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62,650</w:t>
            </w:r>
          </w:p>
        </w:tc>
        <w:tc>
          <w:tcPr>
            <w:tcW w:w="3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29"/>
        </w:trPr>
        <w:tc>
          <w:tcPr>
            <w:tcW w:w="3500" w:type="dxa"/>
            <w:vAlign w:val="bottom"/>
          </w:tcPr>
          <w:p>
            <w:pPr>
              <w:ind w:left="60"/>
              <w:spacing w:after="0"/>
              <w:rPr>
                <w:sz w:val="20"/>
                <w:szCs w:val="20"/>
                <w:color w:val="auto"/>
              </w:rPr>
            </w:pPr>
            <w:r>
              <w:rPr>
                <w:rFonts w:ascii="Arial" w:cs="Arial" w:eastAsia="Arial" w:hAnsi="Arial"/>
                <w:sz w:val="18"/>
                <w:szCs w:val="18"/>
                <w:color w:val="auto"/>
              </w:rPr>
              <w:t>Martin E. Cearnal</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8,655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27,869</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Leo B. Pavliv</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7,130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22,959</w:t>
            </w:r>
          </w:p>
        </w:tc>
        <w:tc>
          <w:tcPr>
            <w:tcW w:w="0" w:type="dxa"/>
            <w:vAlign w:val="bottom"/>
          </w:tcPr>
          <w:p>
            <w:pPr>
              <w:spacing w:after="0"/>
              <w:rPr>
                <w:sz w:val="1"/>
                <w:szCs w:val="1"/>
                <w:color w:val="auto"/>
              </w:rPr>
            </w:pPr>
          </w:p>
        </w:tc>
      </w:tr>
      <w:tr>
        <w:trPr>
          <w:trHeight w:val="229"/>
        </w:trPr>
        <w:tc>
          <w:tcPr>
            <w:tcW w:w="3500" w:type="dxa"/>
            <w:vAlign w:val="bottom"/>
          </w:tcPr>
          <w:p>
            <w:pPr>
              <w:ind w:left="60"/>
              <w:spacing w:after="0"/>
              <w:rPr>
                <w:sz w:val="20"/>
                <w:szCs w:val="20"/>
                <w:color w:val="auto"/>
              </w:rPr>
            </w:pPr>
            <w:r>
              <w:rPr>
                <w:rFonts w:ascii="Arial" w:cs="Arial" w:eastAsia="Arial" w:hAnsi="Arial"/>
                <w:sz w:val="18"/>
                <w:szCs w:val="18"/>
                <w:color w:val="auto"/>
              </w:rPr>
              <w:t>James L. Herman</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3,440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John M. Hamm</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080" w:type="dxa"/>
            <w:vAlign w:val="bottom"/>
          </w:tcPr>
          <w:p>
            <w:pPr>
              <w:jc w:val="center"/>
              <w:ind w:right="2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Arial" w:cs="Arial" w:eastAsia="Arial" w:hAnsi="Arial"/>
                <w:sz w:val="18"/>
                <w:szCs w:val="18"/>
                <w:color w:val="auto"/>
              </w:rPr>
              <w:t>Michael P. Bonner</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1,433</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Aggregate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Executive</w:t>
            </w:r>
          </w:p>
        </w:tc>
        <w:tc>
          <w:tcPr>
            <w:tcW w:w="1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Registrant</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Aggregate Earnings</w:t>
            </w:r>
          </w:p>
        </w:tc>
        <w:tc>
          <w:tcPr>
            <w:tcW w:w="180" w:type="dxa"/>
            <w:vAlign w:val="bottom"/>
          </w:tcPr>
          <w:p>
            <w:pPr>
              <w:spacing w:after="0"/>
              <w:rPr>
                <w:sz w:val="11"/>
                <w:szCs w:val="11"/>
                <w:color w:val="auto"/>
              </w:rPr>
            </w:pPr>
          </w:p>
        </w:tc>
        <w:tc>
          <w:tcPr>
            <w:tcW w:w="144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7"/>
              </w:rPr>
              <w:t>Withdrawals /</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Distributions</w:t>
            </w:r>
          </w:p>
        </w:tc>
        <w:tc>
          <w:tcPr>
            <w:tcW w:w="12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8"/>
              </w:rPr>
              <w:t>Aggregate Balance</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 xml:space="preserve">Contributions </w:t>
            </w:r>
            <w:r>
              <w:rPr>
                <w:rFonts w:ascii="Arial" w:cs="Arial" w:eastAsia="Arial" w:hAnsi="Arial"/>
                <w:sz w:val="9"/>
                <w:szCs w:val="9"/>
                <w:b w:val="1"/>
                <w:bCs w:val="1"/>
                <w:color w:val="auto"/>
                <w:w w:val="97"/>
              </w:rPr>
              <w:t>(1)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/Forfeitures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A.J. Kazimi</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17,137</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175,792</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Martin E. Cearnal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948,236</w:t>
            </w:r>
          </w:p>
        </w:tc>
        <w:tc>
          <w:tcPr>
            <w:tcW w:w="0" w:type="dxa"/>
            <w:vAlign w:val="bottom"/>
          </w:tcPr>
          <w:p>
            <w:pPr>
              <w:spacing w:after="0"/>
              <w:rPr>
                <w:sz w:val="1"/>
                <w:szCs w:val="1"/>
                <w:color w:val="auto"/>
              </w:rPr>
            </w:pPr>
          </w:p>
        </w:tc>
      </w:tr>
      <w:tr>
        <w:trPr>
          <w:trHeight w:val="229"/>
        </w:trPr>
        <w:tc>
          <w:tcPr>
            <w:tcW w:w="3260" w:type="dxa"/>
            <w:vAlign w:val="bottom"/>
            <w:gridSpan w:val="2"/>
          </w:tcPr>
          <w:p>
            <w:pPr>
              <w:ind w:left="80"/>
              <w:spacing w:after="0"/>
              <w:rPr>
                <w:sz w:val="20"/>
                <w:szCs w:val="20"/>
                <w:color w:val="auto"/>
              </w:rPr>
            </w:pPr>
            <w:r>
              <w:rPr>
                <w:rFonts w:ascii="Arial" w:cs="Arial" w:eastAsia="Arial" w:hAnsi="Arial"/>
                <w:sz w:val="18"/>
                <w:szCs w:val="18"/>
                <w:color w:val="auto"/>
              </w:rPr>
              <w:t>Leo B. Pavliv</w:t>
            </w:r>
          </w:p>
        </w:tc>
        <w:tc>
          <w:tcPr>
            <w:tcW w:w="1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164,321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1,053,722</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James L. Herman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454,780</w:t>
            </w:r>
          </w:p>
        </w:tc>
        <w:tc>
          <w:tcPr>
            <w:tcW w:w="0" w:type="dxa"/>
            <w:vAlign w:val="bottom"/>
          </w:tcPr>
          <w:p>
            <w:pPr>
              <w:spacing w:after="0"/>
              <w:rPr>
                <w:sz w:val="1"/>
                <w:szCs w:val="1"/>
                <w:color w:val="auto"/>
              </w:rPr>
            </w:pPr>
          </w:p>
        </w:tc>
      </w:tr>
      <w:tr>
        <w:trPr>
          <w:trHeight w:val="229"/>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John M. Hamm</w:t>
            </w:r>
          </w:p>
        </w:tc>
        <w:tc>
          <w:tcPr>
            <w:tcW w:w="1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51,518</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Michael P. Bonner</w:t>
            </w:r>
          </w:p>
        </w:tc>
        <w:tc>
          <w:tcPr>
            <w:tcW w:w="1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w w:val="90"/>
              </w:rPr>
              <w:t>(146,701)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The registrant contributions are included as a component of the summary compensation table while the</w:t>
      </w:r>
    </w:p>
    <w:p>
      <w:pPr>
        <w:jc w:val="both"/>
        <w:ind w:left="2340" w:right="1760" w:hanging="486"/>
        <w:spacing w:after="0"/>
        <w:tabs>
          <w:tab w:leader="none" w:pos="2340" w:val="left"/>
        </w:tabs>
        <w:numPr>
          <w:ilvl w:val="0"/>
          <w:numId w:val="26"/>
        </w:numPr>
        <w:rPr>
          <w:rFonts w:ascii="Arial" w:cs="Arial" w:eastAsia="Arial" w:hAnsi="Arial"/>
          <w:sz w:val="30"/>
          <w:szCs w:val="30"/>
          <w:color w:val="auto"/>
          <w:vertAlign w:val="subscript"/>
        </w:rPr>
      </w:pPr>
      <w:r>
        <w:rPr>
          <w:rFonts w:ascii="Arial" w:cs="Arial" w:eastAsia="Arial" w:hAnsi="Arial"/>
          <w:sz w:val="14"/>
          <w:szCs w:val="14"/>
          <w:color w:val="auto"/>
        </w:rPr>
        <w:t>aggregate earnings are excluded from the summary compensation table. The registrant contributions, in previous years, were included in total compensation for the Named Executive Officers in the Summary Compensation table.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aggregate information as of December 31, 2021, with respect to shares of our common stock that may be issued under our existing equity compensation plans:</w:t>
      </w:r>
    </w:p>
    <w:p>
      <w:pPr>
        <w:spacing w:after="0" w:line="90"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w:t>
            </w:r>
          </w:p>
        </w:tc>
        <w:tc>
          <w:tcPr>
            <w:tcW w:w="2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(b)</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1"/>
              </w:rPr>
              <w:t>Number of Securities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Remaining Available for Future</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0"/>
              </w:rPr>
              <w:t>Number of Shares to Be Issued</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Weighted-Average Exercise</w:t>
            </w: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Issuance Under Equity</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Compensation Plans (Excluding</w:t>
            </w:r>
          </w:p>
        </w:tc>
        <w:tc>
          <w:tcPr>
            <w:tcW w:w="0" w:type="dxa"/>
            <w:vAlign w:val="bottom"/>
          </w:tcPr>
          <w:p>
            <w:pPr>
              <w:spacing w:after="0"/>
              <w:rPr>
                <w:sz w:val="1"/>
                <w:szCs w:val="1"/>
                <w:color w:val="auto"/>
              </w:rPr>
            </w:pPr>
          </w:p>
        </w:tc>
      </w:tr>
      <w:tr>
        <w:trPr>
          <w:trHeight w:val="162"/>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60" w:type="dxa"/>
            <w:vAlign w:val="bottom"/>
            <w:vMerge w:val="restart"/>
          </w:tcPr>
          <w:p>
            <w:pPr>
              <w:spacing w:after="0"/>
              <w:rPr>
                <w:sz w:val="14"/>
                <w:szCs w:val="14"/>
                <w:color w:val="auto"/>
              </w:rPr>
            </w:pPr>
          </w:p>
        </w:tc>
        <w:tc>
          <w:tcPr>
            <w:tcW w:w="2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Upon Exercise of Outstanding</w:t>
            </w:r>
          </w:p>
        </w:tc>
        <w:tc>
          <w:tcPr>
            <w:tcW w:w="2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Price of Outstanding Options,</w:t>
            </w:r>
          </w:p>
        </w:tc>
        <w:tc>
          <w:tcPr>
            <w:tcW w:w="2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 Warrants and Rights</w:t>
            </w:r>
          </w:p>
        </w:tc>
        <w:tc>
          <w:tcPr>
            <w:tcW w:w="14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Warrants and Rights</w:t>
            </w:r>
          </w:p>
        </w:tc>
        <w:tc>
          <w:tcPr>
            <w:tcW w:w="16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(a))</w:t>
            </w:r>
          </w:p>
        </w:tc>
        <w:tc>
          <w:tcPr>
            <w:tcW w:w="0" w:type="dxa"/>
            <w:vAlign w:val="bottom"/>
          </w:tcPr>
          <w:p>
            <w:pPr>
              <w:spacing w:after="0"/>
              <w:rPr>
                <w:sz w:val="1"/>
                <w:szCs w:val="1"/>
                <w:color w:val="auto"/>
              </w:rPr>
            </w:pPr>
          </w:p>
        </w:tc>
      </w:tr>
      <w:tr>
        <w:trPr>
          <w:trHeight w:val="320"/>
        </w:trPr>
        <w:tc>
          <w:tcPr>
            <w:tcW w:w="362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w:t>
            </w: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none</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none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9"/>
              </w:rPr>
              <w:t>420,188</w:t>
            </w: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2400" w:type="dxa"/>
            <w:vAlign w:val="bottom"/>
            <w:gridSpan w:val="2"/>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gridSpan w:val="2"/>
          </w:tcPr>
          <w:p>
            <w:pPr>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none</w:t>
            </w:r>
          </w:p>
        </w:tc>
        <w:tc>
          <w:tcPr>
            <w:tcW w:w="24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4"/>
              </w:rPr>
              <w:t>none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9"/>
              </w:rPr>
              <w:t>none</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2400" w:type="dxa"/>
            <w:vAlign w:val="bottom"/>
            <w:gridSpan w:val="2"/>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none</w:t>
            </w:r>
          </w:p>
        </w:tc>
        <w:tc>
          <w:tcPr>
            <w:tcW w:w="14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none</w:t>
            </w:r>
          </w:p>
        </w:tc>
        <w:tc>
          <w:tcPr>
            <w:tcW w:w="16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420,188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Director Compensation Table</w:t>
      </w:r>
    </w:p>
    <w:p>
      <w:pPr>
        <w:spacing w:after="0" w:line="1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information regarding the aggregate compensation we paid to the members of our Board of Directors during the fiscal year ended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Arial" w:cs="Arial" w:eastAsia="Arial" w:hAnsi="Arial"/>
                <w:sz w:val="16"/>
                <w:szCs w:val="16"/>
                <w:b w:val="1"/>
                <w:bCs w:val="1"/>
                <w:color w:val="auto"/>
              </w:rPr>
              <w:t>Fees Earned or Paid in</w:t>
            </w:r>
          </w:p>
        </w:tc>
        <w:tc>
          <w:tcPr>
            <w:tcW w:w="180" w:type="dxa"/>
            <w:vAlign w:val="bottom"/>
          </w:tcPr>
          <w:p>
            <w:pPr>
              <w:spacing w:after="0"/>
              <w:rPr>
                <w:sz w:val="16"/>
                <w:szCs w:val="16"/>
                <w:color w:val="auto"/>
              </w:rPr>
            </w:pPr>
          </w:p>
        </w:tc>
        <w:tc>
          <w:tcPr>
            <w:tcW w:w="152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5"/>
              </w:rPr>
              <w:t>Stock Awards ($)</w:t>
            </w:r>
          </w:p>
        </w:tc>
        <w:tc>
          <w:tcPr>
            <w:tcW w:w="6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Option Awards ($)</w:t>
            </w:r>
          </w:p>
        </w:tc>
        <w:tc>
          <w:tcPr>
            <w:tcW w:w="6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Cash</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Joey A. Jacobs</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15,700 </w:t>
            </w: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90,700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Dr. Gordon R. Bernard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123,750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Jonathan I. Griggs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3,140 </w:t>
            </w: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22,740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Caroline R. Young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3,140 </w:t>
            </w: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Arial" w:cs="Arial" w:eastAsia="Arial" w:hAnsi="Arial"/>
                <w:sz w:val="18"/>
                <w:szCs w:val="18"/>
                <w:color w:val="auto"/>
              </w:rPr>
              <w:t>Kenneth J. Krogulski</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3,140 </w:t>
            </w:r>
            <w:r>
              <w:rPr>
                <w:rFonts w:ascii="Arial" w:cs="Arial" w:eastAsia="Arial" w:hAnsi="Arial"/>
                <w:sz w:val="16"/>
                <w:szCs w:val="16"/>
                <w:color w:val="auto"/>
              </w:rPr>
              <w:t>(4)</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20"/>
              <w:spacing w:after="0"/>
              <w:rPr>
                <w:sz w:val="20"/>
                <w:szCs w:val="20"/>
                <w:color w:val="auto"/>
              </w:rPr>
            </w:pPr>
            <w:r>
              <w:rPr>
                <w:rFonts w:ascii="Arial" w:cs="Arial" w:eastAsia="Arial" w:hAnsi="Arial"/>
                <w:sz w:val="18"/>
                <w:szCs w:val="18"/>
                <w:color w:val="auto"/>
              </w:rPr>
              <w:t>James R. Jones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3,140 </w:t>
            </w: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(5)</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20"/>
              <w:spacing w:after="0"/>
              <w:rPr>
                <w:sz w:val="20"/>
                <w:szCs w:val="20"/>
                <w:color w:val="auto"/>
              </w:rPr>
            </w:pPr>
            <w:r>
              <w:rPr>
                <w:rFonts w:ascii="Arial" w:cs="Arial" w:eastAsia="Arial" w:hAnsi="Arial"/>
                <w:sz w:val="18"/>
                <w:szCs w:val="18"/>
                <w:color w:val="auto"/>
              </w:rPr>
              <w:t>Joseph C. Galante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400"/>
              <w:spacing w:after="0"/>
              <w:rPr>
                <w:sz w:val="20"/>
                <w:szCs w:val="20"/>
                <w:color w:val="auto"/>
              </w:rPr>
            </w:pPr>
            <w:r>
              <w:rPr>
                <w:rFonts w:ascii="Arial" w:cs="Arial" w:eastAsia="Arial" w:hAnsi="Arial"/>
                <w:sz w:val="18"/>
                <w:szCs w:val="18"/>
                <w:color w:val="auto"/>
              </w:rPr>
              <w:t xml:space="preserve">3,140 </w:t>
            </w:r>
            <w:r>
              <w:rPr>
                <w:rFonts w:ascii="Arial" w:cs="Arial" w:eastAsia="Arial" w:hAnsi="Arial"/>
                <w:sz w:val="16"/>
                <w:szCs w:val="16"/>
                <w:color w:val="auto"/>
              </w:rPr>
              <w:t>(6)</w:t>
            </w:r>
          </w:p>
        </w:tc>
        <w:tc>
          <w:tcPr>
            <w:tcW w:w="160" w:type="dxa"/>
            <w:vAlign w:val="bottom"/>
          </w:tcPr>
          <w:p>
            <w:pPr>
              <w:spacing w:after="0"/>
              <w:rPr>
                <w:sz w:val="20"/>
                <w:szCs w:val="20"/>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(6)</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75,640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00" w:right="1460" w:hanging="440"/>
        <w:spacing w:after="0" w:line="235"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 Jacobs had 5,000 shares of restricted stock outstanding.</w:t>
      </w:r>
    </w:p>
    <w:p>
      <w:pPr>
        <w:spacing w:after="0" w:line="94" w:lineRule="exact"/>
        <w:rPr>
          <w:rFonts w:ascii="Arial" w:cs="Arial" w:eastAsia="Arial" w:hAnsi="Arial"/>
          <w:sz w:val="18"/>
          <w:szCs w:val="18"/>
          <w:color w:val="auto"/>
        </w:rPr>
      </w:pPr>
    </w:p>
    <w:p>
      <w:pPr>
        <w:ind w:left="1200" w:right="1460" w:hanging="440"/>
        <w:spacing w:after="0" w:line="235"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 Griggs had 1,000 shares of restricted stock outstanding.</w:t>
      </w:r>
    </w:p>
    <w:p>
      <w:pPr>
        <w:spacing w:after="0" w:line="94"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Mrs. Young had 1,000 shares of restricted stock outstanding.</w:t>
      </w:r>
    </w:p>
    <w:p>
      <w:pPr>
        <w:spacing w:after="0" w:line="53"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 Krogulski had 1,000 shares of restricted stock outstanding.</w:t>
      </w:r>
    </w:p>
    <w:p>
      <w:pPr>
        <w:spacing w:after="0" w:line="53"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 Jones had 1,000 shares of restricted stock outstanding.</w:t>
      </w:r>
    </w:p>
    <w:p>
      <w:pPr>
        <w:spacing w:after="0" w:line="94" w:lineRule="exact"/>
        <w:rPr>
          <w:rFonts w:ascii="Arial" w:cs="Arial" w:eastAsia="Arial" w:hAnsi="Arial"/>
          <w:sz w:val="18"/>
          <w:szCs w:val="18"/>
          <w:color w:val="auto"/>
        </w:rPr>
      </w:pPr>
    </w:p>
    <w:p>
      <w:pPr>
        <w:ind w:left="1200" w:right="1460" w:hanging="353"/>
        <w:spacing w:after="0" w:line="235" w:lineRule="auto"/>
        <w:tabs>
          <w:tab w:leader="none" w:pos="1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March 23, 2021, restricted shares were awarded with a grant-date fair value of $3.14 per share. As of December 31, 2021, Mr. Galante had 1,000 shares of restricted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89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as defined, in accordance with the Securities Exchange Act of 1934, as amended, (the "Exchange Act").</w:t>
      </w:r>
    </w:p>
    <w:p>
      <w:pPr>
        <w:spacing w:after="0" w:line="11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held four meetings during fiscal year 2021, each which with full attendance by each director. Each director also attended all meetings held by all the standing committees of the Board on which such director served during 2021. While the Company currently has no formal policy with respect to the attendance of members of the Board of Directors at annual meetings, all directors did attend our 2021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affirmatively determined whether each director is independent in accordance with the Nasdaq Global Select Market rules and listing standards. The Board has affirmatively determined that each of Messrs. Jacobs, Jones, Krogulski, Galante, Dr. Bernard and Ms. Young each qualifies as an independent non-employee director with no relationship that would interfere with the exercise of independent judgment in carrying out the responsibilities of a director.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Leadership Structure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business of the Company is managed under the direction of the Board of Directors, which is elected by the Company’s shareholders. The basic responsibility of the Board of Directors is to lead the Company by exercising its business judgment to act in what each director reasonably believes to be the best interests of the Company and its shareholders. Leadership is important to facilitate the Board of Directors acting effectively as a working group so that the Company and its performance may benefit. The role of the Chairman includes providing continuous feedback on the direction, performance and strategy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these positions and the most effective means of leveraging these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strategic and operational objectives, while maintaining effective oversight and objective evaluation of the performance of the Company. The Board of Directors also has a Lead Independent Director, who chairs meetings and discussions of the independent members of the Board of Directors during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Oversight of Risk</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Assessing and managing risk is the responsibility of the Company’s management,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 The full Board reviews the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931" w:right="33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Board of Directors has instructed the Audit Committee to meet periodically with our management and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is currently comprised of Mr. James R. Jones, Chairman,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four times during fiscal year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determined by the Compensation Committee to be necessary or appropriate.</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currently consists of Mr. Joseph C. Galante, Chairman, Ms. Caroline R. Young and Mr. Kenneth Krogulski.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twice during fiscal year 2021.</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members of the Compensation Committee are set forth above. The Compensation Committee is made up entirely of independent directors and no member of the Compensation Committee was an officer or employee of the Company during 2021, a former officer of the Company or had any relationship during 2021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Governance &amp; Nominating Committee (the "Governance Committee"), the members of which are currently, Mr. Joey A. Jacobs, Chairman, Dr. Gordon R. Bernard and Ms. Caroline R. Young,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084" w:right="339" w:bottom="1440" w:gutter="0" w:footer="0" w:header="0"/>
        </w:sectPr>
      </w:pPr>
    </w:p>
    <w:bookmarkStart w:id="38" w:name="page39"/>
    <w:bookmarkEnd w:id="38"/>
    <w:p>
      <w:pPr>
        <w:jc w:val="both"/>
        <w:spacing w:after="0" w:line="289" w:lineRule="auto"/>
        <w:rPr>
          <w:sz w:val="20"/>
          <w:szCs w:val="20"/>
          <w:color w:val="auto"/>
        </w:rPr>
      </w:pPr>
      <w:r>
        <w:rPr>
          <w:rFonts w:ascii="Arial" w:cs="Arial" w:eastAsia="Arial" w:hAnsi="Arial"/>
          <w:sz w:val="16"/>
          <w:szCs w:val="16"/>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2525 West End Avenue, Suite 950,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and proxy statement released to shareholders in connection with the prior year’s annual meeting. The Governance Committee did not receive any such recommendations for our 2022 Annual Meeting.</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all other available information.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whether to include a shareholder recommendation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the consent to serve as a director.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Governance Committee recommended, and the Board of Directors approved the inclusion of Dr. Gordon R. Bernard, Mr. Joseph C. Galante and Mr. A.J. Kazimi on the Company’s proxy card for election to the Board of Directors at the 2022 Annual Meeting based on the aforementioned review process. In doing so, the Governance Committee has affirmatively determined that Dr. Bernard and Mr. Galante are “independent” under Nasdaq listing standards and SEC rules and regulations.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Report</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2021, we released our second annual Sustainability Report (the "2020 Sustainability Report"), which details Cumberland’s activities pertaining to our environmental, social and governance (“ESG”) matters. We remain committed to sustainability and to maintaining transparency of our corporate operations. We also hold ourselves to high standards of ethical practices and understand the importance of recognizing and addressing our impact on our constituents, the community and the environment. During 2021 Caroline R. Young continued in her role as our lead ESG director.</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2020 Sustainability Report notes that during that year we provided nearly 2.5 million patient doses of our products, safely disposed of over 4,000 pounds of expired and damaged products and had no product recalls. We also had no Company brands listed on the FDA’s MedWatch Safety Alerts for Human Medical Products, no Company product issues identified by FDA from their Adverse Event Reporting System and no clinical trials terminated due to failure to practice good clinical standards. The 2020 Sustainability Report also highlights our investment in our employees through our continuing education programs, employee development initiatives and employee recognition awards. We reported that women represented 46% of Cumberland’s workforce – and 18% of our employees were minorities.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084" w:right="339"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i w:val="1"/>
          <w:iCs w:val="1"/>
          <w:color w:val="auto"/>
        </w:rPr>
        <w:t>Code of Business Conduct and Ethics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Arial" w:cs="Arial" w:eastAsia="Arial" w:hAnsi="Arial"/>
          <w:sz w:val="17"/>
          <w:szCs w:val="17"/>
          <w:u w:val="single" w:color="auto"/>
          <w:color w:val="auto"/>
        </w:rPr>
        <w:t>www.cumberlandpharma.com</w:t>
      </w:r>
      <w:r>
        <w:rPr>
          <w:rFonts w:ascii="Arial" w:cs="Arial" w:eastAsia="Arial" w:hAnsi="Arial"/>
          <w:sz w:val="17"/>
          <w:szCs w:val="17"/>
          <w:color w:val="auto"/>
        </w:rPr>
        <w:t>. Or, to obtain a copy the Code of Business Conduct and Ethics, without charge, any person may submit a written request to Cumberland Pharmaceuticals Inc., 2525 West End Avenue, Suite 950, Nashville, Tennessee 37203 Attention: Corporate Secretary.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Person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Committee’s charter charges it with the responsibility to review and approve any proposed transaction between the Company and any related person, as defined in Item 404 of Regulation S-K. Since January 1, 2021, there have been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Currently, no director or executive officer, to our knowledge, is a party to any material legal proceeding adverse to the interests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no director or executive officer has a material interest in a material proceeding adverse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Communications with the Board</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shareholder can communicate with all directors or with specified directors by sending correspondence to our Corporate Secretary at 2525 West End Avenue, Suite 950, Nashville, Tennessee 37203. All such letters will be forwarded to the entire Board or to the Director(s) specified by the shareholder.</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If you would like additional information on the responsibilities of the Governance &amp; Nominating Committee, please refer to its charter, a copy of which is posted on the Company’s website at </w:t>
      </w:r>
      <w:r>
        <w:rPr>
          <w:rFonts w:ascii="Arial" w:cs="Arial" w:eastAsia="Arial" w:hAnsi="Arial"/>
          <w:sz w:val="17"/>
          <w:szCs w:val="17"/>
          <w:i w:val="1"/>
          <w:iCs w:val="1"/>
          <w:color w:val="auto"/>
        </w:rPr>
        <w:t>www.cumberlandpharma.com</w:t>
      </w:r>
      <w:r>
        <w:rPr>
          <w:rFonts w:ascii="Arial" w:cs="Arial" w:eastAsia="Arial" w:hAnsi="Arial"/>
          <w:sz w:val="17"/>
          <w:szCs w:val="17"/>
          <w:color w:val="auto"/>
        </w:rPr>
        <w:t xml:space="preserve"> and is also available in print to any shareholder who requests 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Governance &amp; Nominating Committee</w:t>
      </w:r>
    </w:p>
    <w:p>
      <w:pPr>
        <w:spacing w:after="0" w:line="181" w:lineRule="exact"/>
        <w:rPr>
          <w:sz w:val="20"/>
          <w:szCs w:val="20"/>
          <w:color w:val="auto"/>
        </w:rPr>
      </w:pPr>
    </w:p>
    <w:p>
      <w:pPr>
        <w:ind w:left="20"/>
        <w:spacing w:after="0"/>
        <w:tabs>
          <w:tab w:leader="none" w:pos="2200" w:val="left"/>
          <w:tab w:leader="none" w:pos="4920" w:val="left"/>
        </w:tabs>
        <w:rPr>
          <w:sz w:val="20"/>
          <w:szCs w:val="20"/>
          <w:color w:val="auto"/>
        </w:rPr>
      </w:pPr>
      <w:r>
        <w:rPr>
          <w:rFonts w:ascii="Arial" w:cs="Arial" w:eastAsia="Arial" w:hAnsi="Arial"/>
          <w:sz w:val="18"/>
          <w:szCs w:val="18"/>
          <w:b w:val="1"/>
          <w:bCs w:val="1"/>
          <w:color w:val="auto"/>
        </w:rPr>
        <w:t>Mr. Joey A. Jacobs</w:t>
      </w:r>
      <w:r>
        <w:rPr>
          <w:sz w:val="20"/>
          <w:szCs w:val="20"/>
          <w:color w:val="auto"/>
        </w:rPr>
        <w:tab/>
      </w:r>
      <w:r>
        <w:rPr>
          <w:rFonts w:ascii="Arial" w:cs="Arial" w:eastAsia="Arial" w:hAnsi="Arial"/>
          <w:sz w:val="18"/>
          <w:szCs w:val="18"/>
          <w:b w:val="1"/>
          <w:bCs w:val="1"/>
          <w:color w:val="auto"/>
        </w:rPr>
        <w:t>Dr. Gordon R. Bernard</w:t>
      </w:r>
      <w:r>
        <w:rPr>
          <w:sz w:val="20"/>
          <w:szCs w:val="20"/>
          <w:color w:val="auto"/>
        </w:rPr>
        <w:tab/>
      </w:r>
      <w:r>
        <w:rPr>
          <w:rFonts w:ascii="Arial" w:cs="Arial" w:eastAsia="Arial" w:hAnsi="Arial"/>
          <w:sz w:val="16"/>
          <w:szCs w:val="16"/>
          <w:b w:val="1"/>
          <w:bCs w:val="1"/>
          <w:color w:val="auto"/>
        </w:rPr>
        <w:t>Ms. Caroline R. Young</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08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2023 must be received by Cumberland Pharmaceuticals Inc., no later than November 18, 2022. Only proposals conforming to the requirements of Rule 14a-8 of the Exchange Act that are timely received by the Company will be included in the Proxy Statement and Proxy in 2023. Any such proposal should be directed to our Corporate Secretary at our principal executive offices located at 2525 West End Avenue, Suite 950, Nashville, Tennessee 37203.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Annual Report has been made available to shareholders and is posted on our website at </w:t>
      </w:r>
      <w:r>
        <w:rPr>
          <w:rFonts w:ascii="Arial" w:cs="Arial" w:eastAsia="Arial" w:hAnsi="Arial"/>
          <w:sz w:val="18"/>
          <w:szCs w:val="18"/>
          <w:b w:val="1"/>
          <w:bCs w:val="1"/>
          <w:i w:val="1"/>
          <w:iCs w:val="1"/>
          <w:u w:val="single" w:color="auto"/>
          <w:color w:val="auto"/>
        </w:rPr>
        <w:t>http://www.cstproxy.com/cumberlandpharma/2022</w:t>
      </w:r>
      <w:r>
        <w:rPr>
          <w:rFonts w:ascii="Arial" w:cs="Arial" w:eastAsia="Arial" w:hAnsi="Arial"/>
          <w:sz w:val="18"/>
          <w:szCs w:val="18"/>
          <w:color w:val="auto"/>
        </w:rPr>
        <w:t>. The Company will provide, without charge, a copy of our Annual Report on Form 10-K for the fiscal year ended December 31, 2021 upon the written request of any shareholder. Requests can be made by writing to: Cumberland Pharmaceuticals Inc., 2525 West End Avenue, Suite 950, Nashville, Tennessee 37203, Attention: Corporate Secretary.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62635"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6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A.J. Kazimi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417" w:right="339" w:bottom="1440" w:gutter="0" w:footer="0" w:header="0"/>
        </w:sectPr>
      </w:pPr>
    </w:p>
    <w:bookmarkStart w:id="41" w:name="page42"/>
    <w:bookmarkEnd w:id="4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59" w:lineRule="auto"/>
        <w:rPr>
          <w:sz w:val="20"/>
          <w:szCs w:val="20"/>
          <w:color w:val="auto"/>
        </w:rPr>
      </w:pPr>
      <w:r>
        <w:rPr>
          <w:rFonts w:ascii="Arial" w:cs="Arial" w:eastAsia="Arial" w:hAnsi="Arial"/>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28, 2022.</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Arial" w:cs="Arial" w:eastAsia="Arial" w:hAnsi="Arial"/>
                <w:sz w:val="18"/>
                <w:szCs w:val="18"/>
                <w:b w:val="1"/>
                <w:bCs w:val="1"/>
                <w:i w:val="1"/>
                <w:iCs w:val="1"/>
                <w:color w:val="auto"/>
                <w:w w:val="86"/>
              </w:rPr>
              <w:t>Vote Your Proxy on the Internet:</w:t>
            </w: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9"/>
                <w:szCs w:val="29"/>
                <w:b w:val="1"/>
                <w:bCs w:val="1"/>
                <w:color w:val="auto"/>
              </w:rPr>
              <w:t>OR</w:t>
            </w:r>
          </w:p>
        </w:tc>
        <w:tc>
          <w:tcPr>
            <w:tcW w:w="400" w:type="dxa"/>
            <w:vAlign w:val="bottom"/>
          </w:tcPr>
          <w:p>
            <w:pPr>
              <w:spacing w:after="0"/>
              <w:rPr>
                <w:sz w:val="15"/>
                <w:szCs w:val="15"/>
                <w:color w:val="auto"/>
              </w:rPr>
            </w:pPr>
          </w:p>
        </w:tc>
        <w:tc>
          <w:tcPr>
            <w:tcW w:w="288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29"/>
                <w:szCs w:val="29"/>
                <w:b w:val="1"/>
                <w:bCs w:val="1"/>
                <w:color w:val="auto"/>
              </w:rPr>
              <w:t>OR</w:t>
            </w:r>
          </w:p>
        </w:tc>
        <w:tc>
          <w:tcPr>
            <w:tcW w:w="540" w:type="dxa"/>
            <w:vAlign w:val="bottom"/>
          </w:tcPr>
          <w:p>
            <w:pPr>
              <w:spacing w:after="0"/>
              <w:rPr>
                <w:sz w:val="15"/>
                <w:szCs w:val="15"/>
                <w:color w:val="auto"/>
              </w:rPr>
            </w:pPr>
          </w:p>
        </w:tc>
        <w:tc>
          <w:tcPr>
            <w:tcW w:w="274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0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0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Have your proxy card available when you</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On your Smartphone/Tablet, open the QR</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Mark, sign, and date your proxy card, then</w:t>
            </w:r>
          </w:p>
        </w:tc>
        <w:tc>
          <w:tcPr>
            <w:tcW w:w="0" w:type="dxa"/>
            <w:vAlign w:val="bottom"/>
          </w:tcPr>
          <w:p>
            <w:pPr>
              <w:spacing w:after="0"/>
              <w:rPr>
                <w:sz w:val="1"/>
                <w:szCs w:val="1"/>
                <w:color w:val="auto"/>
              </w:rPr>
            </w:pPr>
          </w:p>
        </w:tc>
      </w:tr>
      <w:tr>
        <w:trPr>
          <w:trHeight w:val="175"/>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Arial" w:cs="Arial" w:eastAsia="Arial" w:hAnsi="Arial"/>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auto"/>
                <w:w w:val="90"/>
              </w:rPr>
              <w:t>Reader and scan the below image. Once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color w:val="auto"/>
                <w:w w:val="96"/>
              </w:rPr>
              <w:t>detach it, and return it in the postage-paid</w:t>
            </w:r>
          </w:p>
        </w:tc>
        <w:tc>
          <w:tcPr>
            <w:tcW w:w="0" w:type="dxa"/>
            <w:vAlign w:val="bottom"/>
          </w:tcPr>
          <w:p>
            <w:pPr>
              <w:spacing w:after="0"/>
              <w:rPr>
                <w:sz w:val="1"/>
                <w:szCs w:val="1"/>
                <w:color w:val="auto"/>
              </w:rPr>
            </w:pPr>
          </w:p>
        </w:tc>
      </w:tr>
      <w:tr>
        <w:trPr>
          <w:trHeight w:val="176"/>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Arial" w:cs="Arial" w:eastAsia="Arial" w:hAnsi="Arial"/>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auto"/>
                <w:w w:val="96"/>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Arial" w:cs="Arial" w:eastAsia="Arial" w:hAnsi="Arial"/>
                <w:sz w:val="18"/>
                <w:szCs w:val="18"/>
                <w:color w:val="auto"/>
              </w:rPr>
              <w:t>envelope provided.</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Arial" w:cs="Arial" w:eastAsia="Arial" w:hAnsi="Arial"/>
                <w:sz w:val="18"/>
                <w:szCs w:val="18"/>
                <w:color w:val="auto"/>
                <w:w w:val="95"/>
              </w:rPr>
              <w:t>Number from the proxy card and vote your</w:t>
            </w:r>
          </w:p>
        </w:tc>
        <w:tc>
          <w:tcPr>
            <w:tcW w:w="70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4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260215"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ELECTRONICALLY OR BY PHONE</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Ú</w:t>
      </w:r>
      <w:r>
        <w:rPr>
          <w:rFonts w:ascii="Arial" w:cs="Arial" w:eastAsia="Arial" w:hAnsi="Arial"/>
          <w:sz w:val="16"/>
          <w:szCs w:val="16"/>
          <w:b w:val="1"/>
          <w:bCs w:val="1"/>
          <w:color w:val="auto"/>
        </w:rPr>
        <w:t>FOLD AND DETACH HERE AND READ THE REVERSE SIDE</w:t>
      </w:r>
      <w:r>
        <w:rPr>
          <w:rFonts w:ascii="Arial" w:cs="Arial" w:eastAsia="Arial" w:hAnsi="Arial"/>
          <w:sz w:val="16"/>
          <w:szCs w:val="16"/>
          <w:color w:val="auto"/>
        </w:rPr>
        <w:t xml:space="preserve"> Ú</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79375</wp:posOffset>
            </wp:positionV>
            <wp:extent cx="70294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236" w:lineRule="exact"/>
        <w:rPr>
          <w:sz w:val="20"/>
          <w:szCs w:val="20"/>
          <w:color w:val="auto"/>
        </w:rPr>
      </w:pPr>
    </w:p>
    <w:p>
      <w:pPr>
        <w:ind w:left="40" w:right="2400"/>
        <w:spacing w:after="0" w:line="23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 If no direction is made, this Proxy will be voted FOR Proposals 1 AND 2.</w:t>
      </w:r>
    </w:p>
    <w:p>
      <w:pPr>
        <w:spacing w:after="0" w:line="1" w:lineRule="exact"/>
        <w:rPr>
          <w:sz w:val="20"/>
          <w:szCs w:val="20"/>
          <w:color w:val="auto"/>
        </w:rPr>
      </w:pPr>
    </w:p>
    <w:p>
      <w:pPr>
        <w:ind w:left="9500"/>
        <w:spacing w:after="0"/>
        <w:tabs>
          <w:tab w:leader="none" w:pos="10000" w:val="left"/>
          <w:tab w:leader="none" w:pos="106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ectPr>
          <w:pgSz w:w="11900" w:h="16838" w:orient="portrait"/>
          <w:cols w:equalWidth="0" w:num="1">
            <w:col w:w="11260"/>
          </w:cols>
          <w:pgMar w:left="320" w:top="1440" w:right="319" w:bottom="1440" w:gutter="0" w:footer="0" w:header="0"/>
        </w:sectPr>
      </w:pP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w w:val="99"/>
              </w:rPr>
              <w:t>1. For the election as directors of the nominees</w:t>
            </w:r>
          </w:p>
        </w:tc>
        <w:tc>
          <w:tcPr>
            <w:tcW w:w="8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81"/>
        </w:trPr>
        <w:tc>
          <w:tcPr>
            <w:tcW w:w="3760" w:type="dxa"/>
            <w:vAlign w:val="bottom"/>
            <w:vMerge w:val="restart"/>
          </w:tcPr>
          <w:p>
            <w:pPr>
              <w:spacing w:after="0"/>
              <w:rPr>
                <w:sz w:val="20"/>
                <w:szCs w:val="20"/>
                <w:color w:val="auto"/>
              </w:rPr>
            </w:pPr>
            <w:r>
              <w:rPr>
                <w:rFonts w:ascii="Arial" w:cs="Arial" w:eastAsia="Arial" w:hAnsi="Arial"/>
                <w:sz w:val="18"/>
                <w:szCs w:val="18"/>
                <w:color w:val="auto"/>
                <w:w w:val="96"/>
              </w:rPr>
              <w:t>listed below, except to the extent that authority is</w:t>
            </w:r>
          </w:p>
        </w:tc>
        <w:tc>
          <w:tcPr>
            <w:tcW w:w="8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760" w:type="dxa"/>
            <w:vAlign w:val="bottom"/>
            <w:vMerge w:val="continue"/>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AUTHORITY </w:t>
            </w: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35"/>
        </w:trPr>
        <w:tc>
          <w:tcPr>
            <w:tcW w:w="3760" w:type="dxa"/>
            <w:vAlign w:val="bottom"/>
          </w:tcPr>
          <w:p>
            <w:pPr>
              <w:spacing w:after="0" w:line="135" w:lineRule="exact"/>
              <w:rPr>
                <w:sz w:val="20"/>
                <w:szCs w:val="20"/>
                <w:color w:val="auto"/>
              </w:rPr>
            </w:pPr>
            <w:r>
              <w:rPr>
                <w:rFonts w:ascii="Arial" w:cs="Arial" w:eastAsia="Arial" w:hAnsi="Arial"/>
                <w:sz w:val="15"/>
                <w:szCs w:val="15"/>
                <w:color w:val="auto"/>
              </w:rPr>
              <w:t>specifically withheld.</w:t>
            </w:r>
          </w:p>
        </w:tc>
        <w:tc>
          <w:tcPr>
            <w:tcW w:w="80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color w:val="auto"/>
                <w:w w:val="92"/>
              </w:rPr>
              <w:t>vote (except as</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800" w:type="dxa"/>
            <w:vAlign w:val="bottom"/>
          </w:tcPr>
          <w:p>
            <w:pPr>
              <w:jc w:val="center"/>
              <w:spacing w:after="0" w:line="68" w:lineRule="exact"/>
              <w:rPr>
                <w:sz w:val="20"/>
                <w:szCs w:val="20"/>
                <w:color w:val="auto"/>
              </w:rPr>
            </w:pPr>
            <w:r>
              <w:rPr>
                <w:rFonts w:ascii="Arial" w:cs="Arial" w:eastAsia="Arial" w:hAnsi="Arial"/>
                <w:sz w:val="7"/>
                <w:szCs w:val="7"/>
                <w:color w:val="auto"/>
              </w:rPr>
              <w:t>Nominees</w:t>
            </w: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3"/>
              </w:rPr>
              <w:t>marked to the</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2"/>
              </w:rPr>
              <w:t>listed to the</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9"/>
              </w:rPr>
              <w:t>contrary for all</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6"/>
              </w:rPr>
              <w:t>left</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vMerge w:val="restart"/>
          </w:tcPr>
          <w:p>
            <w:pPr>
              <w:jc w:val="center"/>
              <w:spacing w:after="0" w:line="135" w:lineRule="exact"/>
              <w:rPr>
                <w:sz w:val="20"/>
                <w:szCs w:val="20"/>
                <w:color w:val="auto"/>
              </w:rPr>
            </w:pPr>
            <w:r>
              <w:rPr>
                <w:rFonts w:ascii="Arial" w:cs="Arial" w:eastAsia="Arial" w:hAnsi="Arial"/>
                <w:sz w:val="14"/>
                <w:szCs w:val="14"/>
                <w:color w:val="auto"/>
                <w:w w:val="92"/>
              </w:rPr>
              <w:t>nominees listed to</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the left</w:t>
            </w:r>
          </w:p>
        </w:tc>
        <w:tc>
          <w:tcPr>
            <w:tcW w:w="0" w:type="dxa"/>
            <w:vAlign w:val="bottom"/>
          </w:tcPr>
          <w:p>
            <w:pPr>
              <w:spacing w:after="0"/>
              <w:rPr>
                <w:sz w:val="1"/>
                <w:szCs w:val="1"/>
                <w:color w:val="auto"/>
              </w:rPr>
            </w:pPr>
          </w:p>
        </w:tc>
      </w:tr>
      <w:tr>
        <w:trPr>
          <w:trHeight w:val="722"/>
        </w:trPr>
        <w:tc>
          <w:tcPr>
            <w:tcW w:w="3760" w:type="dxa"/>
            <w:vAlign w:val="bottom"/>
          </w:tcPr>
          <w:p>
            <w:pPr>
              <w:spacing w:after="0"/>
              <w:rPr>
                <w:sz w:val="20"/>
                <w:szCs w:val="20"/>
                <w:color w:val="auto"/>
              </w:rPr>
            </w:pPr>
            <w:r>
              <w:rPr>
                <w:rFonts w:ascii="Arial" w:cs="Arial" w:eastAsia="Arial" w:hAnsi="Arial"/>
                <w:sz w:val="18"/>
                <w:szCs w:val="18"/>
                <w:color w:val="auto"/>
                <w:w w:val="92"/>
              </w:rPr>
              <w:t>NOMINEES: (1) Dr. Gordon R. Bernard (2) Joseph</w:t>
            </w:r>
          </w:p>
        </w:tc>
        <w:tc>
          <w:tcPr>
            <w:tcW w:w="800" w:type="dxa"/>
            <w:vAlign w:val="bottom"/>
          </w:tcPr>
          <w:p>
            <w:pPr>
              <w:jc w:val="center"/>
              <w:spacing w:after="0"/>
              <w:rPr>
                <w:sz w:val="20"/>
                <w:szCs w:val="20"/>
                <w:color w:val="auto"/>
              </w:rPr>
            </w:pPr>
            <w:r>
              <w:rPr>
                <w:rFonts w:ascii="Arial" w:cs="Arial" w:eastAsia="Arial" w:hAnsi="Arial"/>
                <w:sz w:val="36"/>
                <w:szCs w:val="36"/>
                <w:b w:val="1"/>
                <w:bCs w:val="1"/>
                <w:color w:val="auto"/>
                <w:w w:val="99"/>
              </w:rPr>
              <w:t>o</w:t>
            </w:r>
          </w:p>
        </w:tc>
        <w:tc>
          <w:tcPr>
            <w:tcW w:w="1120" w:type="dxa"/>
            <w:vAlign w:val="bottom"/>
          </w:tcPr>
          <w:p>
            <w:pPr>
              <w:jc w:val="center"/>
              <w:spacing w:after="0"/>
              <w:rPr>
                <w:sz w:val="20"/>
                <w:szCs w:val="20"/>
                <w:color w:val="auto"/>
              </w:rPr>
            </w:pPr>
            <w:r>
              <w:rPr>
                <w:rFonts w:ascii="Arial" w:cs="Arial" w:eastAsia="Arial" w:hAnsi="Arial"/>
                <w:sz w:val="36"/>
                <w:szCs w:val="36"/>
                <w:b w:val="1"/>
                <w:bCs w:val="1"/>
                <w:color w:val="auto"/>
                <w:w w:val="99"/>
              </w:rPr>
              <w:t>o</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 Galante (3) A.J. Kazimi</w:t>
            </w: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right="2360"/>
        <w:spacing w:after="0" w:line="220" w:lineRule="auto"/>
        <w:rPr>
          <w:sz w:val="20"/>
          <w:szCs w:val="20"/>
          <w:color w:val="auto"/>
        </w:rPr>
      </w:pPr>
      <w:r>
        <w:rPr>
          <w:rFonts w:ascii="Arial" w:cs="Arial" w:eastAsia="Arial" w:hAnsi="Arial"/>
          <w:sz w:val="18"/>
          <w:szCs w:val="18"/>
          <w:b w:val="1"/>
          <w:bCs w:val="1"/>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 w:right="140" w:hanging="7"/>
        <w:spacing w:after="0" w:line="216" w:lineRule="auto"/>
        <w:tabs>
          <w:tab w:leader="none" w:pos="1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ratify the appointment of BKD, LLP as independent registered accounting firm of the Company for fiscal year ending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00" w:val="left"/>
          <w:tab w:leader="none" w:pos="1260" w:val="left"/>
        </w:tabs>
        <w:rPr>
          <w:sz w:val="20"/>
          <w:szCs w:val="20"/>
          <w:color w:val="auto"/>
        </w:rPr>
      </w:pPr>
      <w:r>
        <w:rPr>
          <w:rFonts w:ascii="Arial" w:cs="Arial" w:eastAsia="Arial" w:hAnsi="Arial"/>
          <w:sz w:val="36"/>
          <w:szCs w:val="36"/>
          <w:b w:val="1"/>
          <w:bCs w:val="1"/>
          <w:color w:val="auto"/>
        </w:rPr>
        <w:t>o</w:t>
        <w:tab/>
        <w:t>o</w:t>
        <w:tab/>
        <w:t>o</w:t>
      </w:r>
    </w:p>
    <w:p>
      <w:pPr>
        <w:spacing w:after="0" w:line="1927" w:lineRule="exact"/>
        <w:rPr>
          <w:sz w:val="20"/>
          <w:szCs w:val="20"/>
          <w:color w:val="auto"/>
        </w:rPr>
      </w:pPr>
    </w:p>
    <w:p>
      <w:pPr>
        <w:sectPr>
          <w:pgSz w:w="11900" w:h="16838" w:orient="portrait"/>
          <w:cols w:equalWidth="0" w:num="3">
            <w:col w:w="5720" w:space="273"/>
            <w:col w:w="2807" w:space="720"/>
            <w:col w:w="1740"/>
          </w:cols>
          <w:pgMar w:left="320" w:top="1440"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3" w:lineRule="exact"/>
        <w:rPr>
          <w:sz w:val="20"/>
          <w:szCs w:val="20"/>
          <w:color w:val="auto"/>
        </w:rPr>
      </w:pPr>
    </w:p>
    <w:p>
      <w:pPr>
        <w:ind w:left="40" w:right="100"/>
        <w:spacing w:after="0" w:line="232" w:lineRule="auto"/>
        <w:rPr>
          <w:sz w:val="20"/>
          <w:szCs w:val="20"/>
          <w:color w:val="auto"/>
        </w:rPr>
      </w:pPr>
      <w:r>
        <w:rPr>
          <w:rFonts w:ascii="Arial" w:cs="Arial" w:eastAsia="Arial" w:hAnsi="Arial"/>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4"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COMPANY ID: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Arial" w:cs="Arial" w:eastAsia="Arial" w:hAnsi="Arial"/>
          <w:sz w:val="22"/>
          <w:szCs w:val="22"/>
          <w:b w:val="1"/>
          <w:bCs w:val="1"/>
          <w:color w:val="auto"/>
        </w:rPr>
        <w:t>ACCOUNT NUMBER:</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Signature _________________________________ Signature if Held Jointly____________________________________ Date____________ , 2022.</w:t>
      </w:r>
    </w:p>
    <w:p>
      <w:pPr>
        <w:spacing w:after="0" w:line="17" w:lineRule="exact"/>
        <w:rPr>
          <w:sz w:val="20"/>
          <w:szCs w:val="20"/>
          <w:color w:val="auto"/>
        </w:rPr>
      </w:pPr>
    </w:p>
    <w:p>
      <w:pPr>
        <w:ind w:left="80" w:right="1280"/>
        <w:spacing w:after="0" w:line="257" w:lineRule="auto"/>
        <w:rPr>
          <w:sz w:val="20"/>
          <w:szCs w:val="20"/>
          <w:color w:val="auto"/>
        </w:rPr>
      </w:pPr>
      <w:r>
        <w:rPr>
          <w:rFonts w:ascii="Arial" w:cs="Arial" w:eastAsia="Arial" w:hAnsi="Arial"/>
          <w:sz w:val="9"/>
          <w:szCs w:val="9"/>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jc w:val="center"/>
        <w:ind w:right="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0"/>
          </w:cols>
          <w:pgMar w:left="320" w:top="1440" w:right="319" w:bottom="1440"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400"/>
        <w:spacing w:after="0" w:line="272" w:lineRule="auto"/>
        <w:rPr>
          <w:sz w:val="20"/>
          <w:szCs w:val="20"/>
          <w:color w:val="auto"/>
        </w:rPr>
      </w:pPr>
      <w:r>
        <w:rPr>
          <w:rFonts w:ascii="Arial" w:cs="Arial" w:eastAsia="Arial" w:hAnsi="Arial"/>
          <w:sz w:val="29"/>
          <w:szCs w:val="29"/>
          <w:b w:val="1"/>
          <w:bCs w:val="1"/>
          <w:color w:val="auto"/>
        </w:rPr>
        <w:t>Important Notice Regarding the Availability of Proxy Materials for the Annual Meeting of Shareholders to be held April 28, 2022</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auto"/>
        </w:rPr>
        <w:t>The Notice, Proxy Statement, and our Annual Report on Form 10-K for the year ended</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December 31, 2021 are available at: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http://www.cstproxy.com/cumberlandpharma/2022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FOLD AND DETACH HERE AND READ THE REVERSE SIDE</w:t>
      </w:r>
      <w:r>
        <w:rPr>
          <w:rFonts w:ascii="Arial" w:cs="Arial" w:eastAsia="Arial" w:hAnsi="Arial"/>
          <w:sz w:val="14"/>
          <w:szCs w:val="14"/>
          <w:color w:val="auto"/>
        </w:rPr>
        <w:t xml:space="preserve"> ▼</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CUMBERLAND PHARMACEUTICALS INC.</w:t>
      </w:r>
    </w:p>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April 28, 2022</w:t>
      </w:r>
    </w:p>
    <w:p>
      <w:pPr>
        <w:spacing w:after="0" w:line="246" w:lineRule="exact"/>
        <w:rPr>
          <w:sz w:val="20"/>
          <w:szCs w:val="20"/>
          <w:color w:val="auto"/>
        </w:rPr>
      </w:pPr>
    </w:p>
    <w:p>
      <w:pPr>
        <w:jc w:val="both"/>
        <w:ind w:right="120" w:firstLine="405"/>
        <w:spacing w:after="0" w:line="255" w:lineRule="auto"/>
        <w:rPr>
          <w:sz w:val="20"/>
          <w:szCs w:val="20"/>
          <w:color w:val="auto"/>
        </w:rPr>
      </w:pPr>
      <w:r>
        <w:rPr>
          <w:rFonts w:ascii="Arial" w:cs="Arial" w:eastAsia="Arial" w:hAnsi="Arial"/>
          <w:sz w:val="18"/>
          <w:szCs w:val="18"/>
          <w:color w:val="auto"/>
        </w:rPr>
        <w:t>The undersigned hereby appoints A.J. Kazimi and Joey A. Jacobs, or either of them, as proxies, with full power of substitution, and hereby authorizes each of them to represent and vote, as designated on the reverse side, all of the shares of Common Stock of Cumberland Pharmaceuticals Inc., held of record by the undersigned on March 1, 2022 at the Annual Meeting of Shareholders to be held at the Cumberland Pharmaceuticals Inc., 2525 West End Avenue, Suite 950, Nashville, Tennessee 37203 on Tuesday, April 28, 2022,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9"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(Continued, and to be marked, dated and signed, on the other side)</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o"/>
      <w:numFmt w:val="bullet"/>
      <w:start w:val="1"/>
    </w:lvl>
  </w:abstractNum>
  <w:abstractNum w:abstractNumId="4">
    <w:nsid w:val="4E6AFB66"/>
    <w:multiLevelType w:val="hybridMultilevel"/>
    <w:lvl w:ilvl="0">
      <w:lvlJc w:val="left"/>
      <w:lvlText w:val="(%1)"/>
      <w:numFmt w:val="decimal"/>
    </w:lvl>
    <w:lvl w:ilvl="1">
      <w:lvlJc w:val="left"/>
      <w:lvlText w:val="o"/>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3"/>
    </w:lvl>
    <w:lvl w:ilvl="1">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decimal"/>
      <w:start w:val="3"/>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2022-03-16T16:13:32Z</dcterms:created>
  <dcterms:modified xsi:type="dcterms:W3CDTF">2022-03-16T16:13:32Z</dcterms:modified>
</cp:coreProperties>
</file>