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11, 2020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142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109220</wp:posOffset>
            </wp:positionV>
            <wp:extent cx="457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107315</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116205</wp:posOffset>
            </wp:positionV>
            <wp:extent cx="457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4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44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62-1765329</w:t>
            </w:r>
          </w:p>
        </w:tc>
      </w:tr>
      <w:tr>
        <w:trPr>
          <w:trHeight w:val="216"/>
        </w:trPr>
        <w:tc>
          <w:tcPr>
            <w:tcW w:w="4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7"/>
        </w:trPr>
        <w:tc>
          <w:tcPr>
            <w:tcW w:w="4480" w:type="dxa"/>
            <w:vAlign w:val="bottom"/>
          </w:tcPr>
          <w:p>
            <w:pPr>
              <w:spacing w:after="0"/>
              <w:rPr>
                <w:sz w:val="24"/>
                <w:szCs w:val="24"/>
                <w:color w:val="auto"/>
              </w:rPr>
            </w:pPr>
          </w:p>
        </w:tc>
        <w:tc>
          <w:tcPr>
            <w:tcW w:w="4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Michael Bonner</w:t>
            </w:r>
          </w:p>
        </w:tc>
      </w:tr>
      <w:tr>
        <w:trPr>
          <w:trHeight w:val="238"/>
        </w:trPr>
        <w:tc>
          <w:tcPr>
            <w:tcW w:w="4480" w:type="dxa"/>
            <w:vAlign w:val="bottom"/>
          </w:tcPr>
          <w:p>
            <w:pPr>
              <w:spacing w:after="0"/>
              <w:rPr>
                <w:sz w:val="20"/>
                <w:szCs w:val="20"/>
                <w:color w:val="auto"/>
              </w:rPr>
            </w:pPr>
          </w:p>
        </w:tc>
        <w:tc>
          <w:tcPr>
            <w:tcW w:w="4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48"/>
        </w:trPr>
        <w:tc>
          <w:tcPr>
            <w:tcW w:w="4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2525 West End Avenue, Suite 950</w:t>
            </w:r>
          </w:p>
        </w:tc>
        <w:tc>
          <w:tcPr>
            <w:tcW w:w="4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Cumberland Pharmaceuticals Inc.</w:t>
            </w:r>
          </w:p>
        </w:tc>
      </w:tr>
      <w:tr>
        <w:trPr>
          <w:trHeight w:val="216"/>
        </w:trPr>
        <w:tc>
          <w:tcPr>
            <w:tcW w:w="4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Nashville, Tennessee 37203</w:t>
            </w:r>
          </w:p>
        </w:tc>
        <w:tc>
          <w:tcPr>
            <w:tcW w:w="4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2525 West End Avenue, Suite 950</w:t>
            </w:r>
          </w:p>
        </w:tc>
      </w:tr>
      <w:tr>
        <w:trPr>
          <w:trHeight w:val="216"/>
        </w:trPr>
        <w:tc>
          <w:tcPr>
            <w:tcW w:w="4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4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Nashville, Tennessee 37203</w:t>
            </w:r>
          </w:p>
        </w:tc>
      </w:tr>
      <w:tr>
        <w:trPr>
          <w:trHeight w:val="238"/>
        </w:trPr>
        <w:tc>
          <w:tcPr>
            <w:tcW w:w="4480" w:type="dxa"/>
            <w:vAlign w:val="bottom"/>
          </w:tcPr>
          <w:p>
            <w:pPr>
              <w:spacing w:after="0"/>
              <w:rPr>
                <w:sz w:val="20"/>
                <w:szCs w:val="20"/>
                <w:color w:val="auto"/>
              </w:rPr>
            </w:pPr>
          </w:p>
        </w:tc>
        <w:tc>
          <w:tcPr>
            <w:tcW w:w="442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(615) 255-0068</w:t>
            </w:r>
          </w:p>
        </w:tc>
      </w:tr>
      <w:tr>
        <w:trPr>
          <w:trHeight w:val="248"/>
        </w:trPr>
        <w:tc>
          <w:tcPr>
            <w:tcW w:w="4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(Address, including zip code, and telephone number,</w:t>
            </w:r>
          </w:p>
        </w:tc>
        <w:tc>
          <w:tcPr>
            <w:tcW w:w="4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(Name and address, including zip code, and telephone</w:t>
            </w:r>
          </w:p>
        </w:tc>
      </w:tr>
      <w:tr>
        <w:trPr>
          <w:trHeight w:val="216"/>
        </w:trPr>
        <w:tc>
          <w:tcPr>
            <w:tcW w:w="4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including area code, of registrant’s principal executive</w:t>
            </w:r>
          </w:p>
        </w:tc>
        <w:tc>
          <w:tcPr>
            <w:tcW w:w="4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number, including area code, of agent for service)</w:t>
            </w:r>
          </w:p>
        </w:tc>
      </w:tr>
      <w:tr>
        <w:trPr>
          <w:trHeight w:val="238"/>
        </w:trPr>
        <w:tc>
          <w:tcPr>
            <w:tcW w:w="4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offices)</w:t>
            </w:r>
          </w:p>
        </w:tc>
        <w:tc>
          <w:tcPr>
            <w:tcW w:w="4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196850</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Tonya Mitchem Grindon,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M. Douse,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Donelson, Bearman, Caldwell &amp; Berkowitz,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Donelson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Commerce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615-726-5600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117475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of securities to the public: From time to time after the effective date of this registration statement.</w:t>
      </w:r>
    </w:p>
    <w:p>
      <w:pPr>
        <w:spacing w:after="0" w:line="121" w:lineRule="exact"/>
        <w:rPr>
          <w:sz w:val="24"/>
          <w:szCs w:val="24"/>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52" w:lineRule="exact"/>
        <w:rPr>
          <w:sz w:val="24"/>
          <w:szCs w:val="24"/>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ectPr>
          <w:pgSz w:w="11900" w:h="16838" w:orient="portrait"/>
          <w:cols w:equalWidth="0" w:num="1">
            <w:col w:w="11240"/>
          </w:cols>
          <w:pgMar w:left="320" w:top="873" w:right="339" w:bottom="1440" w:gutter="0" w:footer="0" w:header="0"/>
        </w:sectPr>
      </w:pPr>
    </w:p>
    <w:bookmarkStart w:id="1" w:name="page2"/>
    <w:bookmarkEnd w:id="1"/>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8"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 (c)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52"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8" w:lineRule="exact"/>
        <w:rPr>
          <w:sz w:val="20"/>
          <w:szCs w:val="20"/>
          <w:color w:val="auto"/>
        </w:rPr>
      </w:pPr>
    </w:p>
    <w:p>
      <w:pPr>
        <w:jc w:val="both"/>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69" w:right="33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4">
            <w:col w:w="1620" w:space="180"/>
            <w:col w:w="160" w:space="180"/>
            <w:col w:w="1200" w:space="180"/>
            <w:col w:w="7720"/>
          </w:cols>
          <w:pgMar w:left="320" w:top="76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4">
            <w:col w:w="1540" w:space="180"/>
            <w:col w:w="160" w:space="220"/>
            <w:col w:w="1960" w:space="180"/>
            <w:col w:w="7000"/>
          </w:cols>
          <w:pgMar w:left="320" w:top="76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sectPr>
          <w:pgSz w:w="11900" w:h="16838" w:orient="portrait"/>
          <w:cols w:equalWidth="0" w:num="2">
            <w:col w:w="1980" w:space="180"/>
            <w:col w:w="9080"/>
          </w:cols>
          <w:pgMar w:left="320" w:top="769" w:right="339" w:bottom="1440" w:gutter="0" w:footer="0" w:header="0"/>
          <w:type w:val="continuous"/>
        </w:sect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84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6849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148590</wp:posOffset>
            </wp:positionV>
            <wp:extent cx="606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6520" w:type="dxa"/>
            <w:vAlign w:val="bottom"/>
            <w:tcBorders>
              <w:top w:val="single" w:sz="8" w:color="auto"/>
              <w:right w:val="single" w:sz="8" w:color="auto"/>
            </w:tcBorders>
          </w:tcPr>
          <w:p>
            <w:pPr>
              <w:spacing w:after="0"/>
              <w:rPr>
                <w:sz w:val="15"/>
                <w:szCs w:val="15"/>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 registered</w:t>
            </w:r>
          </w:p>
        </w:tc>
        <w:tc>
          <w:tcPr>
            <w:tcW w:w="1260" w:type="dxa"/>
            <w:vAlign w:val="bottom"/>
            <w:tcBorders>
              <w:top w:val="single" w:sz="8" w:color="auto"/>
              <w:right w:val="single" w:sz="8" w:color="auto"/>
            </w:tcBorders>
          </w:tcPr>
          <w:p>
            <w:pPr>
              <w:spacing w:after="0"/>
              <w:rPr>
                <w:sz w:val="15"/>
                <w:szCs w:val="15"/>
                <w:color w:val="auto"/>
              </w:rPr>
            </w:pPr>
          </w:p>
        </w:tc>
      </w:tr>
      <w:tr>
        <w:trPr>
          <w:trHeight w:val="162"/>
        </w:trPr>
        <w:tc>
          <w:tcPr>
            <w:tcW w:w="652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260" w:type="dxa"/>
            <w:vAlign w:val="bottom"/>
            <w:tcBorders>
              <w:right w:val="single" w:sz="8" w:color="auto"/>
            </w:tcBorders>
          </w:tcPr>
          <w:p>
            <w:pPr>
              <w:spacing w:after="0"/>
              <w:rPr>
                <w:sz w:val="14"/>
                <w:szCs w:val="14"/>
                <w:color w:val="auto"/>
              </w:rPr>
            </w:pPr>
          </w:p>
        </w:tc>
      </w:tr>
      <w:tr>
        <w:trPr>
          <w:trHeight w:val="162"/>
        </w:trPr>
        <w:tc>
          <w:tcPr>
            <w:tcW w:w="652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 unit/</w:t>
            </w:r>
          </w:p>
        </w:tc>
        <w:tc>
          <w:tcPr>
            <w:tcW w:w="1260" w:type="dxa"/>
            <w:vAlign w:val="bottom"/>
            <w:tcBorders>
              <w:right w:val="single" w:sz="8" w:color="auto"/>
            </w:tcBorders>
          </w:tcPr>
          <w:p>
            <w:pPr>
              <w:spacing w:after="0"/>
              <w:rPr>
                <w:sz w:val="14"/>
                <w:szCs w:val="14"/>
                <w:color w:val="auto"/>
              </w:rPr>
            </w:pPr>
          </w:p>
        </w:tc>
      </w:tr>
      <w:tr>
        <w:trPr>
          <w:trHeight w:val="162"/>
        </w:trPr>
        <w:tc>
          <w:tcPr>
            <w:tcW w:w="6520" w:type="dxa"/>
            <w:vAlign w:val="bottom"/>
            <w:tcBorders>
              <w:right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90"/>
        </w:trPr>
        <w:tc>
          <w:tcPr>
            <w:tcW w:w="6520" w:type="dxa"/>
            <w:vAlign w:val="bottom"/>
            <w:tcBorders>
              <w:right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securities to be registered(1)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fee(3)</w:t>
            </w:r>
          </w:p>
        </w:tc>
      </w:tr>
      <w:tr>
        <w:trPr>
          <w:trHeight w:val="23"/>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7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7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7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6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$10,910.00</w:t>
            </w:r>
          </w:p>
        </w:tc>
      </w:tr>
      <w:tr>
        <w:trPr>
          <w:trHeight w:val="27"/>
        </w:trPr>
        <w:tc>
          <w:tcPr>
            <w:tcW w:w="6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260" w:hanging="252"/>
        <w:spacing w:after="0" w:line="257" w:lineRule="auto"/>
        <w:tabs>
          <w:tab w:leader="none" w:pos="2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registered hereunder may be sold separately or as units with other securities registered hereunder. The securities which may be offered pursuant to this Registration Statement include, pursuant to Rule 416 of the Securities Act of 1933, as amended (the “Securities Act”), such additional number of shares of the registrant’s common stock that may become issuable as a result of any split, stock dividends or similar event.</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offering price and number or amount of the securities of each identified class is being registered as may from time to time be sold at indeterminate prices, with a maximum aggregate offering price not to exceed $100,000,000. Separate consideration may or may not be received for securities that are issuable upon conversion of, or in exchange for, or upon exercise of, convertible or exchangeable securities.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457(o) under the Securities Act, the registration fee has been calculated on the basis of the maximum aggregate offering price. Pursuant to Rule 457(p) under the Securities Act, the registrant is offsetting the registration fee due under this registration statement by $10,910.00 with $1,514.98 remaining to be applied to future filings, which represents the portion of the registration fee previously paid with respect to $99,799,091.00 of unsold securities previously registered on the registration statement on Form S-3 (File No. 333-221402), initially filed on November 7, 2017 and declared effective on January 16, 2018.</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11,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$100,000,000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$100,000,000 in the aggregate of common stock, preferred stock, or warrants to purchase our common stock or preferred stock, debt securities and/or units consisting of two or more of those classes or series of securities and securities that may be convertible or exchangeable to other securities covered hereby, at prices and on terms that we will determine at the time of the offering. Preferred stock and debt securities may be convertible into preferred stock, common stock, or debt securities. We refer to our common stock, preferred stock, debt securities, warrants, and units hereunder collectively as the “securities.”</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 w:cs="Times New Roman" w:eastAsia="Times New Roman" w:hAnsi="Times New Roman"/>
          <w:sz w:val="18"/>
          <w:szCs w:val="18"/>
          <w:b w:val="1"/>
          <w:bCs w:val="1"/>
          <w:color w:val="auto"/>
        </w:rPr>
        <w:t>You should carefully read this prospectus, all prospectus supplements and all other documents incorporated by reference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before you invest in our securities.</w:t>
      </w:r>
    </w:p>
    <w:p>
      <w:pPr>
        <w:spacing w:after="0" w:line="1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offer the securities in amounts, at prices and on terms to be determined by market conditions at the time of the offerings. The securities may be offered separately or together in any combination.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the securities directly or through underwriters, agents or dealers. The supplements to this prospectus will designate the terms of our plan of distribution. See the discussion under the heading “Plan of Distribution” for more information on the topic.</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offices are located at 2525 West End Avenue, Suite 950, Nashville, Tennessee 37203, and our telephone number is (615) 255-0068.</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“CPIX.” On December 10, 2020, the closing price for our common stock, as reported by Nasdaq, was $3.01 per share.</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see “Risk Factors” beginning on page 2 for a discussion of certain risks that you should consider before investing in our securities.</w:t>
      </w:r>
    </w:p>
    <w:p>
      <w:pPr>
        <w:spacing w:after="0" w:line="1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accompanied by a prospectus supplement.</w:t>
      </w:r>
    </w:p>
    <w:p>
      <w:pPr>
        <w:spacing w:after="0" w:line="181" w:lineRule="exact"/>
        <w:rPr>
          <w:sz w:val="20"/>
          <w:szCs w:val="20"/>
          <w:color w:val="auto"/>
        </w:rPr>
      </w:pPr>
    </w:p>
    <w:p>
      <w:pPr>
        <w:ind w:left="4140"/>
        <w:spacing w:after="0"/>
        <w:tabs>
          <w:tab w:leader="none" w:pos="6580" w:val="left"/>
        </w:tabs>
        <w:rPr>
          <w:sz w:val="20"/>
          <w:szCs w:val="20"/>
          <w:color w:val="auto"/>
        </w:rPr>
      </w:pPr>
      <w:r>
        <w:rPr>
          <w:rFonts w:ascii="Times New Roman" w:cs="Times New Roman" w:eastAsia="Times New Roman" w:hAnsi="Times New Roman"/>
          <w:sz w:val="18"/>
          <w:szCs w:val="18"/>
          <w:b w:val="1"/>
          <w:bCs w:val="1"/>
          <w:color w:val="auto"/>
        </w:rPr>
        <w:t>The date of this prospectus is</w:t>
        <w:tab/>
        <w:t>, 2020.</w:t>
      </w:r>
    </w:p>
    <w:p>
      <w:pPr>
        <w:sectPr>
          <w:pgSz w:w="11900" w:h="16838" w:orient="portrait"/>
          <w:cols w:equalWidth="0" w:num="1">
            <w:col w:w="11240"/>
          </w:cols>
          <w:pgMar w:left="320" w:top="7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74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51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CAUTIONARY STATEMENTS REGARDING FORWARD-LOOKING STATEMENTS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OUR COMPANY</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15</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18</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19</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19</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19</w:t>
            </w:r>
          </w:p>
        </w:tc>
      </w:tr>
    </w:tbl>
    <w:p>
      <w:pPr>
        <w:spacing w:after="0" w:line="200" w:lineRule="exact"/>
        <w:rPr>
          <w:sz w:val="20"/>
          <w:szCs w:val="20"/>
          <w:color w:val="auto"/>
        </w:rPr>
      </w:pPr>
    </w:p>
    <w:p>
      <w:pPr>
        <w:sectPr>
          <w:pgSz w:w="11900" w:h="16838" w:orient="portrait"/>
          <w:cols w:equalWidth="0" w:num="1">
            <w:col w:w="10119"/>
          </w:cols>
          <w:pgMar w:left="340" w:top="12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19"/>
          </w:cols>
          <w:pgMar w:left="340" w:top="1251" w:right="1440"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using a “shelf” registration process. Using this process, we may sell any combination of the securities described in this prospectus in one or more offerings up to a total dollar amount of $100,000,000.</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time we use this prospectus to offer securities, we will provide a prospectus supplement that will describe the specific terms of the offering.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may also add to or update other information contained in this prospectus.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We have not authorized anyone to provide you with any other information. If you receive any other information, you should not rely on it.</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encourage you to read this entire prospectus together with the documents incorporated by reference into this prospectus before making a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certain degree of risk. You should carefully consider the factors contained in our Annual Report on Form 10-K for the fiscal year ended December 31, 2019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53" w:lineRule="exact"/>
        <w:rPr>
          <w:sz w:val="20"/>
          <w:szCs w:val="20"/>
          <w:color w:val="auto"/>
        </w:rPr>
      </w:pPr>
    </w:p>
    <w:p>
      <w:pPr>
        <w:ind w:left="1140" w:hanging="646"/>
        <w:spacing w:after="0" w:line="261"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or assumed future results of operations, including the accuracy of our estimates regarding expenses, future revenues, capital requirements and needs for additional financing;</w:t>
      </w:r>
    </w:p>
    <w:p>
      <w:pPr>
        <w:ind w:left="1140" w:hanging="646"/>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or regional economic conditions, including changes in interest rates and the availability and the cost of capital to us;</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competitors, including the size and growth potential of the markets for our products and product candidates;</w:t>
      </w:r>
    </w:p>
    <w:p>
      <w:pPr>
        <w:spacing w:after="0" w:line="9" w:lineRule="exact"/>
        <w:rPr>
          <w:rFonts w:ascii="Times New Roman" w:cs="Times New Roman" w:eastAsia="Times New Roman" w:hAnsi="Times New Roman"/>
          <w:sz w:val="18"/>
          <w:szCs w:val="18"/>
          <w:color w:val="auto"/>
        </w:rPr>
      </w:pPr>
    </w:p>
    <w:p>
      <w:pPr>
        <w:ind w:left="1140" w:right="20" w:hanging="646"/>
        <w:spacing w:after="0" w:line="250" w:lineRule="auto"/>
        <w:tabs>
          <w:tab w:leader="none" w:pos="11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acquisition and development activities and clinical trials; and our ability to successfully commercialize our product candidates;</w:t>
      </w:r>
    </w:p>
    <w:p>
      <w:pPr>
        <w:ind w:left="1140" w:hanging="646"/>
        <w:spacing w:after="0" w:line="250"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efficacy or safety concerns, whether or not based on scientific evidence, resulting in product withdrawals, recalls, regulatory action on the part of the FDA (or international counterparts) or declining sales;</w:t>
      </w:r>
    </w:p>
    <w:p>
      <w:pPr>
        <w:ind w:left="1140" w:hanging="646"/>
        <w:spacing w:after="0" w:line="250" w:lineRule="auto"/>
        <w:tabs>
          <w:tab w:leader="none" w:pos="11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which impacts our supply chain and could create business shutdowns or product shortages; and the retention of key scientific and management personnel;</w:t>
      </w:r>
    </w:p>
    <w:p>
      <w:pPr>
        <w:ind w:left="1140" w:hanging="646"/>
        <w:spacing w:after="0" w:line="250"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patents and the introduction of generic versions of our products and product candidates, which could negatively impact our ability to commercialize and sell our products and product candidates and decrease sales a result of a market exclusivity;</w:t>
      </w:r>
    </w:p>
    <w:p>
      <w:pPr>
        <w:jc w:val="both"/>
        <w:ind w:left="1140" w:hanging="646"/>
        <w:spacing w:after="0" w:line="250" w:lineRule="auto"/>
        <w:tabs>
          <w:tab w:leader="none" w:pos="11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 w:lineRule="exact"/>
        <w:rPr>
          <w:rFonts w:ascii="Times New Roman" w:cs="Times New Roman" w:eastAsia="Times New Roman" w:hAnsi="Times New Roman"/>
          <w:sz w:val="18"/>
          <w:szCs w:val="18"/>
          <w:color w:val="auto"/>
        </w:rPr>
      </w:pPr>
    </w:p>
    <w:p>
      <w:pPr>
        <w:jc w:val="both"/>
        <w:ind w:left="1140" w:hanging="646"/>
        <w:spacing w:after="0" w:line="250" w:lineRule="auto"/>
        <w:tabs>
          <w:tab w:leader="none" w:pos="11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w:t>
      </w:r>
    </w:p>
    <w:p>
      <w:pPr>
        <w:spacing w:after="0" w:line="1" w:lineRule="exact"/>
        <w:rPr>
          <w:rFonts w:ascii="Times New Roman" w:cs="Times New Roman" w:eastAsia="Times New Roman" w:hAnsi="Times New Roman"/>
          <w:sz w:val="18"/>
          <w:szCs w:val="18"/>
          <w:color w:val="auto"/>
        </w:rPr>
      </w:pPr>
    </w:p>
    <w:p>
      <w:pPr>
        <w:ind w:left="1140" w:hanging="646"/>
        <w:spacing w:after="0" w:line="260" w:lineRule="auto"/>
        <w:tabs>
          <w:tab w:leader="none" w:pos="11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revised accounting standards by the Financial Accounting Standards Board and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3"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prospectus, “Cumberland,” “we,” “our,” and “us” refer to Cumberland Pharmaceuticals Inc.</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Cumberland is a Tennessee corporation. Our principal executive offices are located at 2525 West End Avenue, Suite 950, Nashville, Tennessee 37203. Our telephone number is (615) 255-0068. We maintain a website at </w:t>
      </w:r>
      <w:r>
        <w:rPr>
          <w:rFonts w:ascii="Times New Roman" w:cs="Times New Roman" w:eastAsia="Times New Roman" w:hAnsi="Times New Roman"/>
          <w:sz w:val="18"/>
          <w:szCs w:val="18"/>
          <w:i w:val="1"/>
          <w:iCs w:val="1"/>
          <w:u w:val="single" w:color="auto"/>
          <w:color w:val="0000FF"/>
        </w:rPr>
        <w:t>www.cumberlandpharma.com</w:t>
      </w:r>
      <w:r>
        <w:rPr>
          <w:rFonts w:ascii="Times New Roman" w:cs="Times New Roman" w:eastAsia="Times New Roman" w:hAnsi="Times New Roman"/>
          <w:sz w:val="18"/>
          <w:szCs w:val="18"/>
          <w:color w:val="auto"/>
          <w:highlight w:val="white"/>
        </w:rPr>
        <w:t>, which contains information about us. Our website and</w:t>
      </w:r>
      <w:r>
        <w:rPr>
          <w:rFonts w:ascii="Times New Roman" w:cs="Times New Roman" w:eastAsia="Times New Roman" w:hAnsi="Times New Roman"/>
          <w:sz w:val="18"/>
          <w:szCs w:val="18"/>
          <w:color w:val="auto"/>
        </w:rPr>
        <w:t xml:space="preserve"> the information contained on it and connected to it will not be deemed incorporated by reference into this prospectus. We were incorporated in 1999 and have been headquartered in Nashville, Tennessee since inception. During 2009, we completed an initial public offering of our common stock, which is listed on Nasdaq under the symbol “CPIX.”.</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quality of care for patients and address unmet or poorly met medical needs. We promote our approved products through our hospital and field sales forces in the United States and are establishing a network of international partners to bring our products to patients in their countries.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FDA approved brands includes:</w:t>
      </w:r>
    </w:p>
    <w:p>
      <w:pPr>
        <w:spacing w:after="0" w:line="185"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Acetadote® (acetylcysteine) Injection, for the treatment of acetaminophen poisoning;</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Caldolor® (ibuprofen) Injection for the treatment of pain and fever;</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Kristalose® (lactulose) for Oral Solution, a prescription laxative, for the treatment of chronic and acute constipation;</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0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Omeclamox®-Pak, (omeprazole, clarithromycin, amoxicillin) for the treatment of Helicobacter pylori (H. pylori) infection and related duodenal ulcer disease;</w:t>
      </w:r>
    </w:p>
    <w:p>
      <w:pPr>
        <w:spacing w:after="0" w:line="13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Vaprisol® (conivaptan) Injection, to raise serum sodium levels in hospitalized patients with euvolemic and hypervolemic hyponatremia;</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3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Vibativ® (telavancin) Injection, for the treatment of certain serious bacterial infections including hospital-acquired and ventilator-associated bacterial pneumonia, as well as complicated skin and skin structure infections; and</w:t>
      </w:r>
    </w:p>
    <w:p>
      <w:pPr>
        <w:spacing w:after="0" w:line="121" w:lineRule="exact"/>
        <w:rPr>
          <w:rFonts w:ascii="Times New Roman" w:cs="Times New Roman" w:eastAsia="Times New Roman" w:hAnsi="Times New Roman"/>
          <w:sz w:val="18"/>
          <w:szCs w:val="18"/>
          <w:b w:val="1"/>
          <w:bCs w:val="1"/>
          <w:color w:val="auto"/>
        </w:rPr>
      </w:pPr>
    </w:p>
    <w:p>
      <w:pPr>
        <w:ind w:left="1300" w:hanging="644"/>
        <w:spacing w:after="0" w:line="229" w:lineRule="auto"/>
        <w:tabs>
          <w:tab w:leader="none" w:pos="98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RediTrex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(methotrexate) Injection, for the treatment of active rheumatoid, juvenile idiopathic and severe psoriatic arthritis, as well as disabling psoriasis.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feature seven FDA approved products for sale in the United States. Through our international partners, we are working to bring our medicines to patients in their countries. We also look for opportunities to expand our products into additional patient populations through clinical trials, through new presentations, and through our support for select, investigator-initiated studies. We also actively pursue opportunities to acquire additional marketed products, as well as late-stage development product candidates in our target medical specialties. Our clinical team is developing a pipeline of new product candidates largely to address unmet medical needs.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9" w:right="339" w:bottom="1440" w:gutter="0" w:footer="0" w:header="0"/>
        </w:sectPr>
      </w:pPr>
    </w:p>
    <w:bookmarkStart w:id="8" w:name="page9"/>
    <w:bookmarkEnd w:id="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we expect to use the net proceeds from the sale of our securities for general corporate purposes, which may include, among other things, the financing of capital expenditures, acquisitions and additions to our working capital. The actual application of proceeds from the sale of any particular tranche of securities issued hereunder will be described in the applicable prospectus supplement relating to such tranche of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120,000,000 shares of stock at no par value. Of the authorized capital, 100,000,000 shares are authorized to be issued as common stock and 20,000,000 shares are authorized to be issued as preferred stock. Our issued and outstanding shares of common stock as of December 11, 2020 consisted of 15,016,604 shares which were held by 87 shareholders of record, which excludes shareholders whose shares are held in nominee or street name by brokers. To date, there are no issued and outstanding shares of preferred stock.</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Third Amended and Restated Charter and our Second Amended and Restated Bylaws, which are incorporated by reference into this prospectus. See “Where You Can Find More Information.”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all matters submitted to a vote of shareholders, holders of common stock are entitled to one vote for each share registered in his or her name on our books, and they do not have cumulative voting rights. Each share of the common stock is entitled to share equally with each other share of common stock in dividends from sources legally available therefore, when, as, and if declared by the board of directors and, upon our liquidation or dissolution, whether voluntary or involuntary, to share equally in the assets that are available for distribution to the holders of the common stock. We have not paid any cash dividends since our inception. Holders of our common stock have no preemptive, subscription, redemption or conversion rights. The board of directors is authorized to issue additional shares of common stock within the limits authorized by our Third Amended and Restated Charter and without shareholder action.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classes or series, each such class or series to be so designated as to distinguish the shares thereof from the shares of all other series and classes. The board of directors is authorized to divide preferred stock into classes or series and to fix and determine the relative rights, preferences, qualifications and limitations of the shares of any class or series so established. The number of shares of Preferred Stock the Company may offer is up to 20,000,000 and those shares can be one or more classes or series.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designated 3 million shares of Preferred Stock as Series A (“Series A”). A summary of the terms of the Series A is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6"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Currently there are 3 million shares of Series A designated,</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a liquidation value of $3.25,</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 rate on parity with the common stock,</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voting rights equal to one vote per share,</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redeemable or subject to a sinking fund;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at which the preferred stock will be issued will be set by the Company;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preferences, qualifications, limitations and restrictions on the remaining shares of Preferred Stock shall be set by the Company prior to issuance and those terms of any new series or classes of preferred stock will be filed with the SEC. The Company will determine whether the preferred stock is convertible or exchangeable for any other securities, and the terms of any such conversion. All other rights, preferences, qualifications, limitations and restrictions of the preferred stock shall be established by the Company before issuance and filed with the SEC.</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to sell preferred stock, our board of directors is authorized to designate and issue shares of preferred stock in one or more series without shareholder approval. Our board of directors would have discretion to determine the rights, preferences,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73" w:right="339" w:bottom="1440" w:gutter="0" w:footer="0" w:header="0"/>
          <w:type w:val="continuous"/>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privileges and restrictions, including voting rights, dividend rights, conversion rights, redemption privileges and liquidation preferences, of each series of preferred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conditions and provisions of the Series A Preferred Stock are described in Exhibit 4.2.</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121" w:lineRule="exact"/>
        <w:rPr>
          <w:sz w:val="20"/>
          <w:szCs w:val="20"/>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restricting dividends on the common stock;</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diluting the voting power of the common stock;</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impairing the liquidation rights of the common stock; and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delaying or preventing a change in control of our company.</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Transfer Agent or Registrar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and registrar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jc w:val="both"/>
        <w:ind w:firstLine="259"/>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“CPIX.” On December 10, 2020, the closing price for our common stock, as reported on Nasdaq, was $3.01 per share.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121" w:lineRule="exact"/>
        <w:rPr>
          <w:sz w:val="20"/>
          <w:szCs w:val="20"/>
          <w:color w:val="auto"/>
        </w:rPr>
      </w:pPr>
    </w:p>
    <w:p>
      <w:pPr>
        <w:ind w:left="1300" w:hanging="644"/>
        <w:spacing w:after="0" w:line="282" w:lineRule="auto"/>
        <w:tabs>
          <w:tab w:leader="none" w:pos="89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of common stock or preferred stock purchasable upon the exercise of warrants to purchase common stock or preferred stock and the price at which such number of shares of common stock or preferred stock may be purchased upon such exercise;</w:t>
      </w:r>
    </w:p>
    <w:p>
      <w:pPr>
        <w:spacing w:after="0" w:line="12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federal income tax consequences applicable to such warrants;</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warrants outstanding as of the most recent practicable date; and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terms of such warrants.</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Warrants will be issued in registered form only. The exercise price for warrants will be subject to adjustment in accordance with the applicable prospectus supplement.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9"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the common stock purchasable upon such exercise, or to exercise any applicable right to vote.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conduct a portion of our operations through subsidiaries. Unless the debt securities are guaranteed by our subsidiaries as described below,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In the summary below, we have included references to article or section numbers of the applicable Indenture so that you can easily locate these provisions.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will be our unsecured obligations.</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subordinated in right of payment to the prior payment in full of all of our Senior Debt (as defined) as described under “—Subordination of Subordinated Debt Securities” and in the prospectus supplement applicable to any subordinated debt securities. If the prospectus supplement so indicates, the debt securities will be convertible into our common stock (Section 301).</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121"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the debt securities;</w:t>
      </w:r>
    </w:p>
    <w:p>
      <w:pPr>
        <w:spacing w:after="0" w:line="198" w:lineRule="exact"/>
        <w:rPr>
          <w:rFonts w:ascii="Times New Roman" w:cs="Times New Roman" w:eastAsia="Times New Roman" w:hAnsi="Times New Roman"/>
          <w:sz w:val="18"/>
          <w:szCs w:val="18"/>
          <w:color w:val="auto"/>
        </w:rPr>
      </w:pPr>
    </w:p>
    <w:p>
      <w:pPr>
        <w:ind w:firstLine="656"/>
        <w:spacing w:after="0" w:line="28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if subordinated debt securities, the related subordination terms;</w:t>
      </w:r>
    </w:p>
    <w:p>
      <w:pPr>
        <w:spacing w:after="0" w:line="12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9" w:right="339" w:bottom="1440" w:gutter="0" w:footer="0" w:header="0"/>
        </w:sectPr>
      </w:pPr>
    </w:p>
    <w:bookmarkStart w:id="12" w:name="page13"/>
    <w:bookmarkEnd w:id="12"/>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w:t>
      </w:r>
    </w:p>
    <w:p>
      <w:pPr>
        <w:spacing w:after="0" w:line="19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upon which the debt securities may be redeemed, in whole or in part, at our option;</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84" w:lineRule="exact"/>
        <w:rPr>
          <w:rFonts w:ascii="Times New Roman" w:cs="Times New Roman" w:eastAsia="Times New Roman" w:hAnsi="Times New Roman"/>
          <w:sz w:val="18"/>
          <w:szCs w:val="18"/>
          <w:color w:val="auto"/>
        </w:rPr>
      </w:pPr>
    </w:p>
    <w:p>
      <w:pPr>
        <w:ind w:right="20" w:firstLine="656"/>
        <w:spacing w:after="0" w:line="282" w:lineRule="auto"/>
        <w:tabs>
          <w:tab w:leader="none" w:pos="1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w:t>
      </w:r>
    </w:p>
    <w:p>
      <w:pPr>
        <w:spacing w:after="0" w:line="184"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w:t>
      </w:r>
    </w:p>
    <w:p>
      <w:pPr>
        <w:spacing w:after="0" w:line="184" w:lineRule="exact"/>
        <w:rPr>
          <w:rFonts w:ascii="Times New Roman" w:cs="Times New Roman" w:eastAsia="Times New Roman" w:hAnsi="Times New Roman"/>
          <w:sz w:val="18"/>
          <w:szCs w:val="18"/>
          <w:color w:val="auto"/>
        </w:rPr>
      </w:pPr>
    </w:p>
    <w:p>
      <w:pPr>
        <w:ind w:right="20" w:firstLine="656"/>
        <w:spacing w:after="0" w:line="282" w:lineRule="auto"/>
        <w:tabs>
          <w:tab w:leader="none" w:pos="12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the debt securities; and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 (Section 301).</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(Article Twelve of the Subordinated Indenture). The prospectus supplement relating to any subordinated debt securities will summarize the subordination provisions of the Subordinated Indenture applicable to that series including:</w:t>
      </w:r>
    </w:p>
    <w:p>
      <w:pPr>
        <w:spacing w:after="0" w:line="156" w:lineRule="exact"/>
        <w:rPr>
          <w:sz w:val="20"/>
          <w:szCs w:val="20"/>
          <w:color w:val="auto"/>
        </w:rPr>
      </w:pPr>
    </w:p>
    <w:p>
      <w:pPr>
        <w:ind w:left="1300" w:hanging="644"/>
        <w:spacing w:after="0" w:line="266" w:lineRule="auto"/>
        <w:tabs>
          <w:tab w:leader="none" w:pos="89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135"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91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12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5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prospectus supplement will also describe as of a recent date the approximate amount of Senior Debt to which the subordinated debt securities of that series will be subordinated.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69" w:right="339" w:bottom="1440" w:gutter="0" w:footer="0" w:header="0"/>
          <w:type w:val="continuous"/>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35" w:lineRule="exact"/>
        <w:rPr>
          <w:sz w:val="20"/>
          <w:szCs w:val="20"/>
          <w:color w:val="auto"/>
        </w:rPr>
      </w:pPr>
    </w:p>
    <w:p>
      <w:pPr>
        <w:ind w:firstLine="656"/>
        <w:spacing w:after="0" w:line="282"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represented by such Global Security has occurred and is continuing and the Trustee has received a written request from the Depositary to issue certificated debt securities; or</w:t>
      </w:r>
    </w:p>
    <w:p>
      <w:pPr>
        <w:spacing w:after="0" w:line="13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exist, in addition to or in lieu of those described above, as may be described in the applicable prospectus supplement.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debt securities issued in exchange for a Global Security or any portion thereof will be registered in such names as the Depositary may direct (Sections 205 and 305).</w:t>
      </w:r>
    </w:p>
    <w:p>
      <w:pPr>
        <w:spacing w:after="0" w:line="3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69" w:right="339" w:bottom="1440" w:gutter="0" w:footer="0" w:header="0"/>
          <w:type w:val="continuous"/>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 Trustees or the agents of ourself,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(Section 307).</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(Section 1003).</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121" w:lineRule="exact"/>
        <w:rPr>
          <w:sz w:val="20"/>
          <w:szCs w:val="20"/>
          <w:color w:val="auto"/>
        </w:rPr>
      </w:pPr>
    </w:p>
    <w:p>
      <w:pPr>
        <w:jc w:val="both"/>
        <w:ind w:firstLine="656"/>
        <w:spacing w:after="0" w:line="266" w:lineRule="auto"/>
        <w:tabs>
          <w:tab w:leader="none" w:pos="10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48" w:lineRule="exact"/>
        <w:rPr>
          <w:rFonts w:ascii="Times New Roman" w:cs="Times New Roman" w:eastAsia="Times New Roman" w:hAnsi="Times New Roman"/>
          <w:sz w:val="18"/>
          <w:szCs w:val="18"/>
          <w:color w:val="auto"/>
        </w:rPr>
      </w:pPr>
    </w:p>
    <w:p>
      <w:pPr>
        <w:ind w:firstLine="656"/>
        <w:spacing w:after="0" w:line="282" w:lineRule="auto"/>
        <w:tabs>
          <w:tab w:leader="none" w:pos="10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pro forma effect to the transaction, no Event of Default, and no event which, after notice or lapse of time or both, would become an Event of Default, has occurred and is continuing;</w:t>
      </w:r>
    </w:p>
    <w:p>
      <w:pPr>
        <w:spacing w:after="0" w:line="121" w:lineRule="exact"/>
        <w:rPr>
          <w:rFonts w:ascii="Times New Roman" w:cs="Times New Roman" w:eastAsia="Times New Roman" w:hAnsi="Times New Roman"/>
          <w:sz w:val="18"/>
          <w:szCs w:val="18"/>
          <w:color w:val="auto"/>
        </w:rPr>
      </w:pPr>
    </w:p>
    <w:p>
      <w:pPr>
        <w:ind w:right="20" w:firstLine="656"/>
        <w:spacing w:after="0" w:line="282" w:lineRule="auto"/>
        <w:tabs>
          <w:tab w:leader="none" w:pos="1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other conditions, including any additional conditions with respect to any particular debt securities specified in the applicable prospectus supplement, are met (Section 801).</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each of the following will constitute an Event of Default under the applicable Indenture with respect to debt securities of any series:</w:t>
      </w:r>
    </w:p>
    <w:p>
      <w:pPr>
        <w:spacing w:after="0" w:line="121" w:lineRule="exact"/>
        <w:rPr>
          <w:sz w:val="20"/>
          <w:szCs w:val="20"/>
          <w:color w:val="auto"/>
        </w:rPr>
      </w:pPr>
    </w:p>
    <w:p>
      <w:pPr>
        <w:ind w:firstLine="656"/>
        <w:spacing w:after="0" w:line="282" w:lineRule="auto"/>
        <w:tabs>
          <w:tab w:leader="none" w:pos="10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134" w:lineRule="exact"/>
        <w:rPr>
          <w:rFonts w:ascii="Times New Roman" w:cs="Times New Roman" w:eastAsia="Times New Roman" w:hAnsi="Times New Roman"/>
          <w:sz w:val="18"/>
          <w:szCs w:val="18"/>
          <w:color w:val="auto"/>
        </w:rPr>
      </w:pPr>
    </w:p>
    <w:p>
      <w:pPr>
        <w:ind w:firstLine="656"/>
        <w:spacing w:after="0" w:line="282" w:lineRule="auto"/>
        <w:tabs>
          <w:tab w:leader="none" w:pos="10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9" w:right="339" w:bottom="1440" w:gutter="0" w:footer="0" w:header="0"/>
        </w:sectPr>
      </w:pPr>
    </w:p>
    <w:bookmarkStart w:id="15" w:name="page16"/>
    <w:bookmarkEnd w:id="15"/>
    <w:p>
      <w:pPr>
        <w:ind w:firstLine="656"/>
        <w:spacing w:after="0" w:line="282" w:lineRule="auto"/>
        <w:tabs>
          <w:tab w:leader="none" w:pos="11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12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comply with the provisions described under “—Consolidation, Merger and Sale of Assets”;</w:t>
      </w:r>
    </w:p>
    <w:p>
      <w:pPr>
        <w:spacing w:after="0" w:line="19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13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 or any Significant Subsidiary.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with respect to Cumberland Pharmaceuticals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Cumberland Pharmaceuticals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(Section 502). For information as to waiver of defaults, see “—Modification and Waiver” below.</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(Section 602).</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(Section 603).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121" w:lineRule="exact"/>
        <w:rPr>
          <w:sz w:val="20"/>
          <w:szCs w:val="20"/>
          <w:color w:val="auto"/>
        </w:rPr>
      </w:pPr>
    </w:p>
    <w:p>
      <w:pPr>
        <w:ind w:firstLine="656"/>
        <w:spacing w:after="0" w:line="282" w:lineRule="auto"/>
        <w:tabs>
          <w:tab w:leader="none" w:pos="10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under the applicable Indenture written notice of a continuing Event of Default with respect to the debt securities of that series;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34" w:lineRule="exact"/>
        <w:rPr>
          <w:rFonts w:ascii="Times New Roman" w:cs="Times New Roman" w:eastAsia="Times New Roman" w:hAnsi="Times New Roman"/>
          <w:sz w:val="18"/>
          <w:szCs w:val="18"/>
          <w:color w:val="auto"/>
        </w:rPr>
      </w:pPr>
    </w:p>
    <w:p>
      <w:pPr>
        <w:ind w:right="20" w:firstLine="656"/>
        <w:spacing w:after="0" w:line="282" w:lineRule="auto"/>
        <w:tabs>
          <w:tab w:leader="none" w:pos="11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9"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(Section 1004).</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w:t>
      </w:r>
    </w:p>
    <w:p>
      <w:pPr>
        <w:spacing w:after="0" w:line="135" w:lineRule="exact"/>
        <w:rPr>
          <w:sz w:val="20"/>
          <w:szCs w:val="20"/>
          <w:color w:val="auto"/>
        </w:rPr>
      </w:pPr>
    </w:p>
    <w:p>
      <w:pPr>
        <w:ind w:right="20" w:firstLine="656"/>
        <w:spacing w:after="0" w:line="282" w:lineRule="auto"/>
        <w:tabs>
          <w:tab w:leader="none" w:pos="11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our obligations under the applicable Indenture and the debt securities of any series;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0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by us, or surrender any of our rights conferred by the applicable Indenture, for the benefit of the holders of debt securities of any or all series;</w:t>
      </w:r>
    </w:p>
    <w:p>
      <w:pPr>
        <w:spacing w:after="0" w:line="13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or make any other provision with respect to questions arising under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16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series of debt securities, including any subordinated securities;</w:t>
      </w:r>
    </w:p>
    <w:p>
      <w:pPr>
        <w:spacing w:after="0" w:line="184" w:lineRule="exact"/>
        <w:rPr>
          <w:rFonts w:ascii="Times New Roman" w:cs="Times New Roman" w:eastAsia="Times New Roman" w:hAnsi="Times New Roman"/>
          <w:sz w:val="18"/>
          <w:szCs w:val="18"/>
          <w:color w:val="auto"/>
        </w:rPr>
      </w:pPr>
    </w:p>
    <w:p>
      <w:pPr>
        <w:ind w:firstLine="656"/>
        <w:spacing w:after="0" w:line="282" w:lineRule="auto"/>
        <w:tabs>
          <w:tab w:leader="none" w:pos="10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any successor trustee with respect to one or more series of debt securities or to facilitate the administration of the trusts thereunder by one or more trustees in accordance with the applicable Indenture; and</w:t>
      </w:r>
    </w:p>
    <w:p>
      <w:pPr>
        <w:spacing w:after="0" w:line="13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 (Section 901).</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Modifications and amendments of an Indenture may be made by us, the Subsidiary Guarantors, if applicable,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135"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w:t>
      </w:r>
    </w:p>
    <w:p>
      <w:pPr>
        <w:spacing w:after="0" w:line="19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debt security;</w:t>
      </w:r>
    </w:p>
    <w:p>
      <w:pPr>
        <w:spacing w:after="0" w:line="18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or any other debt security payable upon acceleration of the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166"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debt security;</w:t>
      </w:r>
    </w:p>
    <w:p>
      <w:pPr>
        <w:spacing w:after="0" w:line="19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any conversion right with respect to any debt security;</w:t>
      </w:r>
    </w:p>
    <w:p>
      <w:pPr>
        <w:spacing w:after="0" w:line="184"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1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134" w:lineRule="exact"/>
        <w:rPr>
          <w:rFonts w:ascii="Times New Roman" w:cs="Times New Roman" w:eastAsia="Times New Roman" w:hAnsi="Times New Roman"/>
          <w:sz w:val="18"/>
          <w:szCs w:val="18"/>
          <w:color w:val="auto"/>
        </w:rPr>
      </w:pPr>
    </w:p>
    <w:p>
      <w:pPr>
        <w:ind w:firstLine="656"/>
        <w:spacing w:after="0" w:line="282" w:lineRule="auto"/>
        <w:tabs>
          <w:tab w:leader="none" w:pos="11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12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amendment or waiver (Section 902).</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compliance by us with certain restrictive provisions of the applicable Indenture (Section 1009).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9" w:right="339" w:bottom="1440" w:gutter="0" w:footer="0" w:header="0"/>
          <w:type w:val="continuous"/>
        </w:sectPr>
      </w:pPr>
    </w:p>
    <w:bookmarkStart w:id="17" w:name="page18"/>
    <w:bookmarkEnd w:id="17"/>
    <w:p>
      <w:pPr>
        <w:ind w:firstLine="656"/>
        <w:spacing w:after="0" w:line="282" w:lineRule="auto"/>
        <w:tabs>
          <w:tab w:leader="none" w:pos="10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debt securities, including those owned by us or any of our other Affiliates, will not be deemed to be Outstanding (Section 101).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185" w:lineRule="exact"/>
        <w:rPr>
          <w:sz w:val="20"/>
          <w:szCs w:val="20"/>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85" w:lineRule="exact"/>
        <w:rPr>
          <w:sz w:val="20"/>
          <w:szCs w:val="20"/>
          <w:color w:val="auto"/>
        </w:rPr>
      </w:pPr>
    </w:p>
    <w:p>
      <w:pPr>
        <w:jc w:val="both"/>
        <w:ind w:firstLine="656"/>
        <w:spacing w:after="0" w:line="266" w:lineRule="auto"/>
        <w:tabs>
          <w:tab w:leader="none" w:pos="11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43" w:lineRule="exact"/>
        <w:rPr>
          <w:sz w:val="20"/>
          <w:szCs w:val="20"/>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debt securities of that series; and</w:t>
      </w:r>
    </w:p>
    <w:p>
      <w:pPr>
        <w:spacing w:after="0" w:line="184" w:lineRule="exact"/>
        <w:rPr>
          <w:rFonts w:ascii="Times New Roman" w:cs="Times New Roman" w:eastAsia="Times New Roman" w:hAnsi="Times New Roman"/>
          <w:sz w:val="18"/>
          <w:szCs w:val="18"/>
          <w:color w:val="auto"/>
        </w:rPr>
      </w:pPr>
    </w:p>
    <w:p>
      <w:pPr>
        <w:ind w:firstLine="656"/>
        <w:spacing w:after="0" w:line="282" w:lineRule="auto"/>
        <w:tabs>
          <w:tab w:leader="none" w:pos="10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 (Article Four).</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Indentures provide that, upon our exercise of our option (if any) to have Section 1502 applied to any debt securities,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69"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premium and interest on such debt securities on the respective Stated Maturities in accordance with the terms of the applicable Indenture and such debt securities. Such defeasance or discharge may occur only if, among other things:</w:t>
      </w:r>
    </w:p>
    <w:p>
      <w:pPr>
        <w:spacing w:after="0" w:line="121" w:lineRule="exact"/>
        <w:rPr>
          <w:sz w:val="20"/>
          <w:szCs w:val="20"/>
          <w:color w:val="auto"/>
        </w:rPr>
      </w:pPr>
    </w:p>
    <w:p>
      <w:pPr>
        <w:jc w:val="both"/>
        <w:ind w:firstLine="656"/>
        <w:spacing w:after="0" w:line="261" w:lineRule="auto"/>
        <w:tabs>
          <w:tab w:leader="none" w:pos="10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1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135"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legal defeasance will not result in a breach or violation of, or constitute a default under, any agreement or instrument to which we are a party or by which we are bound;</w:t>
      </w:r>
    </w:p>
    <w:p>
      <w:pPr>
        <w:spacing w:after="0" w:line="12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152" w:lineRule="exact"/>
        <w:rPr>
          <w:rFonts w:ascii="Times New Roman" w:cs="Times New Roman" w:eastAsia="Times New Roman" w:hAnsi="Times New Roman"/>
          <w:sz w:val="18"/>
          <w:szCs w:val="18"/>
          <w:color w:val="auto"/>
        </w:rPr>
      </w:pPr>
    </w:p>
    <w:p>
      <w:pPr>
        <w:ind w:firstLine="656"/>
        <w:spacing w:after="0" w:line="282" w:lineRule="auto"/>
        <w:tabs>
          <w:tab w:leader="none" w:pos="10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The Indentures provide that, upon our exercise of our option (if any) to have Section 1503 applied to any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exercise either our legal defeasance or covenant defeasance option, any Subsidiary Guarantees will terminate (Section 1304).</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may appear in the Security Register (Sections 101 and 106).</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the Subsidiary Guarantors, the Trustees and any agent of us, the Subsidiary Guarantors or a Trustee may treat the Person in whose name a</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debt security is registered as the absolute owner of the debt security (whether or not such debt security may be overdue) for the purpose of making payment and for all other purposes (Section 308).</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69"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 of the State of New York (Section 112).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units comprised of common stock, preferred stock, warrants and other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53" w:lineRule="exact"/>
        <w:rPr>
          <w:sz w:val="20"/>
          <w:szCs w:val="20"/>
          <w:color w:val="auto"/>
        </w:rPr>
      </w:pPr>
    </w:p>
    <w:p>
      <w:pPr>
        <w:ind w:left="980" w:right="600" w:hanging="324"/>
        <w:spacing w:after="0" w:line="282" w:lineRule="auto"/>
        <w:tabs>
          <w:tab w:leader="none" w:pos="8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2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8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9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U.S. federal income tax considerations relating to the units;</w:t>
      </w:r>
    </w:p>
    <w:p>
      <w:pPr>
        <w:spacing w:after="0" w:line="18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8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Stock", "Description of Preferred Stock," and "Description of Warrants" will apply to the securities included in each unit, to the extent relevant and as may be updated in any prospectus supplements.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without Consent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85" w:lineRule="exact"/>
        <w:rPr>
          <w:sz w:val="20"/>
          <w:szCs w:val="20"/>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 any provisions of the governing unit agreement that differ from those described below;</w:t>
      </w:r>
    </w:p>
    <w:p>
      <w:pPr>
        <w:spacing w:after="0" w:line="19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5" w:right="339" w:bottom="1440" w:gutter="0" w:footer="0" w:header="0"/>
        </w:sectPr>
      </w:pPr>
    </w:p>
    <w:bookmarkStart w:id="20" w:name="page21"/>
    <w:bookmarkEnd w:id="20"/>
    <w:p>
      <w:pPr>
        <w:ind w:left="980" w:right="20" w:hanging="324"/>
        <w:spacing w:after="0" w:line="282" w:lineRule="auto"/>
        <w:tabs>
          <w:tab w:leader="none" w:pos="9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 Consent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21" w:lineRule="exact"/>
        <w:rPr>
          <w:sz w:val="20"/>
          <w:szCs w:val="20"/>
          <w:color w:val="auto"/>
        </w:rPr>
      </w:pPr>
    </w:p>
    <w:p>
      <w:pPr>
        <w:ind w:left="980" w:hanging="324"/>
        <w:spacing w:after="0" w:line="282"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85" w:lineRule="exact"/>
        <w:rPr>
          <w:sz w:val="20"/>
          <w:szCs w:val="20"/>
          <w:color w:val="auto"/>
        </w:rPr>
      </w:pPr>
    </w:p>
    <w:p>
      <w:pPr>
        <w:ind w:left="980" w:hanging="324"/>
        <w:spacing w:after="0" w:line="282" w:lineRule="auto"/>
        <w:tabs>
          <w:tab w:leader="none" w:pos="9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Agreements Will Not Be Qualified under Trust Indenture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Transactions Permitted; No Restrictive Covenants or Events of Default</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Exchange and Transfer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9"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198" w:lineRule="exact"/>
        <w:rPr>
          <w:sz w:val="20"/>
          <w:szCs w:val="20"/>
          <w:color w:val="auto"/>
        </w:rPr>
      </w:pPr>
    </w:p>
    <w:p>
      <w:pPr>
        <w:jc w:val="both"/>
        <w:ind w:left="1300" w:right="20" w:hanging="136"/>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21" w:lineRule="exact"/>
        <w:rPr>
          <w:sz w:val="20"/>
          <w:szCs w:val="20"/>
          <w:color w:val="auto"/>
        </w:rPr>
      </w:pPr>
    </w:p>
    <w:p>
      <w:pPr>
        <w:ind w:left="1300" w:hanging="97"/>
        <w:spacing w:after="0" w:line="282" w:lineRule="auto"/>
        <w:rPr>
          <w:sz w:val="20"/>
          <w:szCs w:val="20"/>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21" w:lineRule="exact"/>
        <w:rPr>
          <w:sz w:val="20"/>
          <w:szCs w:val="20"/>
          <w:color w:val="auto"/>
        </w:rPr>
      </w:pPr>
    </w:p>
    <w:p>
      <w:pPr>
        <w:jc w:val="both"/>
        <w:ind w:left="1300" w:hanging="134"/>
        <w:spacing w:after="0" w:line="261"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53" w:lineRule="exact"/>
        <w:rPr>
          <w:sz w:val="20"/>
          <w:szCs w:val="20"/>
          <w:color w:val="auto"/>
        </w:rPr>
      </w:pPr>
    </w:p>
    <w:p>
      <w:pPr>
        <w:jc w:val="both"/>
        <w:ind w:left="1300" w:hanging="136"/>
        <w:spacing w:after="0" w:line="256" w:lineRule="auto"/>
        <w:rPr>
          <w:sz w:val="20"/>
          <w:szCs w:val="20"/>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7" w:lineRule="exact"/>
        <w:rPr>
          <w:sz w:val="20"/>
          <w:szCs w:val="20"/>
          <w:color w:val="auto"/>
        </w:rPr>
      </w:pPr>
    </w:p>
    <w:p>
      <w:pPr>
        <w:ind w:right="1740" w:firstLine="648"/>
        <w:spacing w:after="0" w:line="461" w:lineRule="auto"/>
        <w:rPr>
          <w:sz w:val="20"/>
          <w:szCs w:val="20"/>
          <w:color w:val="auto"/>
        </w:rPr>
      </w:pPr>
      <w:r>
        <w:rPr>
          <w:rFonts w:ascii="Times New Roman" w:cs="Times New Roman" w:eastAsia="Times New Roman" w:hAnsi="Times New Roman"/>
          <w:sz w:val="18"/>
          <w:szCs w:val="18"/>
          <w:color w:val="auto"/>
        </w:rPr>
        <w:t xml:space="preserve">Only the depositary will be entitled to transfer or exchange a unit in global form, since it will be the sole holder of the unit. </w:t>
      </w:r>
      <w:r>
        <w:rPr>
          <w:rFonts w:ascii="Times New Roman" w:cs="Times New Roman" w:eastAsia="Times New Roman" w:hAnsi="Times New Roman"/>
          <w:sz w:val="18"/>
          <w:szCs w:val="18"/>
          <w:i w:val="1"/>
          <w:iCs w:val="1"/>
          <w:color w:val="auto"/>
        </w:rPr>
        <w:t>Payments and Notices</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from time to time pursuant to underwritten public offering, negotiated transactions, block trades or a combination of these methods in the United States through underwriters or dealers, directly to purchasers or through agents or in ordinary brokerage transactions and transactions in which the broker-dealer solicits purchasers. The securities may be distributed from time to time in one or more transactions:</w:t>
      </w:r>
    </w:p>
    <w:p>
      <w:pPr>
        <w:spacing w:after="0" w:line="149" w:lineRule="exact"/>
        <w:rPr>
          <w:sz w:val="20"/>
          <w:szCs w:val="20"/>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required by applicable law, a prospectus supplement will include the following information:</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offering;</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names of any underwriters or agents;</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the securities and, if the purchase price is not payable in U.S. dollars, the currency or composite currency in which the purchase price is payable;</w:t>
      </w:r>
    </w:p>
    <w:p>
      <w:pPr>
        <w:spacing w:after="0" w:line="12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to us from the sale of the common stock;</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delayed delivery arrangements;</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public offering price;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69" w:right="339" w:bottom="1440" w:gutter="0" w:footer="0" w:header="0"/>
          <w:type w:val="continuous"/>
        </w:sectPr>
      </w:pPr>
    </w:p>
    <w:bookmarkStart w:id="22" w:name="page23"/>
    <w:bookmarkEnd w:id="22"/>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commissions paid to agents.</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will be passed upon for us by Baker, Donelson, Bearman, Caldwell &amp; Berkowitz, PC. Legal counsel to any underwriters may pass upon legal matters for such underwriters.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schedule of Cumberland Pharmaceuticals Inc. as of December 31, 2019 and 2018, and for each of the three years in the period ended December 31, 2019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Our SEC filings are also available on our website located at </w:t>
      </w:r>
      <w:r>
        <w:rPr>
          <w:rFonts w:ascii="Times New Roman" w:cs="Times New Roman" w:eastAsia="Times New Roman" w:hAnsi="Times New Roman"/>
          <w:sz w:val="18"/>
          <w:szCs w:val="18"/>
          <w:i w:val="1"/>
          <w:iCs w:val="1"/>
          <w:color w:val="auto"/>
        </w:rPr>
        <w:t>www.cumberlandpharma.com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accompanying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98" w:lineRule="exact"/>
        <w:rPr>
          <w:sz w:val="20"/>
          <w:szCs w:val="20"/>
          <w:color w:val="auto"/>
        </w:rPr>
      </w:pPr>
    </w:p>
    <w:p>
      <w:pPr>
        <w:ind w:left="1300" w:right="20" w:hanging="644"/>
        <w:spacing w:after="0" w:line="282" w:lineRule="auto"/>
        <w:tabs>
          <w:tab w:leader="none" w:pos="97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Annual Report on Form 10-K for the fiscal year ended December 31, 2019, filed on March 20, 2020, including information specifically incorporated by reference into our Form 10-K from our Proxy Statement for our Annual Meeting of Shareholders held on May 5, 2020;</w:t>
      </w:r>
    </w:p>
    <w:p>
      <w:pPr>
        <w:spacing w:after="0" w:line="12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Quarterly Report on Form 10-Q for the quarter ended March 31, 2020, filed on May 22, 2020, as amended by that Amendment to Quarterly Report on Form 10-Q filed on July 24, 2020;</w:t>
      </w:r>
    </w:p>
    <w:p>
      <w:pPr>
        <w:spacing w:after="0" w:line="12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Quarterly Report on Form 10-Q for the quarter ended June 30, 2020, filed on August 14, 2020;</w:t>
      </w:r>
    </w:p>
    <w:p>
      <w:pPr>
        <w:spacing w:after="0" w:line="198"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Quarterly Report on Form 10-Q for the quarter ended September 30, 2020, filed on November 13, 2020;</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89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Report on Form 8-K and 8-K/A filed with the SEC on January 3, 2020, January 10, 2020, April 21, 2020, May 1, 2020, May 8, 2020, May 29, 2020, October 9, 2020 and December 10, 2020; and</w:t>
      </w:r>
    </w:p>
    <w:p>
      <w:pPr>
        <w:spacing w:after="0" w:line="12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8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description of the Company’s common stock contained in its registration statement on Form 8-A filed on August 1, 2007, and any amendment or report subsequently filed for the purpose of updating such description.</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into this prospectus (i) all other reports filed pursuant to Section 13(a) or 15(d) of the Exchange Act since December 31, 2019, except for information furnished under Form 8-K which is not deemed filed and not incorporated herein by reference, (ii) all documents filed by us pursuant to Section 13(a), 13(c), 14 or 15(d) of the Exchange Act subsequent to the date of this prospectus and before we have sold all of the common stock to which the prospectus relates or the offering is otherwise terminated and (iii) all documents filed by us pursuant to the Exchange Act after the date of the initial registration statement and prior to effectiveness of the registration statement.</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a copy of any or all of the information that has been incorporated in this prospectus by reference but not delivered with this prospectus. Requests for copies should be directed to Cumberland Pharmaceuticals Inc., ATTN: Investor Relations, 2525 West End Avenue, Suite 950, Nashville, Tennessee 37203, telephone (615) 255-0068.</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873"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payable by Cumberland Pharmaceuticals Inc. (sometimes referred to as the “Company” in this Part II of the registration statement) in connection with the issuance and distribution of the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SEC registration fee</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$10,910.00</w:t>
            </w:r>
          </w:p>
        </w:tc>
      </w:tr>
      <w:tr>
        <w:trPr>
          <w:trHeight w:val="27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FINRA Fee</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Legal fees and expenses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9"/>
              </w:rPr>
              <w:t>Transfer agent and registrar fees and expenses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Miscellaneous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4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21"/>
                <w:szCs w:val="21"/>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 *</w:t>
            </w:r>
          </w:p>
        </w:tc>
      </w:tr>
    </w:tbl>
    <w:p>
      <w:pPr>
        <w:spacing w:after="0" w:line="38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These fees depend on the securities offered and the number of issuances and cannot be estimated at this time.</w:t>
      </w:r>
    </w:p>
    <w:p>
      <w:pPr>
        <w:spacing w:after="0" w:line="181"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Tennessee law, a corporation shall indemnify a director or officer against expenses, including attorneys’ fees, actually and reasonably incurred by him, to the extent the director or officer has been successful on the merits or otherwise in defense of any action, suit or proceeding. A corporation may indemnify a director or officer who was or is a party or is threatened to be made a party to any threatened, pending or completed action, suit or proceeding, whether civil, criminal, administrative or investigative, against expenses, including attorneys’ fees, judgments, fines and amounts paid in settlement actually and reasonably incurred by him or her in connection with the action, suit or proceeding. Excepted from that immunity are:</w:t>
      </w:r>
    </w:p>
    <w:p>
      <w:pPr>
        <w:spacing w:after="0" w:line="143" w:lineRule="exact"/>
        <w:rPr>
          <w:sz w:val="20"/>
          <w:szCs w:val="20"/>
          <w:color w:val="auto"/>
        </w:rPr>
      </w:pPr>
    </w:p>
    <w:p>
      <w:pPr>
        <w:ind w:left="1300" w:hanging="644"/>
        <w:spacing w:after="0" w:line="282" w:lineRule="auto"/>
        <w:tabs>
          <w:tab w:leader="none" w:pos="89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willful failure to deal fairly with the company or its shareholders in connection with a matter in which the director has a material conflict of interest;</w:t>
      </w:r>
    </w:p>
    <w:p>
      <w:pPr>
        <w:spacing w:after="0" w:line="12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13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18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willful misconduct.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Amended and Restated Bylaws include an indemnification provision under which we have the power to indemnify our directors, officers and former officers and directors (including heirs and personal representatives) against all costs, charges and expenses actually and reasonably incurred, including an amount paid to settle an action or satisfy a judgment to which the director or officer is made a party by reason of being or having been a director or officer of Cumberland Pharmaceuticals Inc. or any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Second Amended and Restated Bylaws also provide that our directors may cause us to purchase and maintain insurance for the benefit of a person who is or was serving as a director, officer, employee or agent of Cumberland Pharmaceuticals or any of our subsidiaries (including heirs and personal representatives) against a liability incurred by him or her as our director, officer, employee or agent.</w:t>
      </w:r>
    </w:p>
    <w:p>
      <w:pPr>
        <w:spacing w:after="0" w:line="131" w:lineRule="exact"/>
        <w:rPr>
          <w:sz w:val="20"/>
          <w:szCs w:val="20"/>
          <w:color w:val="auto"/>
        </w:rPr>
      </w:pPr>
    </w:p>
    <w:p>
      <w:pPr>
        <w:ind w:left="18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89" w:lineRule="exact"/>
        <w:rPr>
          <w:sz w:val="20"/>
          <w:szCs w:val="20"/>
          <w:color w:val="auto"/>
        </w:rPr>
      </w:pPr>
    </w:p>
    <w:p>
      <w:pPr>
        <w:ind w:firstLine="656"/>
        <w:spacing w:after="0" w:line="282" w:lineRule="auto"/>
        <w:tabs>
          <w:tab w:leader="none" w:pos="9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exhibits required by Item 601 of Regulation S-K to be filed as a part of this registration statement is set forth in the Index to Exhibits on page II-4, which immediately precedes such exhibits.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765" w:right="339" w:bottom="1440" w:gutter="0" w:footer="0" w:header="0"/>
        </w:sectPr>
      </w:pPr>
    </w:p>
    <w:bookmarkStart w:id="25" w:name="page26"/>
    <w:bookmarkEnd w:id="25"/>
    <w:p>
      <w:pPr>
        <w:ind w:left="18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98"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3" w:lineRule="exact"/>
        <w:rPr>
          <w:sz w:val="20"/>
          <w:szCs w:val="20"/>
          <w:color w:val="auto"/>
        </w:rPr>
      </w:pPr>
    </w:p>
    <w:p>
      <w:pPr>
        <w:jc w:val="both"/>
        <w:ind w:firstLine="656"/>
        <w:spacing w:after="0" w:line="266" w:lineRule="auto"/>
        <w:tabs>
          <w:tab w:leader="none" w:pos="10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8"/>
          <w:szCs w:val="18"/>
          <w:color w:val="auto"/>
        </w:rPr>
      </w:pPr>
    </w:p>
    <w:p>
      <w:pPr>
        <w:ind w:firstLine="656"/>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98" w:lineRule="exact"/>
        <w:rPr>
          <w:rFonts w:ascii="Times New Roman" w:cs="Times New Roman" w:eastAsia="Times New Roman" w:hAnsi="Times New Roman"/>
          <w:sz w:val="18"/>
          <w:szCs w:val="18"/>
          <w:color w:val="auto"/>
        </w:rPr>
      </w:pPr>
    </w:p>
    <w:p>
      <w:pPr>
        <w:ind w:right="20" w:firstLine="1304"/>
        <w:spacing w:after="0" w:line="282" w:lineRule="auto"/>
        <w:tabs>
          <w:tab w:leader="none" w:pos="16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765" w:right="339" w:bottom="1440" w:gutter="0" w:footer="0" w:header="0"/>
        </w:sectPr>
      </w:pPr>
    </w:p>
    <w:bookmarkStart w:id="26" w:name="page27"/>
    <w:bookmarkEnd w:id="26"/>
    <w:p>
      <w:pPr>
        <w:jc w:val="both"/>
        <w:ind w:firstLine="6"/>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7" w:lineRule="exact"/>
        <w:rPr>
          <w:sz w:val="20"/>
          <w:szCs w:val="20"/>
          <w:color w:val="auto"/>
        </w:rPr>
      </w:pPr>
    </w:p>
    <w:p>
      <w:pPr>
        <w:ind w:left="1660" w:hanging="356"/>
        <w:spacing w:after="0"/>
        <w:tabs>
          <w:tab w:leader="none" w:pos="1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424;</w:t>
      </w:r>
    </w:p>
    <w:p>
      <w:pPr>
        <w:spacing w:after="0" w:line="207" w:lineRule="exact"/>
        <w:rPr>
          <w:sz w:val="20"/>
          <w:szCs w:val="20"/>
          <w:color w:val="auto"/>
        </w:rPr>
      </w:pPr>
    </w:p>
    <w:p>
      <w:pPr>
        <w:ind w:firstLine="1304"/>
        <w:spacing w:after="0" w:line="282" w:lineRule="auto"/>
        <w:tabs>
          <w:tab w:leader="none" w:pos="170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 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52" w:lineRule="exact"/>
        <w:rPr>
          <w:rFonts w:ascii="Times New Roman" w:cs="Times New Roman" w:eastAsia="Times New Roman" w:hAnsi="Times New Roman"/>
          <w:sz w:val="18"/>
          <w:szCs w:val="18"/>
          <w:color w:val="auto"/>
        </w:rPr>
      </w:pPr>
    </w:p>
    <w:p>
      <w:pPr>
        <w:jc w:val="both"/>
        <w:ind w:firstLine="656"/>
        <w:spacing w:after="0" w:line="254"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and</w:t>
      </w:r>
    </w:p>
    <w:p>
      <w:pPr>
        <w:spacing w:after="0" w:line="15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0" w:type="dxa"/>
            <w:vAlign w:val="bottom"/>
          </w:tcPr>
          <w:p>
            <w:pPr>
              <w:spacing w:after="0"/>
              <w:rPr>
                <w:sz w:val="17"/>
                <w:szCs w:val="17"/>
                <w:color w:val="auto"/>
              </w:rPr>
            </w:pPr>
          </w:p>
        </w:tc>
        <w:tc>
          <w:tcPr>
            <w:tcW w:w="6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60" w:type="dxa"/>
            <w:vAlign w:val="bottom"/>
            <w:tcBorders>
              <w:bottom w:val="single" w:sz="8" w:color="0000FF"/>
            </w:tcBorders>
            <w:gridSpan w:val="4"/>
          </w:tcPr>
          <w:p>
            <w:pPr>
              <w:ind w:left="20"/>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—Specimen form of the Company’s Common Stock Certificate (Previously filed as Exhibit 4.1 to Form S-1/A filed on August 6, 2007) (File</w:t>
              </w:r>
            </w:hyperlink>
          </w:p>
        </w:tc>
      </w:tr>
      <w:tr>
        <w:trPr>
          <w:trHeight w:val="196"/>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4"/>
          </w:tcPr>
          <w:p>
            <w:pPr>
              <w:ind w:left="20"/>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No. 333-142535)</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920" w:type="dxa"/>
            <w:vAlign w:val="bottom"/>
            <w:gridSpan w:val="3"/>
          </w:tcPr>
          <w:p>
            <w:pPr>
              <w:spacing w:after="0" w:line="20" w:lineRule="exact"/>
              <w:rPr>
                <w:sz w:val="1"/>
                <w:szCs w:val="1"/>
                <w:color w:val="auto"/>
              </w:rPr>
            </w:pPr>
          </w:p>
        </w:tc>
      </w:tr>
      <w:tr>
        <w:trPr>
          <w:trHeight w:val="29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60" w:type="dxa"/>
            <w:vAlign w:val="bottom"/>
            <w:gridSpan w:val="4"/>
          </w:tcPr>
          <w:p>
            <w:pPr>
              <w:ind w:left="2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—Preferred Stock Terms, Rights, and Provisions (filed as Exhibit 4.2 to Amendment No. 1 to Form S-3 filed on December 19, 2017)</w:t>
              </w:r>
            </w:hyperlink>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10160" w:type="dxa"/>
            <w:vAlign w:val="bottom"/>
            <w:gridSpan w:val="4"/>
          </w:tcPr>
          <w:p>
            <w:pPr>
              <w:ind w:left="20"/>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—Form of Senior Indenture (filed as Exhibit 4.2 to Form S-3 filed on November 7, 2017)</w:t>
              </w:r>
            </w:hyperlink>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3"/>
                <w:szCs w:val="23"/>
                <w:color w:val="auto"/>
              </w:rPr>
            </w:pPr>
          </w:p>
        </w:tc>
        <w:tc>
          <w:tcPr>
            <w:tcW w:w="10160" w:type="dxa"/>
            <w:vAlign w:val="bottom"/>
            <w:gridSpan w:val="4"/>
          </w:tcPr>
          <w:p>
            <w:pPr>
              <w:ind w:left="20"/>
              <w:spacing w:after="0"/>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—Form of Subordinated Indenture (filed as Exhibit 4.3 to Form S-3 filed on November 7, 2017)</w:t>
              </w:r>
            </w:hyperlink>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3"/>
                <w:szCs w:val="23"/>
                <w:color w:val="auto"/>
              </w:rPr>
            </w:pPr>
          </w:p>
        </w:tc>
        <w:tc>
          <w:tcPr>
            <w:tcW w:w="10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10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10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—Form of Unit</w:t>
            </w:r>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10160" w:type="dxa"/>
            <w:vAlign w:val="bottom"/>
            <w:gridSpan w:val="4"/>
          </w:tcPr>
          <w:p>
            <w:pPr>
              <w:ind w:left="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—Opinion of Baker, Donelson, Bearman, Caldwell &amp; Berkowitz, PC</w:t>
              </w:r>
            </w:hyperlink>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0160" w:type="dxa"/>
            <w:vAlign w:val="bottom"/>
            <w:gridSpan w:val="4"/>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—Consent of BDO USA, LLP, Independent Registered Public Accounting Firm</w:t>
              </w:r>
            </w:hyperlink>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3"/>
                <w:szCs w:val="23"/>
                <w:color w:val="auto"/>
              </w:rPr>
            </w:pPr>
          </w:p>
        </w:tc>
        <w:tc>
          <w:tcPr>
            <w:tcW w:w="10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—Consent of Baker, Donelson, Bearman, Caldwell &amp; Berkowitz, PC (included in its legal opinion filed as Exhibit 5.1)</w:t>
            </w:r>
          </w:p>
        </w:tc>
      </w:tr>
      <w:tr>
        <w:trPr>
          <w:trHeight w:val="27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10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—Power of Attorney of the Officers and Directors of Cumberland Pharmaceuticals Inc. (included on the signature page)</w:t>
            </w:r>
          </w:p>
        </w:tc>
      </w:tr>
    </w:tbl>
    <w:p>
      <w:pPr>
        <w:spacing w:after="0" w:line="117" w:lineRule="exact"/>
        <w:rPr>
          <w:sz w:val="20"/>
          <w:szCs w:val="20"/>
          <w:color w:val="auto"/>
        </w:rPr>
      </w:pPr>
    </w:p>
    <w:p>
      <w:pPr>
        <w:ind w:right="4300" w:firstLine="8"/>
        <w:spacing w:after="0" w:line="261" w:lineRule="auto"/>
        <w:tabs>
          <w:tab w:leader="none" w:pos="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of the registrant.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40"/>
          </w:cols>
          <w:pgMar w:left="320" w:top="100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320" w:top="1008" w:right="539" w:bottom="1440" w:gutter="0" w:footer="0" w:header="0"/>
          <w:type w:val="continuous"/>
        </w:sectPr>
      </w:pPr>
    </w:p>
    <w:bookmarkStart w:id="28" w:name="page29"/>
    <w:bookmarkEnd w:id="28"/>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Nashville, Tennessee, on the 11th day of December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8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-6350</wp:posOffset>
            </wp:positionV>
            <wp:extent cx="1351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 Kazimi, Chairman of the Board and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each of A.J. Kazimi and Michael P. Bonner his or her true and lawful attorneys-in-fact and agents, with full power of substitution and resubstitution, for him and in his name, place and stead, in any and all capacities, to sign, execute and file with the Securities and Exchange Commission and any state securities regulatory board or commission any documents relating to the proposed issuance and registration of the securities offered pursuant to this registration statement on Form S-3 under the Securities Act of 1933, as amended, including any amendment or amendments relating thereto (and, in addition, any post-effective amendments), with all exhibits and any and all documents required to be filed with respect thereto with any regulatory authority, granting unto said attorneys-in-fact and agents, and each of them, full power and authority to do and perform each and every act and thing requisite and necessary to be done in and about the premises in order to effectuate the same as fully to all intents and purposes as he might or could do if personally present, hereby ratifying and confirming all that said attorneys-in-fact and agents, or either of them, or their or his substitutes, may lawfully do or cause to be done.</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below on the 7th day of December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A.J. Kazimi</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47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P. Bonner</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0" w:type="dxa"/>
            <w:vAlign w:val="bottom"/>
          </w:tcPr>
          <w:p>
            <w:pPr>
              <w:spacing w:after="0"/>
              <w:rPr>
                <w:sz w:val="1"/>
                <w:szCs w:val="1"/>
                <w:color w:val="auto"/>
              </w:rPr>
            </w:pPr>
          </w:p>
        </w:tc>
      </w:tr>
      <w:tr>
        <w:trPr>
          <w:trHeight w:val="237"/>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P. Bonner</w:t>
            </w:r>
          </w:p>
        </w:tc>
        <w:tc>
          <w:tcPr>
            <w:tcW w:w="47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Joey A. Jacobs</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Joey A. Jacobs</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Martin E. Cearnal</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 and Chief Commercial Officer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Martin E. Cearnal</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Gordon R. Bernard</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Gordon R. Bernard, M.D.</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Jonathan I. Griggs</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Jonathan I. Griggs</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James R. Jones</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gridSpan w:val="3"/>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R. Jones</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Caroline R. Young</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gridSpan w:val="3"/>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Caroline R. Young</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Kenneth J. Krogulski</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gridSpan w:val="3"/>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Kenneth J. Krogulski</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 Joseph C. Galante</w:t>
            </w:r>
          </w:p>
        </w:tc>
        <w:tc>
          <w:tcPr>
            <w:tcW w:w="4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gridSpan w:val="3"/>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C. Galante</w:t>
            </w: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8"/>
          <w:szCs w:val="18"/>
          <w:color w:val="6C6F70"/>
        </w:rPr>
        <w:drawing>
          <wp:anchor simplePos="0" relativeHeight="251657728" behindDoc="1" locked="0" layoutInCell="0" allowOverlap="1">
            <wp:simplePos x="0" y="0"/>
            <wp:positionH relativeFrom="page">
              <wp:posOffset>2059940</wp:posOffset>
            </wp:positionH>
            <wp:positionV relativeFrom="page">
              <wp:posOffset>106045</wp:posOffset>
            </wp:positionV>
            <wp:extent cx="329184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48920"/>
                    </a:xfrm>
                    <a:prstGeom prst="rect">
                      <a:avLst/>
                    </a:prstGeom>
                    <a:noFill/>
                  </pic:spPr>
                </pic:pic>
              </a:graphicData>
            </a:graphic>
          </wp:anchor>
        </w:drawing>
        <w:t xml:space="preserve">BAKER DONELSON CENTER </w:t>
      </w:r>
      <w:r>
        <w:rPr>
          <w:rFonts w:ascii="Times New Roman" w:cs="Times New Roman" w:eastAsia="Times New Roman" w:hAnsi="Times New Roman"/>
          <w:sz w:val="8"/>
          <w:szCs w:val="8"/>
          <w:color w:val="6C6F70"/>
        </w:rPr>
        <w:t>•</w:t>
      </w:r>
      <w:r>
        <w:rPr>
          <w:rFonts w:ascii="Times New Roman" w:cs="Times New Roman" w:eastAsia="Times New Roman" w:hAnsi="Times New Roman"/>
          <w:sz w:val="18"/>
          <w:szCs w:val="18"/>
          <w:color w:val="6C6F70"/>
        </w:rPr>
        <w:t xml:space="preserve"> SUITE 800 </w:t>
      </w:r>
      <w:r>
        <w:rPr>
          <w:rFonts w:ascii="Times New Roman" w:cs="Times New Roman" w:eastAsia="Times New Roman" w:hAnsi="Times New Roman"/>
          <w:sz w:val="8"/>
          <w:szCs w:val="8"/>
          <w:color w:val="6C6F70"/>
        </w:rPr>
        <w:t>•</w:t>
      </w:r>
      <w:r>
        <w:rPr>
          <w:rFonts w:ascii="Times New Roman" w:cs="Times New Roman" w:eastAsia="Times New Roman" w:hAnsi="Times New Roman"/>
          <w:sz w:val="18"/>
          <w:szCs w:val="18"/>
          <w:color w:val="6C6F70"/>
        </w:rPr>
        <w:t xml:space="preserve"> 211 COMMERCE STREET </w:t>
      </w:r>
      <w:r>
        <w:rPr>
          <w:rFonts w:ascii="Times New Roman" w:cs="Times New Roman" w:eastAsia="Times New Roman" w:hAnsi="Times New Roman"/>
          <w:sz w:val="8"/>
          <w:szCs w:val="8"/>
          <w:color w:val="6C6F70"/>
        </w:rPr>
        <w:t>•</w:t>
      </w:r>
      <w:r>
        <w:rPr>
          <w:rFonts w:ascii="Times New Roman" w:cs="Times New Roman" w:eastAsia="Times New Roman" w:hAnsi="Times New Roman"/>
          <w:sz w:val="18"/>
          <w:szCs w:val="18"/>
          <w:color w:val="6C6F70"/>
        </w:rPr>
        <w:t xml:space="preserve"> NASHVILLE, TENNESSEE 37201 </w:t>
      </w:r>
      <w:r>
        <w:rPr>
          <w:rFonts w:ascii="Times New Roman" w:cs="Times New Roman" w:eastAsia="Times New Roman" w:hAnsi="Times New Roman"/>
          <w:sz w:val="8"/>
          <w:szCs w:val="8"/>
          <w:color w:val="6C6F70"/>
        </w:rPr>
        <w:t>•</w:t>
      </w:r>
      <w:r>
        <w:rPr>
          <w:rFonts w:ascii="Times New Roman" w:cs="Times New Roman" w:eastAsia="Times New Roman" w:hAnsi="Times New Roman"/>
          <w:sz w:val="18"/>
          <w:szCs w:val="18"/>
          <w:color w:val="6C6F70"/>
        </w:rPr>
        <w:t xml:space="preserve"> 615.726.5600 </w:t>
      </w:r>
      <w:r>
        <w:rPr>
          <w:rFonts w:ascii="Times New Roman" w:cs="Times New Roman" w:eastAsia="Times New Roman" w:hAnsi="Times New Roman"/>
          <w:sz w:val="8"/>
          <w:szCs w:val="8"/>
          <w:color w:val="6C6F70"/>
        </w:rPr>
        <w:t>•</w:t>
      </w:r>
      <w:r>
        <w:rPr>
          <w:rFonts w:ascii="Times New Roman" w:cs="Times New Roman" w:eastAsia="Times New Roman" w:hAnsi="Times New Roman"/>
          <w:sz w:val="18"/>
          <w:szCs w:val="18"/>
          <w:color w:val="6C6F70"/>
        </w:rPr>
        <w:t xml:space="preserve"> bakerdonelson.com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Tonya Mitchem Grindon, Shareholder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Dial</w:t>
      </w:r>
      <w:r>
        <w:rPr>
          <w:rFonts w:ascii="Times New Roman" w:cs="Times New Roman" w:eastAsia="Times New Roman" w:hAnsi="Times New Roman"/>
          <w:sz w:val="14"/>
          <w:szCs w:val="14"/>
          <w:color w:val="auto"/>
        </w:rPr>
        <w:t>: 615.726.5607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Fax</w:t>
      </w:r>
      <w:r>
        <w:rPr>
          <w:rFonts w:ascii="Times New Roman" w:cs="Times New Roman" w:eastAsia="Times New Roman" w:hAnsi="Times New Roman"/>
          <w:sz w:val="14"/>
          <w:szCs w:val="14"/>
          <w:color w:val="auto"/>
        </w:rPr>
        <w:t>: 615.744.5607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E-Mail Address</w:t>
      </w:r>
      <w:r>
        <w:rPr>
          <w:rFonts w:ascii="Times New Roman" w:cs="Times New Roman" w:eastAsia="Times New Roman" w:hAnsi="Times New Roman"/>
          <w:sz w:val="14"/>
          <w:szCs w:val="14"/>
          <w:color w:val="auto"/>
        </w:rPr>
        <w:t>: tgrindon@bakerdonelson.com</w:t>
      </w:r>
    </w:p>
    <w:p>
      <w:pPr>
        <w:spacing w:after="0" w:line="23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4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December 11,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2525 West End Avenue, Suite 950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Nashville, Tennessee 37203</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Registration Statement on Form S-3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have acted as counsel for Cumberland Pharmaceuticals Inc., a Tennessee corporation (the “Company”), in connection with the preparation and filing of the Company’s Registration Statement on Form S-3, filed on December 11, 2020 (the “Registration Statement”) with the Securities and Exchange Commission (the “Commission”) under the Securities Act of 1933, as amended (the “Securities Act”), relating to the proposed public offering of up to $100 Million in the aggregate amount of one or more series of the following securities:</w:t>
      </w:r>
    </w:p>
    <w:p>
      <w:pPr>
        <w:spacing w:after="0" w:line="208" w:lineRule="exact"/>
        <w:rPr>
          <w:sz w:val="20"/>
          <w:szCs w:val="20"/>
          <w:color w:val="auto"/>
        </w:rPr>
      </w:pPr>
    </w:p>
    <w:p>
      <w:pPr>
        <w:ind w:left="1140" w:hanging="430"/>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no par value of the Company (“Common Stock”);</w:t>
      </w:r>
    </w:p>
    <w:p>
      <w:pPr>
        <w:spacing w:after="0" w:line="246" w:lineRule="exact"/>
        <w:rPr>
          <w:rFonts w:ascii="Times New Roman" w:cs="Times New Roman" w:eastAsia="Times New Roman" w:hAnsi="Times New Roman"/>
          <w:sz w:val="22"/>
          <w:szCs w:val="22"/>
          <w:color w:val="auto"/>
        </w:rPr>
      </w:pPr>
    </w:p>
    <w:p>
      <w:pPr>
        <w:ind w:left="1200" w:hanging="490"/>
        <w:spacing w:after="0"/>
        <w:tabs>
          <w:tab w:leader="none" w:pos="12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preferred stock, no par value, of the Company (the “Preferred Stock”);</w:t>
      </w:r>
    </w:p>
    <w:p>
      <w:pPr>
        <w:spacing w:after="0" w:line="246" w:lineRule="exact"/>
        <w:rPr>
          <w:rFonts w:ascii="Times New Roman" w:cs="Times New Roman" w:eastAsia="Times New Roman" w:hAnsi="Times New Roman"/>
          <w:sz w:val="22"/>
          <w:szCs w:val="22"/>
          <w:color w:val="auto"/>
        </w:rPr>
      </w:pPr>
    </w:p>
    <w:p>
      <w:pPr>
        <w:ind w:left="1260" w:hanging="550"/>
        <w:spacing w:after="0"/>
        <w:tabs>
          <w:tab w:leader="none" w:pos="1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for the purchase of Common Stock, Preferred Stock or Units (as defined below) (the “Warrants”);</w:t>
      </w:r>
    </w:p>
    <w:p>
      <w:pPr>
        <w:spacing w:after="0" w:line="27" w:lineRule="exact"/>
        <w:rPr>
          <w:rFonts w:ascii="Times New Roman" w:cs="Times New Roman" w:eastAsia="Times New Roman" w:hAnsi="Times New Roman"/>
          <w:sz w:val="22"/>
          <w:szCs w:val="22"/>
          <w:color w:val="auto"/>
        </w:rPr>
      </w:pPr>
    </w:p>
    <w:p>
      <w:pPr>
        <w:jc w:val="both"/>
        <w:ind w:left="1360" w:hanging="650"/>
        <w:spacing w:after="0" w:line="244" w:lineRule="auto"/>
        <w:tabs>
          <w:tab w:leader="none" w:pos="143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of the Company, which may be issued in one or more series and which may be senior or subordinated (the “Debt Securities”), under the form of (i) senior indenture filed as Exhibit 4.2 of the Company’s registration statement on Form S-3 (No. 333-221402), filed on November 7, 2017 (the “2017 Registration Statement”), as such indenture may be supplemented from time to time (the “Senior Indenture”); and (ii) subordinated indenture filed as Exhibit 4.3 of the 2017 Registration Statement, as such indenture may be supplemented from time to time (the “Subordinated Indenture” and, together with the Senior Indenture, the “Indentures”); and</w:t>
      </w:r>
    </w:p>
    <w:p>
      <w:pPr>
        <w:spacing w:after="0" w:line="214" w:lineRule="exact"/>
        <w:rPr>
          <w:rFonts w:ascii="Times New Roman" w:cs="Times New Roman" w:eastAsia="Times New Roman" w:hAnsi="Times New Roman"/>
          <w:sz w:val="22"/>
          <w:szCs w:val="22"/>
          <w:color w:val="auto"/>
        </w:rPr>
      </w:pPr>
    </w:p>
    <w:p>
      <w:pPr>
        <w:jc w:val="both"/>
        <w:ind w:left="1360" w:hanging="650"/>
        <w:spacing w:after="0" w:line="252" w:lineRule="auto"/>
        <w:tabs>
          <w:tab w:leader="none" w:pos="12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units comprised of Common Stock, Preferred Stock, and/or Warrants in any combination thereof (the “Units”), which may be issued under unit agreements, to be dated on or about the date of the first issuance of the applicable Units thereunder, by and between the Company and a unit agent to be selected by the Company, in the forms that will be filed as exhibits to the Registration Statement,</w:t>
      </w:r>
    </w:p>
    <w:p>
      <w:pPr>
        <w:spacing w:after="0" w:line="166" w:lineRule="exact"/>
        <w:rPr>
          <w:sz w:val="20"/>
          <w:szCs w:val="20"/>
          <w:color w:val="auto"/>
        </w:rPr>
      </w:pPr>
    </w:p>
    <w:p>
      <w:pPr>
        <w:ind w:left="20" w:right="3060"/>
        <w:spacing w:after="0" w:line="233" w:lineRule="auto"/>
        <w:rPr>
          <w:sz w:val="20"/>
          <w:szCs w:val="20"/>
          <w:color w:val="auto"/>
        </w:rPr>
      </w:pPr>
      <w:r>
        <w:rPr>
          <w:rFonts w:ascii="Times New Roman" w:cs="Times New Roman" w:eastAsia="Times New Roman" w:hAnsi="Times New Roman"/>
          <w:sz w:val="16"/>
          <w:szCs w:val="16"/>
          <w:color w:val="6C6F70"/>
        </w:rPr>
        <w:t xml:space="preserve">ALABAMA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FLORIDA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GEORGIA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LOUISIANA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MARYLAND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MISSISSIPPI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SOUTH CAROLINA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TENNESSEE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TEXAS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VIRGINIA </w:t>
      </w:r>
      <w:r>
        <w:rPr>
          <w:rFonts w:ascii="Times New Roman" w:cs="Times New Roman" w:eastAsia="Times New Roman" w:hAnsi="Times New Roman"/>
          <w:sz w:val="21"/>
          <w:szCs w:val="21"/>
          <w:color w:val="6C6F70"/>
          <w:vertAlign w:val="superscript"/>
        </w:rPr>
        <w:t>•</w:t>
      </w:r>
      <w:r>
        <w:rPr>
          <w:rFonts w:ascii="Times New Roman" w:cs="Times New Roman" w:eastAsia="Times New Roman" w:hAnsi="Times New Roman"/>
          <w:sz w:val="16"/>
          <w:szCs w:val="16"/>
          <w:color w:val="6C6F70"/>
        </w:rPr>
        <w:t xml:space="preserve"> WASHINGTON, D.C.</w:t>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50" w:lineRule="exact"/>
        <w:rPr>
          <w:sz w:val="20"/>
          <w:szCs w:val="20"/>
          <w:color w:val="auto"/>
        </w:rPr>
      </w:pPr>
    </w:p>
    <w:p>
      <w:pPr>
        <w:ind w:left="1360" w:right="20"/>
        <w:spacing w:after="0" w:line="271" w:lineRule="auto"/>
        <w:rPr>
          <w:sz w:val="20"/>
          <w:szCs w:val="20"/>
          <w:color w:val="auto"/>
        </w:rPr>
      </w:pPr>
      <w:r>
        <w:rPr>
          <w:rFonts w:ascii="Times New Roman" w:cs="Times New Roman" w:eastAsia="Times New Roman" w:hAnsi="Times New Roman"/>
          <w:sz w:val="22"/>
          <w:szCs w:val="22"/>
          <w:color w:val="auto"/>
        </w:rPr>
        <w:t>as such agreements may be supplemented from time to time (the Units, the Debt Securities, the Warrants, the Preferred Stock and the Common Stock are collectively referred to as the “Securities”);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of which may be offered and sold by the Company from time to time on a delayed or continuous basis in accordance with Rule 415 promulgated under the Securities Act, as set forth in the prospectus which forms a part of the Registration Statement, and as to be set forth in one or more supplements to the prospectus.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counsel to the Company, we have examined originals or copies, certified or otherwise identified to our satisfaction, of:</w:t>
      </w:r>
    </w:p>
    <w:p>
      <w:pPr>
        <w:spacing w:after="0" w:line="39" w:lineRule="exact"/>
        <w:rPr>
          <w:sz w:val="20"/>
          <w:szCs w:val="20"/>
          <w:color w:val="auto"/>
        </w:rPr>
      </w:pPr>
    </w:p>
    <w:p>
      <w:pPr>
        <w:ind w:firstLine="8"/>
        <w:spacing w:after="0" w:line="248" w:lineRule="auto"/>
        <w:tabs>
          <w:tab w:leader="none" w:pos="27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and all exhibits thereto, (ii) the Indentures and (iii) such other agreements, certificates and other instruments and documents as we considered appropriate for purposes of the opinions hereafter expressed.</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making the foregoing examinations, we have assumed the genuineness of all signatures, the authenticity of all documents submitted to us as originals, the conformity to original documents submitted to us as certified, conformed or photostatic copies thereof and the authenticity of the originals of such documents.</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to various questions of fact material to the opinions expressed below, we have, without independent third party verification of their accuracy, relied in part, and to the extent we deemed reasonably necessary or appropriate, upon the representations and warranties of the Company contained in such documents, records, certificates, instruments or representations furnished or made available to us by the Company.</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For purposes of this opinion, we have assumed that (i) the issuance, sale, amount and terms of any Securities of the Company to be offered from time to time under the Registration Statement will have been duly authorized and established by proper action of the Board of Directors of the Company or a duly authorized committee of the Board of Directors (“Board Action”) in accordance with the Company’s Third Amended and Restated Charter (the “Charter”), the Second Amended and Restated Bylaws, and applicable provisions of the Tennessee Business Corporation Act (the “Act”), in a manner that does not violate any law, government or court-imposed order or restriction or agreement or instrument then binding on the Company or otherwise impair the valid or binding nature of the obligations represented by the applicable Securities; (ii) at the time of offer, issuance and sale of any Securities, the Registration Statement, and any amendments thereto (including post-effective amendments), will have been declared effective under the Securities Act, and no stop order suspending its effectiveness will have been issued and remain in effect; (iii) a prospectus supplement will have been filed with the Commission describing the Securities offered thereby; (iv) all Securities will be issued and sold in compliance with applicable U.S. federal and state securities laws and in the manner stated in the Registration Statement and the applicable prospectus supplement; (v) prior to the issuance of any Securities, a definitive purchase, underwriting or similar agreement with respect to any Securities offered will have been duly authorized and validly executed and delivered by the Company and the other parties thereto; (vi) any Warrants will be issued under one or more warrant agreements, each to be between the Company and a financial institution identified</w:t>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therein as warrant agent; (vii) all Securities will be issued and sold in compliance with the Trust Indenture Act of 1939, as amended, and the securities or blue sky laws of various states and in the manner stated in the Registration Statement and the applicable prospectus supplement; (viii) with respect to the Debt Securities, the Trustee under the Indentures (as applicable, the “Trustee”) will be qualified pursuant to the Trust Indenture Act of 1939, as amended, at the time the Securities are offered or issued (or such later time as may be permitted pursuant to the rules, regulations, interpretations or positions of the Commission) and a Statement of Eligibility of the Trustee on a Form T-1 has been or will be filed with the Commission with respect to such Trustee; (ix) the Indentures, together with any supplemental indentures relating to a series of Debt Securities to be issued under the Indentures, as applicable, will be duly authorized, executed and delivered by the parties thereto in substantially the form reviewed by us; (x) if being sold by the issuer thereof, the Securities will be delivered against payment of valid consideration therefor and in accordance with the terms of the applicable Board Action authorizing such sale and any applicable underwriting agreement or purchase agreement and as contemplated by the Registration Statement and/or the applicable prospectus supplement; (xi) the Company will remain a Tennessee corporation; (xii) the Securities will not be issued in violation of the ownership limit contained in any provision in the Certificate of Designation to the Charter setting forth the terms of any class or series of Preferred Stock; (xiii) upon the issuance of any Common Stock, including Common Stock which may be issued upon conversion or exercise of any other Securities convertible into or exercisable for Common Stock (“Common Securities”), the total number of shares of Common Stock issued and outstanding will not exceed the total number of shares of Common Stock that the Company is then authorized to issue under the Charter; (xiii) upon the issuance of any Securities that are shares of Preferred Stock, including any Preferred Stock which may be issued upon conversion or exercise of any other Securities convertible into or exercisable for Preferred Stock (“Preferred Securities”),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 (xiv) with respect to any Preferred Securities, the Certificate of Designation setting forth the number of shares and the terms of any class or series of Preferred Stock to be issued by the Company will be filed with and accepted for record by the Tennessee Secretary of State prior to their issuance (the “Preferred Filings”); (xv) the terms of the Securities will conform in all material respects to the respective descriptions thereof in the prospectus which is part of the Registration Statement; (xvi) certificates, if required, representing the Securities will be duly executed and delivered and, to the extent required by any applicable agreement, duly authenticated and countersigned; (xvii) the laws of the State of New York will be the governing law with respect to the Indentures, and any warrant agreement; and (xviii) any Securities convertible into or exercisable, exchangeable or redeemable for any other Securities will be duly converted, exercised, exchanged or redeemed in accordance with their terms.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To the extent that the obligations of the Company with respect to the Warrants may be dependent upon such matters, we assume for purposes of this opinion that the other party under the warrant agreement for any Warrants, namely the warrant agent, is duly organized, validly existing and in good standing under the laws of its jurisdiction of organization; that such other</w:t>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party will be duly qualified to engage in the activities contemplated by such warrant agreement, as applicable; that such warrant agreement will have been duly authorized, executed and delivered by the other party and will constitute the legal, valid and binding obligation of the other party enforceable against the other party in accordance with its terms; that such other party will be in compliance with respect to performance of its obligations under such warrant agreement, as applicable, with all applicable laws and regulations; and that such other party will have the requisite organizational and legal power and authority to perform its obligations under such warrant agreement, as applicable.</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To the extent that the obligations of the Company with respect to the Units may be dependent upon such matters, we assume for purposes of this opinion that the other party under the unit agreement for any Units, namely the unit agent, is duly organized, validly existing and in good standing under the laws of its jurisdiction of organization; that such other party will be duly qualified to engage in the activities contemplated by such unit agreement, as applicable; that such unit agreement will have been duly authorized, executed and delivered by the other party and will constitute the legal, valid and binding obligation of the other party enforceable against the other party in accordance with its terms; that such other party will be in compliance with respect to performance of its obligations under such unit agreement, as applicable, with all applicable laws and regulations; and that such other party will have the requisite organizational and legal power and authority to perform its obligations under such warrant agreement, as applicable.</w:t>
      </w:r>
    </w:p>
    <w:p>
      <w:pPr>
        <w:spacing w:after="0" w:line="2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To the extent that the obligations of the Company under the Indentures may be dependent upon such matters, we assume for purposes of this opinion that the Trustee named therein will be duly organized, validly existing, and in good standing under the laws of its jurisdiction of organization; that the Trustee named therein will be duly qualified to engage in the activities contemplated by the Indentures; that the Indentures have been duly authorized, executed and delivered by the Trustee and constitutes the valid and binding obligation of the Trustee named therein enforceable against the Trustee named therein in accordance with its terms; that the Trustee named therein will be in compliance, with respect to acting as a trustee under the Indentures with all applicable laws and regulations; and that the Trustee named therein will have the requisite organizational and legal power and authority to perform its obligations under the Indentures.</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on the foregoing, and subject to the assumptions, qualifications, limitations, and exceptions set forth herein and having due regard for such legal considerations we deem relevant, we are of the opinion that:</w:t>
      </w:r>
    </w:p>
    <w:p>
      <w:pPr>
        <w:spacing w:after="0" w:line="185" w:lineRule="exact"/>
        <w:rPr>
          <w:sz w:val="20"/>
          <w:szCs w:val="20"/>
          <w:color w:val="auto"/>
        </w:rPr>
      </w:pPr>
    </w:p>
    <w:p>
      <w:pPr>
        <w:jc w:val="both"/>
        <w:ind w:firstLine="656"/>
        <w:spacing w:after="0" w:line="257" w:lineRule="auto"/>
        <w:tabs>
          <w:tab w:leader="none" w:pos="11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Board Action, the Common Securities will be duly authorized and, when and if issued and delivered against payment therefor in accordance with the Registration Statement and the Board Action, will be validly issued, fully paid and nonassessable.</w:t>
      </w:r>
    </w:p>
    <w:p>
      <w:pPr>
        <w:spacing w:after="0" w:line="199" w:lineRule="exact"/>
        <w:rPr>
          <w:rFonts w:ascii="Times New Roman" w:cs="Times New Roman" w:eastAsia="Times New Roman" w:hAnsi="Times New Roman"/>
          <w:sz w:val="22"/>
          <w:szCs w:val="22"/>
          <w:color w:val="auto"/>
        </w:rPr>
      </w:pPr>
    </w:p>
    <w:p>
      <w:pPr>
        <w:ind w:firstLine="656"/>
        <w:spacing w:after="0" w:line="271" w:lineRule="auto"/>
        <w:tabs>
          <w:tab w:leader="none" w:pos="11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the Board Action and the Preferred Filings relating to the Preferred Securities, the Preferred Securities will be duly authorized and, when and if issued and</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delivered against payment therefor in accordance with the Registration Statement and the Board Action and Preferred Filings, will be validly issued, fully paid and nonassessable.</w:t>
      </w:r>
    </w:p>
    <w:p>
      <w:pPr>
        <w:spacing w:after="0" w:line="185" w:lineRule="exact"/>
        <w:rPr>
          <w:sz w:val="20"/>
          <w:szCs w:val="20"/>
          <w:color w:val="auto"/>
        </w:rPr>
      </w:pPr>
    </w:p>
    <w:p>
      <w:pPr>
        <w:jc w:val="both"/>
        <w:ind w:firstLine="656"/>
        <w:spacing w:after="0" w:line="252" w:lineRule="auto"/>
        <w:tabs>
          <w:tab w:leader="none" w:pos="12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Warrants, upon completion of the Board Action and the due execution and delivery of a warrant agreement relating thereto on behalf of the Company and the warrant agent named therein and due authentication of the Warrants by such warrant agent, and upon due execution and delivery of the Warrants on behalf of the Company, will constitute valid and binding obligations of the Company, enforceable against the Company in accordance with their terms.</w:t>
      </w:r>
    </w:p>
    <w:p>
      <w:pPr>
        <w:spacing w:after="0" w:line="20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due authorization of the Debt Securities by all necessary corporate action of the Company and the Debt Securities have been executed, issued and delivered for value, pursuant to an applicable underwriting agreement, if any, and in accordance with the terms of the applicable Indenture and any supplemental indenture related thereto and duly authenticated by the Trustee under the applicable Indenture, as contemplated by the applicable prospectus and/or prospectus supplement made part of the Registration Statement, subject to the final terms of the Debt Securities being in compliance with then applicable law, the Debt Securities will constitute valid and binding obligations of the the Company.</w:t>
      </w:r>
    </w:p>
    <w:p>
      <w:pPr>
        <w:spacing w:after="0" w:line="213" w:lineRule="exact"/>
        <w:rPr>
          <w:rFonts w:ascii="Times New Roman" w:cs="Times New Roman" w:eastAsia="Times New Roman" w:hAnsi="Times New Roman"/>
          <w:sz w:val="22"/>
          <w:szCs w:val="22"/>
          <w:color w:val="auto"/>
        </w:rPr>
      </w:pPr>
    </w:p>
    <w:p>
      <w:pPr>
        <w:jc w:val="both"/>
        <w:ind w:left="100" w:firstLine="556"/>
        <w:spacing w:after="0" w:line="248" w:lineRule="auto"/>
        <w:tabs>
          <w:tab w:leader="none" w:pos="124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Units offered under the Registration Statement, upon completion of the Board Action and assuming (i) the terms of the Units and of their issuance and sale have been duly established in conformity with the unit agreement and as described in the Registration Statement and the related prospectus supplement(s), and (ii) the Units have been duly executed and delivered by the Company and authenticated by the unit agent pursuant to the unit agreement and delivered against payment therefor, then the Units, when issued and sold in accordance with the applicable unit agreement and duly authorized, executed and delivered purchase, underwriting or similar agreement, will constitute valid and binding obligations of the Company, enforceable against the Company in accordance with their terms.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opinion that any document is legal, valid and binding is qualified as to:</w:t>
      </w:r>
    </w:p>
    <w:p>
      <w:pPr>
        <w:spacing w:after="0" w:line="247" w:lineRule="exact"/>
        <w:rPr>
          <w:sz w:val="20"/>
          <w:szCs w:val="20"/>
          <w:color w:val="auto"/>
        </w:rPr>
      </w:pPr>
    </w:p>
    <w:p>
      <w:pPr>
        <w:ind w:left="1300" w:hanging="644"/>
        <w:spacing w:after="0" w:line="271" w:lineRule="auto"/>
        <w:tabs>
          <w:tab w:leader="none" w:pos="11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imposed by bankruptcy, insolvency, reorganization, arrangement, fraudulent conveyance, moratorium or other laws relating to or affecting the rights of creditors generally;</w:t>
      </w:r>
    </w:p>
    <w:p>
      <w:pPr>
        <w:spacing w:after="0" w:line="18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indemnification and contribution, which may be limited by applicable law or equitable principles; and</w:t>
      </w:r>
    </w:p>
    <w:p>
      <w:pPr>
        <w:spacing w:after="0" w:line="246" w:lineRule="exact"/>
        <w:rPr>
          <w:rFonts w:ascii="Times New Roman" w:cs="Times New Roman" w:eastAsia="Times New Roman" w:hAnsi="Times New Roman"/>
          <w:sz w:val="22"/>
          <w:szCs w:val="22"/>
          <w:color w:val="auto"/>
        </w:rPr>
      </w:pPr>
    </w:p>
    <w:p>
      <w:pPr>
        <w:ind w:left="1300" w:hanging="644"/>
        <w:spacing w:after="0" w:line="257" w:lineRule="auto"/>
        <w:tabs>
          <w:tab w:leader="none" w:pos="11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20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opinions expressed herein are limited to the federal securities law of the United States of America, the Act, and applicable provisions of the laws of the State of New York (but</w:t>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 including any laws, statutes, ordinances, administrative decisions, rules or regulations of any political subdivision of the State of New York) in each case as currently in effect. We are expressing no opinion as to the effect of the laws of any other jurisdiction, domestic or foreign.</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opinion (i) is rendered in connection with the filing of the Registration Statement, (ii) is rendered as of the date hereof, and we undertake no, and hereby disclaim any kind of, obligation to advise you of any change or any new developments that might affect any matters or opinions set forth herein, and (iii) is limited to the matters stated herein and no opinions may be inferred or implied beyond the matters expressly stated herein.</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Registration Statement and to the use of our firm’s name in the Registration Statement. In giving this consent, we do not admit that we are within the category of persons whose consent is required under Section 7 of the Securities Act and the rules and regulations thereunder.</w:t>
      </w:r>
    </w:p>
    <w:p>
      <w:pPr>
        <w:spacing w:after="0" w:line="2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3380"/>
        <w:spacing w:after="0" w:line="271" w:lineRule="auto"/>
        <w:rPr>
          <w:sz w:val="20"/>
          <w:szCs w:val="20"/>
          <w:color w:val="auto"/>
        </w:rPr>
      </w:pPr>
      <w:r>
        <w:rPr>
          <w:rFonts w:ascii="Times New Roman" w:cs="Times New Roman" w:eastAsia="Times New Roman" w:hAnsi="Times New Roman"/>
          <w:sz w:val="22"/>
          <w:szCs w:val="22"/>
          <w:color w:val="auto"/>
        </w:rPr>
        <w:t>BAKER, DONELSON, BEARMAN, CALDWELL &amp; BERKOWITZ, a professional corporation</w:t>
      </w:r>
    </w:p>
    <w:p>
      <w:pPr>
        <w:spacing w:after="0" w:line="200" w:lineRule="exact"/>
        <w:rPr>
          <w:sz w:val="20"/>
          <w:szCs w:val="20"/>
          <w:color w:val="auto"/>
        </w:rPr>
      </w:pPr>
    </w:p>
    <w:p>
      <w:pPr>
        <w:spacing w:after="0" w:line="228" w:lineRule="exact"/>
        <w:rPr>
          <w:sz w:val="20"/>
          <w:szCs w:val="20"/>
          <w:color w:val="auto"/>
        </w:rPr>
      </w:pPr>
    </w:p>
    <w:p>
      <w:pPr>
        <w:ind w:left="3380"/>
        <w:spacing w:after="0"/>
        <w:tabs>
          <w:tab w:leader="none" w:pos="3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Tonya Mitchem Grindon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2477770</wp:posOffset>
            </wp:positionH>
            <wp:positionV relativeFrom="paragraph">
              <wp:posOffset>-13970</wp:posOffset>
            </wp:positionV>
            <wp:extent cx="1937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Tonya Mitchem Grindon</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Authorized Representative</w:t>
      </w:r>
    </w:p>
    <w:p>
      <w:pPr>
        <w:sectPr>
          <w:pgSz w:w="11900" w:h="16838" w:orient="portrait"/>
          <w:cols w:equalWidth="0" w:num="1">
            <w:col w:w="11240"/>
          </w:cols>
          <w:pgMar w:left="320" w:top="126"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March 20, 2020 (except for the effects of presenting discontinued operations discussed in Note 20, as to which the date is December 10, 2020), relating to the consolidated financial statements and schedule of Cumberland Pharmaceuticals Inc. appearing in the Company’s Current Report on Form 8-K dated December 10,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decimal"/>
      <w:start w:val="1"/>
    </w:lvl>
    <w:lvl w:ilvl="1">
      <w:lvlJc w:val="left"/>
      <w:lvlText w:val="(%2)"/>
      <w:numFmt w:val="lowerRoman"/>
      <w:start w:val="1"/>
    </w:lvl>
  </w:abstractNum>
  <w:abstractNum w:abstractNumId="33">
    <w:nsid w:val="2463B9EA"/>
    <w:multiLevelType w:val="hybridMultilevel"/>
    <w:lvl w:ilvl="0">
      <w:lvlJc w:val="left"/>
      <w:lvlText w:val="(%1)"/>
      <w:numFmt w:val="decimal"/>
      <w:start w:val="2"/>
    </w:lvl>
    <w:lvl w:ilvl="1">
      <w:lvlJc w:val="left"/>
      <w:lvlText w:val="(%2)"/>
      <w:numFmt w:val="lowerRoman"/>
      <w:start w:val="1"/>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decimal"/>
      <w:start w:val="1"/>
    </w:lvl>
    <w:lvl w:ilvl="1">
      <w:lvlJc w:val="left"/>
      <w:lvlText w:val="(%2)"/>
      <w:numFmt w:val="lowerRoman"/>
      <w:start w:val="2"/>
    </w:lvl>
  </w:abstractNum>
  <w:abstractNum w:abstractNumId="36">
    <w:nsid w:val="2D517796"/>
    <w:multiLevelType w:val="hybridMultilevel"/>
    <w:lvl w:ilvl="0">
      <w:lvlJc w:val="left"/>
      <w:lvlText w:val="(%1)"/>
      <w:numFmt w:val="decimal"/>
      <w:start w:val="6"/>
    </w:lvl>
    <w:lvl w:ilvl="1">
      <w:lvlJc w:val="left"/>
      <w:lvlText w:val="%2"/>
      <w:numFmt w:val="lowerRoman"/>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lowerRoman"/>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png"/><Relationship Id="rId17" Type="http://schemas.openxmlformats.org/officeDocument/2006/relationships/hyperlink" Target="http://www.sec.gov/Archives/edgar/data/1087294/000095014407007248/g06286a5exv4w1.htm" TargetMode="External"/><Relationship Id="rId18" Type="http://schemas.openxmlformats.org/officeDocument/2006/relationships/hyperlink" Target="http://www.sec.gov/Archives/edgar/data/1087294/000119312517372414/d489256dex42.htm" TargetMode="External"/><Relationship Id="rId19" Type="http://schemas.openxmlformats.org/officeDocument/2006/relationships/hyperlink" Target="http://www.sec.gov/Archives/edgar/data/1087294/000119312517335943/d489256dex42.htm" TargetMode="External"/><Relationship Id="rId20" Type="http://schemas.openxmlformats.org/officeDocument/2006/relationships/hyperlink" Target="http://www.sec.gov/Archives/edgar/data/1087294/000119312517335943/d489256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2020-12-11T16:05:09Z</dcterms:created>
  <dcterms:modified xsi:type="dcterms:W3CDTF">2020-12-11T16:05:09Z</dcterms:modified>
</cp:coreProperties>
</file>