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700" w:hanging="654"/>
        <w:spacing w:after="0"/>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780"/>
        <w:spacing w:after="0"/>
        <w:tabs>
          <w:tab w:leader="none" w:pos="666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001-33637</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Cumberland Pharmaceuticals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 w:lineRule="exact"/>
        <w:rPr>
          <w:sz w:val="24"/>
          <w:szCs w:val="24"/>
          <w:color w:val="auto"/>
        </w:rPr>
      </w:pPr>
    </w:p>
    <w:tbl>
      <w:tblPr>
        <w:tblLayout w:type="fixed"/>
        <w:tblInd w:w="1470" w:type="dxa"/>
        <w:tblCellMar>
          <w:top w:w="0" w:type="dxa"/>
          <w:left w:w="0" w:type="dxa"/>
          <w:bottom w:w="0" w:type="dxa"/>
          <w:right w:w="0" w:type="dxa"/>
        </w:tblCellMar>
      </w:tblPr>
      <w:tr>
        <w:trPr>
          <w:trHeight w:val="225"/>
        </w:trPr>
        <w:tc>
          <w:tcPr>
            <w:tcW w:w="2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1"/>
              </w:rPr>
              <w:t>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tcPr>
          <w:p>
            <w:pPr>
              <w:jc w:val="right"/>
              <w:ind w:right="758"/>
              <w:spacing w:after="0"/>
              <w:rPr>
                <w:sz w:val="20"/>
                <w:szCs w:val="20"/>
                <w:color w:val="auto"/>
              </w:rPr>
            </w:pPr>
            <w:r>
              <w:rPr>
                <w:rFonts w:ascii="Arial" w:cs="Arial" w:eastAsia="Arial" w:hAnsi="Arial"/>
                <w:sz w:val="18"/>
                <w:szCs w:val="18"/>
                <w:b w:val="1"/>
                <w:bCs w:val="1"/>
                <w:color w:val="auto"/>
              </w:rPr>
              <w:t>62-1765329</w:t>
            </w:r>
          </w:p>
        </w:tc>
      </w:tr>
      <w:tr>
        <w:trPr>
          <w:trHeight w:val="144"/>
        </w:trPr>
        <w:tc>
          <w:tcPr>
            <w:tcW w:w="28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jc w:val="center"/>
              <w:ind w:left="838"/>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Incorporation or Organization)</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2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1600 West End Avenue, Suite 1300,</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34"/>
        </w:trPr>
        <w:tc>
          <w:tcPr>
            <w:tcW w:w="2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Nashville, Tennessee</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right"/>
              <w:ind w:right="958"/>
              <w:spacing w:after="0"/>
              <w:rPr>
                <w:sz w:val="20"/>
                <w:szCs w:val="20"/>
                <w:color w:val="auto"/>
              </w:rPr>
            </w:pPr>
            <w:r>
              <w:rPr>
                <w:rFonts w:ascii="Arial" w:cs="Arial" w:eastAsia="Arial" w:hAnsi="Arial"/>
                <w:sz w:val="18"/>
                <w:szCs w:val="18"/>
                <w:b w:val="1"/>
                <w:bCs w:val="1"/>
                <w:color w:val="auto"/>
              </w:rPr>
              <w:t>37203</w:t>
            </w:r>
          </w:p>
        </w:tc>
      </w:tr>
      <w:tr>
        <w:trPr>
          <w:trHeight w:val="186"/>
        </w:trPr>
        <w:tc>
          <w:tcPr>
            <w:tcW w:w="2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Arial" w:cs="Arial" w:eastAsia="Arial" w:hAnsi="Arial"/>
                <w:sz w:val="14"/>
                <w:szCs w:val="14"/>
                <w:b w:val="1"/>
                <w:bCs w:val="1"/>
                <w:color w:val="auto"/>
                <w:w w:val="95"/>
              </w:rPr>
              <w:t>(Zip Code)</w:t>
            </w:r>
          </w:p>
        </w:tc>
      </w:tr>
      <w:tr>
        <w:trPr>
          <w:trHeight w:val="462"/>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(615) 255-0068</w:t>
            </w:r>
          </w:p>
        </w:tc>
        <w:tc>
          <w:tcPr>
            <w:tcW w:w="3480" w:type="dxa"/>
            <w:vAlign w:val="bottom"/>
          </w:tcPr>
          <w:p>
            <w:pPr>
              <w:spacing w:after="0"/>
              <w:rPr>
                <w:sz w:val="24"/>
                <w:szCs w:val="24"/>
                <w:color w:val="auto"/>
              </w:rPr>
            </w:pPr>
          </w:p>
        </w:tc>
      </w:tr>
      <w:tr>
        <w:trPr>
          <w:trHeight w:val="186"/>
        </w:trPr>
        <w:tc>
          <w:tcPr>
            <w:tcW w:w="83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r>
        <w:trPr>
          <w:trHeight w:val="201"/>
        </w:trPr>
        <w:tc>
          <w:tcPr>
            <w:tcW w:w="8360" w:type="dxa"/>
            <w:vAlign w:val="bottom"/>
            <w:tcBorders>
              <w:bottom w:val="single" w:sz="8" w:color="auto"/>
            </w:tcBorders>
            <w:gridSpan w:val="6"/>
          </w:tcPr>
          <w:p>
            <w:pPr>
              <w:spacing w:after="0"/>
              <w:rPr>
                <w:sz w:val="17"/>
                <w:szCs w:val="17"/>
                <w:color w:val="auto"/>
              </w:rPr>
            </w:pPr>
          </w:p>
        </w:tc>
      </w:tr>
      <w:tr>
        <w:trPr>
          <w:trHeight w:val="222"/>
        </w:trPr>
        <w:tc>
          <w:tcPr>
            <w:tcW w:w="8360" w:type="dxa"/>
            <w:vAlign w:val="bottom"/>
            <w:tcBorders>
              <w:left w:val="single" w:sz="8" w:color="auto"/>
              <w:right w:val="single" w:sz="8" w:color="auto"/>
            </w:tcBorders>
            <w:gridSpan w:val="6"/>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30"/>
        </w:trPr>
        <w:tc>
          <w:tcPr>
            <w:tcW w:w="2820" w:type="dxa"/>
            <w:vAlign w:val="bottom"/>
            <w:tcBorders>
              <w:left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8"/>
              </w:rPr>
              <w:t>Class</w:t>
            </w:r>
          </w:p>
        </w:tc>
        <w:tc>
          <w:tcPr>
            <w:tcW w:w="206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Trading Symbol</w:t>
            </w:r>
          </w:p>
        </w:tc>
        <w:tc>
          <w:tcPr>
            <w:tcW w:w="3480" w:type="dxa"/>
            <w:vAlign w:val="bottom"/>
            <w:tcBorders>
              <w:right w:val="single" w:sz="8" w:color="auto"/>
            </w:tcBorders>
          </w:tcPr>
          <w:p>
            <w:pPr>
              <w:jc w:val="center"/>
              <w:ind w:right="298"/>
              <w:spacing w:after="0"/>
              <w:rPr>
                <w:sz w:val="20"/>
                <w:szCs w:val="20"/>
                <w:color w:val="auto"/>
              </w:rPr>
            </w:pPr>
            <w:r>
              <w:rPr>
                <w:rFonts w:ascii="Arial" w:cs="Arial" w:eastAsia="Arial" w:hAnsi="Arial"/>
                <w:sz w:val="18"/>
                <w:szCs w:val="18"/>
                <w:color w:val="auto"/>
                <w:w w:val="90"/>
              </w:rPr>
              <w:t>Name of exchange on which registered</w:t>
            </w:r>
          </w:p>
        </w:tc>
      </w:tr>
      <w:tr>
        <w:trPr>
          <w:trHeight w:val="223"/>
        </w:trPr>
        <w:tc>
          <w:tcPr>
            <w:tcW w:w="272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CPIX</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right w:val="single" w:sz="8" w:color="auto"/>
            </w:tcBorders>
          </w:tcPr>
          <w:p>
            <w:pPr>
              <w:jc w:val="center"/>
              <w:ind w:right="278"/>
              <w:spacing w:after="0"/>
              <w:rPr>
                <w:sz w:val="20"/>
                <w:szCs w:val="20"/>
                <w:color w:val="auto"/>
              </w:rPr>
            </w:pPr>
            <w:r>
              <w:rPr>
                <w:rFonts w:ascii="Arial" w:cs="Arial" w:eastAsia="Arial" w:hAnsi="Arial"/>
                <w:sz w:val="18"/>
                <w:szCs w:val="18"/>
                <w:color w:val="auto"/>
                <w:w w:val="90"/>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1" w:lineRule="exact"/>
        <w:rPr>
          <w:sz w:val="24"/>
          <w:szCs w:val="24"/>
          <w:color w:val="auto"/>
        </w:rPr>
      </w:pPr>
    </w:p>
    <w:p>
      <w:pPr>
        <w:jc w:val="both"/>
        <w:spacing w:after="0" w:line="28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jc w:val="both"/>
        <w:spacing w:after="0" w:line="30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w:t>
      </w:r>
    </w:p>
    <w:tbl>
      <w:tblPr>
        <w:tblLayout w:type="fixed"/>
        <w:tblInd w:w="0" w:type="dxa"/>
        <w:tblCellMar>
          <w:top w:w="0" w:type="dxa"/>
          <w:left w:w="0" w:type="dxa"/>
          <w:bottom w:w="0" w:type="dxa"/>
          <w:right w:w="0" w:type="dxa"/>
        </w:tblCellMar>
      </w:tblPr>
      <w:tr>
        <w:trPr>
          <w:trHeight w:val="188"/>
        </w:trPr>
        <w:tc>
          <w:tcPr>
            <w:tcW w:w="2420" w:type="dxa"/>
            <w:vAlign w:val="bottom"/>
          </w:tcPr>
          <w:p>
            <w:pPr>
              <w:spacing w:after="0" w:line="188" w:lineRule="exact"/>
              <w:rPr>
                <w:sz w:val="20"/>
                <w:szCs w:val="20"/>
                <w:color w:val="auto"/>
              </w:rPr>
            </w:pPr>
            <w:r>
              <w:rPr>
                <w:rFonts w:ascii="Arial" w:cs="Arial" w:eastAsia="Arial" w:hAnsi="Arial"/>
                <w:sz w:val="17"/>
                <w:szCs w:val="17"/>
                <w:color w:val="auto"/>
              </w:rPr>
              <w:t>of</w:t>
            </w:r>
          </w:p>
        </w:tc>
        <w:tc>
          <w:tcPr>
            <w:tcW w:w="2900" w:type="dxa"/>
            <w:vAlign w:val="bottom"/>
          </w:tcPr>
          <w:p>
            <w:pPr>
              <w:ind w:left="1040"/>
              <w:spacing w:after="0" w:line="188" w:lineRule="exact"/>
              <w:rPr>
                <w:sz w:val="20"/>
                <w:szCs w:val="20"/>
                <w:color w:val="auto"/>
              </w:rPr>
            </w:pPr>
            <w:r>
              <w:rPr>
                <w:rFonts w:ascii="Arial" w:cs="Arial" w:eastAsia="Arial" w:hAnsi="Arial"/>
                <w:sz w:val="17"/>
                <w:szCs w:val="17"/>
                <w:color w:val="auto"/>
              </w:rPr>
              <w:t>the</w:t>
            </w:r>
          </w:p>
        </w:tc>
        <w:tc>
          <w:tcPr>
            <w:tcW w:w="5100" w:type="dxa"/>
            <w:vAlign w:val="bottom"/>
          </w:tcPr>
          <w:p>
            <w:pPr>
              <w:ind w:left="1640"/>
              <w:spacing w:after="0" w:line="188" w:lineRule="exact"/>
              <w:rPr>
                <w:sz w:val="20"/>
                <w:szCs w:val="20"/>
                <w:color w:val="auto"/>
              </w:rPr>
            </w:pPr>
            <w:r>
              <w:rPr>
                <w:rFonts w:ascii="Arial" w:cs="Arial" w:eastAsia="Arial" w:hAnsi="Arial"/>
                <w:sz w:val="17"/>
                <w:szCs w:val="17"/>
                <w:color w:val="auto"/>
              </w:rPr>
              <w:t>Exchange</w:t>
            </w:r>
          </w:p>
        </w:tc>
        <w:tc>
          <w:tcPr>
            <w:tcW w:w="820" w:type="dxa"/>
            <w:vAlign w:val="bottom"/>
          </w:tcPr>
          <w:p>
            <w:pPr>
              <w:ind w:left="520"/>
              <w:spacing w:after="0" w:line="188" w:lineRule="exact"/>
              <w:rPr>
                <w:sz w:val="20"/>
                <w:szCs w:val="20"/>
                <w:color w:val="auto"/>
              </w:rPr>
            </w:pPr>
            <w:r>
              <w:rPr>
                <w:rFonts w:ascii="Arial" w:cs="Arial" w:eastAsia="Arial" w:hAnsi="Arial"/>
                <w:sz w:val="17"/>
                <w:szCs w:val="17"/>
                <w:color w:val="auto"/>
                <w:w w:val="95"/>
              </w:rPr>
              <w:t>Act.</w:t>
            </w:r>
          </w:p>
        </w:tc>
      </w:tr>
      <w:tr>
        <w:trPr>
          <w:trHeight w:val="230"/>
        </w:trPr>
        <w:tc>
          <w:tcPr>
            <w:tcW w:w="242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00"/>
              <w:spacing w:after="0"/>
              <w:rPr>
                <w:sz w:val="20"/>
                <w:szCs w:val="20"/>
                <w:color w:val="auto"/>
              </w:rPr>
            </w:pPr>
            <w:r>
              <w:rPr>
                <w:rFonts w:ascii="Arial" w:cs="Arial" w:eastAsia="Arial" w:hAnsi="Arial"/>
                <w:sz w:val="17"/>
                <w:szCs w:val="17"/>
                <w:color w:val="auto"/>
              </w:rPr>
              <w:t>Accelerated filer</w:t>
            </w:r>
          </w:p>
        </w:tc>
        <w:tc>
          <w:tcPr>
            <w:tcW w:w="8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30"/>
        </w:trPr>
        <w:tc>
          <w:tcPr>
            <w:tcW w:w="242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00"/>
              <w:spacing w:after="0"/>
              <w:rPr>
                <w:sz w:val="20"/>
                <w:szCs w:val="20"/>
                <w:color w:val="auto"/>
              </w:rPr>
            </w:pPr>
            <w:r>
              <w:rPr>
                <w:rFonts w:ascii="Arial" w:cs="Arial" w:eastAsia="Arial" w:hAnsi="Arial"/>
                <w:sz w:val="17"/>
                <w:szCs w:val="17"/>
                <w:color w:val="auto"/>
              </w:rPr>
              <w:t>Smaller reporting company</w:t>
            </w:r>
          </w:p>
        </w:tc>
        <w:tc>
          <w:tcPr>
            <w:tcW w:w="8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87"/>
        </w:trPr>
        <w:tc>
          <w:tcPr>
            <w:tcW w:w="2420" w:type="dxa"/>
            <w:vAlign w:val="bottom"/>
          </w:tcPr>
          <w:p>
            <w:pPr>
              <w:ind w:left="20"/>
              <w:spacing w:after="0"/>
              <w:rPr>
                <w:sz w:val="20"/>
                <w:szCs w:val="20"/>
                <w:color w:val="auto"/>
              </w:rPr>
            </w:pPr>
            <w:r>
              <w:rPr>
                <w:rFonts w:ascii="Arial" w:cs="Arial" w:eastAsia="Arial" w:hAnsi="Arial"/>
                <w:sz w:val="17"/>
                <w:szCs w:val="17"/>
                <w:color w:val="auto"/>
              </w:rPr>
              <w:t>Emerging growth company</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74" w:lineRule="exact"/>
        <w:rPr>
          <w:sz w:val="24"/>
          <w:szCs w:val="24"/>
          <w:color w:val="auto"/>
        </w:rPr>
      </w:pPr>
    </w:p>
    <w:p>
      <w:pPr>
        <w:jc w:val="both"/>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p>
      <w:pPr>
        <w:spacing w:after="0" w:line="196" w:lineRule="exact"/>
        <w:tabs>
          <w:tab w:leader="none" w:pos="84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1" w:lineRule="exact"/>
        <w:rPr>
          <w:sz w:val="24"/>
          <w:szCs w:val="24"/>
          <w:color w:val="auto"/>
        </w:rPr>
      </w:pPr>
    </w:p>
    <w:p>
      <w:pPr>
        <w:ind w:right="160"/>
        <w:spacing w:after="0" w:line="274" w:lineRule="auto"/>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 14,255,700 shares of common stock as of November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CUMBERLAND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Arial" w:cs="Arial" w:eastAsia="Arial" w:hAnsi="Arial"/>
                <w:sz w:val="18"/>
                <w:szCs w:val="18"/>
                <w:color w:val="0000FF"/>
                <w:w w:val="97"/>
              </w:rPr>
              <w:t>PART I – FINANCIAL INFORMATION</w:t>
            </w:r>
          </w:p>
        </w:tc>
        <w:tc>
          <w:tcPr>
            <w:tcW w:w="6180" w:type="dxa"/>
            <w:vAlign w:val="bottom"/>
            <w:gridSpan w:val="9"/>
          </w:tcPr>
          <w:p>
            <w:pPr>
              <w:spacing w:after="0"/>
              <w:rPr>
                <w:sz w:val="17"/>
                <w:szCs w:val="17"/>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Arial" w:cs="Arial" w:eastAsia="Arial" w:hAnsi="Arial"/>
                <w:sz w:val="18"/>
                <w:szCs w:val="18"/>
                <w:color w:val="0000FF"/>
              </w:rPr>
              <w:t>Item 1. Financial Statements (Unaudited)</w:t>
            </w: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Arial" w:cs="Arial" w:eastAsia="Arial" w:hAnsi="Arial"/>
                <w:sz w:val="18"/>
                <w:szCs w:val="18"/>
                <w:color w:val="0000FF"/>
                <w:w w:val="87"/>
              </w:rPr>
              <w:t>Condensed Consolidated Balance Sheets</w:t>
            </w:r>
          </w:p>
        </w:tc>
        <w:tc>
          <w:tcPr>
            <w:tcW w:w="5780" w:type="dxa"/>
            <w:vAlign w:val="bottom"/>
            <w:gridSpan w:val="7"/>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5060" w:type="dxa"/>
            <w:vAlign w:val="bottom"/>
            <w:gridSpan w:val="5"/>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0000FF"/>
                <w:w w:val="99"/>
              </w:rPr>
              <w:t>Condensed Consolidated Statements of Equity</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14"/>
          </w:tcPr>
          <w:p>
            <w:pPr>
              <w:spacing w:after="0"/>
              <w:rPr>
                <w:sz w:val="20"/>
                <w:szCs w:val="20"/>
                <w:color w:val="auto"/>
              </w:rPr>
            </w:pPr>
            <w:r>
              <w:rPr>
                <w:rFonts w:ascii="Arial" w:cs="Arial" w:eastAsia="Arial" w:hAnsi="Arial"/>
                <w:sz w:val="18"/>
                <w:szCs w:val="18"/>
                <w:color w:val="0000FF"/>
                <w:w w:val="89"/>
              </w:rPr>
              <w:t>Notes to the Unaudited Condensed Consolidated Financial Statements</w:t>
            </w:r>
          </w:p>
        </w:tc>
        <w:tc>
          <w:tcPr>
            <w:tcW w:w="3660" w:type="dxa"/>
            <w:vAlign w:val="bottom"/>
            <w:gridSpan w:val="2"/>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15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20" w:type="dxa"/>
            <w:vAlign w:val="bottom"/>
            <w:gridSpan w:val="16"/>
          </w:tcPr>
          <w:p>
            <w:pPr>
              <w:ind w:left="20"/>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29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0000FF"/>
                <w:w w:val="90"/>
              </w:rPr>
              <w:t>Item 4.</w:t>
            </w:r>
          </w:p>
        </w:tc>
        <w:tc>
          <w:tcPr>
            <w:tcW w:w="1800" w:type="dxa"/>
            <w:vAlign w:val="bottom"/>
            <w:gridSpan w:val="5"/>
          </w:tcPr>
          <w:p>
            <w:pPr>
              <w:ind w:left="20"/>
              <w:spacing w:after="0"/>
              <w:rPr>
                <w:sz w:val="20"/>
                <w:szCs w:val="20"/>
                <w:color w:val="auto"/>
              </w:rPr>
            </w:pPr>
            <w:r>
              <w:rPr>
                <w:rFonts w:ascii="Arial" w:cs="Arial" w:eastAsia="Arial" w:hAnsi="Arial"/>
                <w:sz w:val="18"/>
                <w:szCs w:val="18"/>
                <w:color w:val="0000FF"/>
                <w:w w:val="88"/>
              </w:rPr>
              <w:t>Controls and Procedures</w:t>
            </w:r>
          </w:p>
        </w:tc>
        <w:tc>
          <w:tcPr>
            <w:tcW w:w="2580" w:type="dxa"/>
            <w:vAlign w:val="bottom"/>
            <w:gridSpan w:val="7"/>
          </w:tcPr>
          <w:p>
            <w:pPr>
              <w:spacing w:after="0"/>
              <w:rPr>
                <w:sz w:val="24"/>
                <w:szCs w:val="24"/>
                <w:color w:val="auto"/>
              </w:rPr>
            </w:pPr>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29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Arial" w:cs="Arial" w:eastAsia="Arial" w:hAnsi="Arial"/>
                <w:sz w:val="18"/>
                <w:szCs w:val="18"/>
                <w:color w:val="0000FF"/>
              </w:rPr>
              <w:t>PART II – OTHER INFORMATION</w:t>
            </w: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30</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0000FF"/>
                <w:w w:val="90"/>
              </w:rPr>
              <w:t>Item 1.</w:t>
            </w:r>
          </w:p>
        </w:tc>
        <w:tc>
          <w:tcPr>
            <w:tcW w:w="1360" w:type="dxa"/>
            <w:vAlign w:val="bottom"/>
            <w:gridSpan w:val="4"/>
          </w:tcPr>
          <w:p>
            <w:pPr>
              <w:ind w:left="20"/>
              <w:spacing w:after="0"/>
              <w:rPr>
                <w:sz w:val="20"/>
                <w:szCs w:val="20"/>
                <w:color w:val="auto"/>
              </w:rPr>
            </w:pPr>
            <w:r>
              <w:rPr>
                <w:rFonts w:ascii="Arial" w:cs="Arial" w:eastAsia="Arial" w:hAnsi="Arial"/>
                <w:sz w:val="18"/>
                <w:szCs w:val="18"/>
                <w:color w:val="0000FF"/>
                <w:w w:val="88"/>
              </w:rPr>
              <w:t>Legal Proceedings</w:t>
            </w:r>
          </w:p>
        </w:tc>
        <w:tc>
          <w:tcPr>
            <w:tcW w:w="440" w:type="dxa"/>
            <w:vAlign w:val="bottom"/>
          </w:tcPr>
          <w:p>
            <w:pPr>
              <w:spacing w:after="0"/>
              <w:rPr>
                <w:sz w:val="24"/>
                <w:szCs w:val="24"/>
                <w:color w:val="auto"/>
              </w:rPr>
            </w:pPr>
          </w:p>
        </w:tc>
        <w:tc>
          <w:tcPr>
            <w:tcW w:w="6500" w:type="dxa"/>
            <w:vAlign w:val="bottom"/>
            <w:gridSpan w:val="10"/>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5"/>
          </w:tcPr>
          <w:p>
            <w:pPr>
              <w:ind w:left="20"/>
              <w:spacing w:after="0"/>
              <w:rPr>
                <w:sz w:val="20"/>
                <w:szCs w:val="20"/>
                <w:color w:val="auto"/>
              </w:rPr>
            </w:pPr>
            <w:r>
              <w:rPr>
                <w:rFonts w:ascii="Arial" w:cs="Arial" w:eastAsia="Arial" w:hAnsi="Arial"/>
                <w:sz w:val="18"/>
                <w:szCs w:val="18"/>
                <w:color w:val="0000FF"/>
                <w:w w:val="90"/>
              </w:rPr>
              <w:t>Item 1A. Risk Factors</w:t>
            </w:r>
          </w:p>
        </w:tc>
        <w:tc>
          <w:tcPr>
            <w:tcW w:w="300" w:type="dxa"/>
            <w:vAlign w:val="bottom"/>
          </w:tcPr>
          <w:p>
            <w:pPr>
              <w:spacing w:after="0"/>
              <w:rPr>
                <w:sz w:val="24"/>
                <w:szCs w:val="24"/>
                <w:color w:val="auto"/>
              </w:rPr>
            </w:pPr>
          </w:p>
        </w:tc>
        <w:tc>
          <w:tcPr>
            <w:tcW w:w="694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0000FF"/>
                <w:w w:val="90"/>
              </w:rPr>
              <w:t>Item 2.</w:t>
            </w:r>
          </w:p>
        </w:tc>
        <w:tc>
          <w:tcPr>
            <w:tcW w:w="4380" w:type="dxa"/>
            <w:vAlign w:val="bottom"/>
            <w:gridSpan w:val="12"/>
          </w:tcPr>
          <w:p>
            <w:pPr>
              <w:ind w:left="20"/>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0000FF"/>
                <w:w w:val="90"/>
              </w:rPr>
              <w:t>Item 6.</w:t>
            </w:r>
          </w:p>
        </w:tc>
        <w:tc>
          <w:tcPr>
            <w:tcW w:w="4380" w:type="dxa"/>
            <w:vAlign w:val="bottom"/>
            <w:gridSpan w:val="12"/>
          </w:tcPr>
          <w:p>
            <w:pPr>
              <w:ind w:left="20"/>
              <w:spacing w:after="0"/>
              <w:rPr>
                <w:sz w:val="20"/>
                <w:szCs w:val="20"/>
                <w:color w:val="auto"/>
              </w:rPr>
            </w:pPr>
            <w:r>
              <w:rPr>
                <w:rFonts w:ascii="Arial" w:cs="Arial" w:eastAsia="Arial" w:hAnsi="Arial"/>
                <w:sz w:val="18"/>
                <w:szCs w:val="18"/>
                <w:color w:val="0000FF"/>
              </w:rPr>
              <w:t>Exhibits</w:t>
            </w:r>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Arial" w:cs="Arial" w:eastAsia="Arial" w:hAnsi="Arial"/>
                <w:sz w:val="18"/>
                <w:szCs w:val="18"/>
                <w:color w:val="0000FF"/>
              </w:rPr>
              <w:t>SIGNATURES</w:t>
            </w: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32</w:t>
            </w:r>
          </w:p>
        </w:tc>
      </w:tr>
      <w:tr>
        <w:trPr>
          <w:trHeight w:val="128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18,507,965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19,757,970</w:t>
            </w: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12,620,120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13,163,681</w:t>
            </w: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8,670,548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9,863,581</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1,971,164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3,084,978</w:t>
            </w:r>
          </w:p>
        </w:tc>
      </w:tr>
      <w:tr>
        <w:trPr>
          <w:trHeight w:val="223"/>
        </w:trPr>
        <w:tc>
          <w:tcPr>
            <w:tcW w:w="6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41,769,797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45,870,210</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8,301,845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7,527,167</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284,039</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27,121,070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30,590,678</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914,000</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6,711,155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5,218,403</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2,555,638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2,520,661</w:t>
            </w: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87,750,944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92,925,158</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10,819,011</w:t>
            </w: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Operating lease current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334,288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172,910</w:t>
            </w: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16,175,937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17,587,911</w:t>
            </w: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27,328,270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28,579,832</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12,923,125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16,200,000</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5,388,900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4,586,301</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6,455,091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7,585,019</w:t>
            </w: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52,095,386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56,951,152</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175"/>
        </w:trPr>
        <w:tc>
          <w:tcPr>
            <w:tcW w:w="66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9"/>
              </w:rPr>
              <w:t>Common stock—no par value; 100,000,000 shares authorized; 14,217,926 and</w:t>
            </w:r>
          </w:p>
        </w:tc>
        <w:tc>
          <w:tcPr>
            <w:tcW w:w="2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175"/>
        </w:trPr>
        <w:tc>
          <w:tcPr>
            <w:tcW w:w="66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89"/>
              </w:rPr>
              <w:t>14,366,616 shares issued and outstanding as of September 30, 2023 and December 31,</w:t>
            </w:r>
          </w:p>
        </w:tc>
        <w:tc>
          <w:tcPr>
            <w:tcW w:w="2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 , respectively</w:t>
            </w:r>
          </w:p>
        </w:tc>
        <w:tc>
          <w:tcPr>
            <w:tcW w:w="22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47,185,304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47,474,973</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(11,193,755)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(11,208,841)</w:t>
            </w:r>
          </w:p>
        </w:tc>
      </w:tr>
      <w:tr>
        <w:trPr>
          <w:trHeight w:val="223"/>
        </w:trPr>
        <w:tc>
          <w:tcPr>
            <w:tcW w:w="6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35,991,549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36,266,132</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(292,126)</w:t>
            </w:r>
          </w:p>
        </w:tc>
      </w:tr>
      <w:tr>
        <w:trPr>
          <w:trHeight w:val="223"/>
        </w:trPr>
        <w:tc>
          <w:tcPr>
            <w:tcW w:w="6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35,655,558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35,974,006</w:t>
            </w: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87,750,944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92,925,158</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020" w:type="dxa"/>
            <w:vAlign w:val="bottom"/>
            <w:gridSpan w:val="6"/>
          </w:tcPr>
          <w:p>
            <w:pPr>
              <w:ind w:left="100"/>
              <w:spacing w:after="0"/>
              <w:rPr>
                <w:sz w:val="20"/>
                <w:szCs w:val="20"/>
                <w:color w:val="auto"/>
              </w:rPr>
            </w:pPr>
            <w:r>
              <w:rPr>
                <w:rFonts w:ascii="Arial" w:cs="Arial" w:eastAsia="Arial" w:hAnsi="Arial"/>
                <w:sz w:val="18"/>
                <w:szCs w:val="18"/>
                <w:b w:val="1"/>
                <w:bCs w:val="1"/>
                <w:color w:val="auto"/>
                <w:w w:val="95"/>
              </w:rPr>
              <w:t>Three months ended September 30,</w:t>
            </w:r>
          </w:p>
        </w:tc>
        <w:tc>
          <w:tcPr>
            <w:tcW w:w="140" w:type="dxa"/>
            <w:vAlign w:val="bottom"/>
          </w:tcPr>
          <w:p>
            <w:pPr>
              <w:spacing w:after="0"/>
              <w:rPr>
                <w:sz w:val="20"/>
                <w:szCs w:val="20"/>
                <w:color w:val="auto"/>
              </w:rPr>
            </w:pPr>
          </w:p>
        </w:tc>
        <w:tc>
          <w:tcPr>
            <w:tcW w:w="27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10,085,926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11,413,072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30,199,441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32,887,269</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1,765,590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4,536,628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6,468,212</w:t>
            </w: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4,743,142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4,110,397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13,692,535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13,281,511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1,924,768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4,569,476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5,283,083</w:t>
            </w: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2,343,855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2,166,118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7,212,731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6,672,442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1,175,174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1,486,448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3,563,493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4,609,146</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11,952,529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11,701,660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33,574,863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36,314,394</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(1,866,603)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(3,375,422)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(3,427,125)</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98,603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205,854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52,709</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2,828,871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Other income - settlement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475,000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insurance proceeds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611,330</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(406,539)</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(3,169,625)</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(3,190,325)</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 subsidiary attributable to noncontrolling interests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60,813</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(3,129,512)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share attributable to common shareholders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 basic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14,277,229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14,477,478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14,343,560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14,618,975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14,277,229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14,521,600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14,618,975</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7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(28,779)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(3,190,325)</w:t>
            </w:r>
          </w:p>
        </w:tc>
      </w:tr>
      <w:tr>
        <w:trPr>
          <w:trHeight w:val="229"/>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3,702,687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4,816,630</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320,598</w:t>
            </w:r>
          </w:p>
        </w:tc>
      </w:tr>
      <w:tr>
        <w:trPr>
          <w:trHeight w:val="229"/>
        </w:trPr>
        <w:tc>
          <w:tcPr>
            <w:tcW w:w="7620" w:type="dxa"/>
            <w:vAlign w:val="bottom"/>
          </w:tcPr>
          <w:p>
            <w:pPr>
              <w:ind w:left="680"/>
              <w:spacing w:after="0"/>
              <w:rPr>
                <w:sz w:val="20"/>
                <w:szCs w:val="20"/>
                <w:color w:val="auto"/>
              </w:rPr>
            </w:pPr>
            <w:r>
              <w:rPr>
                <w:rFonts w:ascii="Arial" w:cs="Arial" w:eastAsia="Arial" w:hAnsi="Arial"/>
                <w:sz w:val="18"/>
                <w:szCs w:val="18"/>
                <w:color w:val="auto"/>
              </w:rPr>
              <w:t>Decrease in non-cash contingent consideration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(1,017,712)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(1,051,908)</w:t>
            </w:r>
          </w:p>
        </w:tc>
      </w:tr>
      <w:tr>
        <w:trPr>
          <w:trHeight w:val="229"/>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 cash surrender value of life insurance policies over premiums paid</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708,293</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Increase in noncash interest expense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7,608</w:t>
            </w:r>
          </w:p>
        </w:tc>
      </w:tr>
      <w:tr>
        <w:trPr>
          <w:trHeight w:val="229"/>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Life insurance proceeds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(611,330)</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(8,184,656)</w:t>
            </w:r>
          </w:p>
        </w:tc>
      </w:tr>
      <w:tr>
        <w:trPr>
          <w:trHeight w:val="229"/>
        </w:trPr>
        <w:tc>
          <w:tcPr>
            <w:tcW w:w="7620" w:type="dxa"/>
            <w:vAlign w:val="bottom"/>
          </w:tcPr>
          <w:p>
            <w:pPr>
              <w:ind w:left="10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418,355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1,338,881</w:t>
            </w:r>
          </w:p>
        </w:tc>
      </w:tr>
      <w:tr>
        <w:trPr>
          <w:trHeight w:val="230"/>
        </w:trPr>
        <w:tc>
          <w:tcPr>
            <w:tcW w:w="7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Other current assets and other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4,355,396</w:t>
            </w:r>
          </w:p>
        </w:tc>
      </w:tr>
      <w:tr>
        <w:trPr>
          <w:trHeight w:val="229"/>
        </w:trPr>
        <w:tc>
          <w:tcPr>
            <w:tcW w:w="7620" w:type="dxa"/>
            <w:vAlign w:val="bottom"/>
          </w:tcPr>
          <w:p>
            <w:pPr>
              <w:ind w:left="100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1,903,021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8,778,631</w:t>
            </w:r>
          </w:p>
        </w:tc>
      </w:tr>
      <w:tr>
        <w:trPr>
          <w:trHeight w:val="229"/>
        </w:trPr>
        <w:tc>
          <w:tcPr>
            <w:tcW w:w="7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(2,472,453)</w:t>
            </w:r>
          </w:p>
        </w:tc>
      </w:tr>
      <w:tr>
        <w:trPr>
          <w:trHeight w:val="223"/>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5,053,700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4,815,365</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Additions to property and equipment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(232,595)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(255,676)</w:t>
            </w:r>
          </w:p>
        </w:tc>
      </w:tr>
      <w:tr>
        <w:trPr>
          <w:trHeight w:val="229"/>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Settlement of patent litigation</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21,757</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Life insurance policy proceeds received</w:t>
            </w: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877,597</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paid for acquisitions</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w:t>
            </w:r>
          </w:p>
        </w:tc>
      </w:tr>
      <w:tr>
        <w:trPr>
          <w:trHeight w:val="230"/>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Additions to intangible assets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(177,362)</w:t>
            </w:r>
          </w:p>
        </w:tc>
      </w:tr>
      <w:tr>
        <w:trPr>
          <w:trHeight w:val="223"/>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(13,033,684)</w:t>
            </w:r>
          </w:p>
        </w:tc>
      </w:tr>
      <w:tr>
        <w:trPr>
          <w:trHeight w:val="209"/>
        </w:trPr>
        <w:tc>
          <w:tcPr>
            <w:tcW w:w="76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on line of credit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23,775,000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46,700,000</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Repayments on line of credit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(27,051,875)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(44,000,000)</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(1,117,576)</w:t>
            </w:r>
          </w:p>
        </w:tc>
      </w:tr>
      <w:tr>
        <w:trPr>
          <w:trHeight w:val="229"/>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Repurchase of common shares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(863,383)</w:t>
            </w:r>
          </w:p>
        </w:tc>
      </w:tr>
      <w:tr>
        <w:trPr>
          <w:trHeight w:val="223"/>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(5,937,371)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719,041</w:t>
            </w:r>
          </w:p>
        </w:tc>
      </w:tr>
      <w:tr>
        <w:trPr>
          <w:trHeight w:val="223"/>
        </w:trPr>
        <w:tc>
          <w:tcPr>
            <w:tcW w:w="7620" w:type="dxa"/>
            <w:vAlign w:val="bottom"/>
          </w:tcPr>
          <w:p>
            <w:pPr>
              <w:ind w:left="68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(1,250,005)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(7,499,278)</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19,757,970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27,040,816</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18,507,965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19,541,538</w:t>
            </w:r>
          </w:p>
        </w:tc>
      </w:tr>
      <w:tr>
        <w:trPr>
          <w:trHeight w:val="20"/>
        </w:trPr>
        <w:tc>
          <w:tcPr>
            <w:tcW w:w="7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20"/>
                <w:szCs w:val="20"/>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Noncontrolling</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3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3"/>
          </w:tcPr>
          <w:p>
            <w:pPr>
              <w:ind w:left="42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interests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Total equity</w:t>
            </w:r>
          </w:p>
        </w:tc>
      </w:tr>
      <w:tr>
        <w:trPr>
          <w:trHeight w:val="223"/>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14,742,754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48,452,906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(5,638,600)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(212,328)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42,601,978</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162,155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159,901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159,901</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(566,043)</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(1,385,253)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(1,402,433)</w:t>
            </w:r>
          </w:p>
        </w:tc>
      </w:tr>
      <w:tr>
        <w:trPr>
          <w:trHeight w:val="24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14,730,760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48,046,764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(229,508)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40,793,403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1240" w:type="dxa"/>
            <w:vAlign w:val="bottom"/>
          </w:tcPr>
          <w:p>
            <w:pPr>
              <w:spacing w:after="0"/>
              <w:rPr>
                <w:sz w:val="16"/>
                <w:szCs w:val="16"/>
                <w:color w:val="auto"/>
              </w:rPr>
            </w:pP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14,730,760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48,046,764</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(7,023,853)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(229,508)</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40,793,403</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(27,753)</w:t>
            </w: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(196,692)</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(1,335,620)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(29,046)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(1,364,666)</w:t>
            </w:r>
          </w:p>
        </w:tc>
      </w:tr>
      <w:tr>
        <w:trPr>
          <w:trHeight w:val="24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2022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14,649,693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47,822,319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(258,554)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39,204,292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350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1240" w:type="dxa"/>
            <w:vAlign w:val="bottom"/>
          </w:tcPr>
          <w:p>
            <w:pPr>
              <w:spacing w:after="0"/>
              <w:rPr>
                <w:sz w:val="15"/>
                <w:szCs w:val="15"/>
                <w:color w:val="auto"/>
              </w:rPr>
            </w:pP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14,649,693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47,822,319</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(8,359,473)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(258,554)</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39,204,292</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188,449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188,449</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(78,793)</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(408,639)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(423,226)</w:t>
            </w:r>
          </w:p>
        </w:tc>
      </w:tr>
      <w:tr>
        <w:trPr>
          <w:trHeight w:val="24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2022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14,616,583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47,931,975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(273,141)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38,890,722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2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Noncontrolling</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1500" w:type="dxa"/>
            <w:vAlign w:val="bottom"/>
            <w:gridSpan w:val="2"/>
          </w:tcPr>
          <w:p>
            <w:pPr>
              <w:ind w:left="44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deficit</w:t>
            </w:r>
          </w:p>
        </w:tc>
        <w:tc>
          <w:tcPr>
            <w:tcW w:w="160" w:type="dxa"/>
            <w:vAlign w:val="bottom"/>
          </w:tcPr>
          <w:p>
            <w:pPr>
              <w:spacing w:after="0"/>
              <w:rPr>
                <w:sz w:val="21"/>
                <w:szCs w:val="21"/>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interests</w:t>
            </w:r>
          </w:p>
        </w:tc>
        <w:tc>
          <w:tcPr>
            <w:tcW w:w="18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Total equity</w:t>
            </w: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14,366,616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47,474,973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(11,208,841)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(292,126)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35,974,006</w:t>
            </w: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150,260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90,156</w:t>
            </w: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(187,961)</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192,184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172,286</w:t>
            </w: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14,430,047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47,377,168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(11,016,657)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36,048,487</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3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14,430,047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47,377,168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36,048,487</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97,877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97,877</w:t>
            </w: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(171,616)</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872,200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862,154</w:t>
            </w: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14,330,990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47,303,429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(10,144,457)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36,836,902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14,330,990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47,303,429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(10,144,457)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36,836,902</w:t>
            </w: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83,112</w:t>
            </w: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Repurchase of 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(116,564)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(201,237)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(201,237)</w:t>
            </w: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(1,049,298)</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(13,921)</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(1,063,219)</w:t>
            </w:r>
          </w:p>
        </w:tc>
      </w:tr>
      <w:tr>
        <w:trPr>
          <w:trHeight w:val="248"/>
        </w:trPr>
        <w:tc>
          <w:tcPr>
            <w:tcW w:w="3520" w:type="dxa"/>
            <w:vAlign w:val="bottom"/>
          </w:tcPr>
          <w:p>
            <w:pPr>
              <w:ind w:left="20"/>
              <w:spacing w:after="0"/>
              <w:rPr>
                <w:sz w:val="20"/>
                <w:szCs w:val="20"/>
                <w:color w:val="auto"/>
              </w:rPr>
            </w:pPr>
            <w:r>
              <w:rPr>
                <w:rFonts w:ascii="Arial" w:cs="Arial" w:eastAsia="Arial" w:hAnsi="Arial"/>
                <w:sz w:val="18"/>
                <w:szCs w:val="18"/>
                <w:color w:val="auto"/>
              </w:rPr>
              <w:t>Balance, September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14,217,926</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47,185,304</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(11,193,755)</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(335,991)</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35,655,558</w:t>
            </w:r>
          </w:p>
        </w:tc>
      </w:tr>
      <w:tr>
        <w:trPr>
          <w:trHeight w:val="20"/>
        </w:trPr>
        <w:tc>
          <w:tcPr>
            <w:tcW w:w="352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 products. We are dedicated to our mission of working together to provide unique products that improve the quality of patient care.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markets are hospital acute care, gastroenterology and oncology. These medical specialties are characterized by relatively concentrated prescriber bases that we believe can be served effectively by small, targeted sales forces. We promote our approved products through our hospital, oncology and field sales forces in the United States. We have also established international partnerships and are continuing to build a network of companies outside the U.S. to register and provide our medicines to patients in their countries.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Cumberland’s growth strategy involves maximizing the success of our existing brands, while continuing to add differentiated products. We have built our portfolio of FDA approved products through both development and acquisition. Additionally, we look for opportunities to expand our products into new patient populations through clinical trials, improved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to address poorly met medical needs.</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products are manufactured by third parties, which are overseen by our quality control and manufacturing professionals. We work closely with our warehousing and distribution partners to make our products available in the U.S.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of the Company have been prepared on a basis consistent with the December 31, 2022,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2022 (the “2022 Annual Report on Form 10-K”). The results of operations for the three and nine months ended September 30, 2023, are not necessarily indicative of the results to be expected for the entire fiscal year or any future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Financial Accounting Standards Board ("FASB") issued Accounting Standards Update ("ASU") No. 2016-13, “Financial Instruments-Credit Losses,” which changes the impairment model for most financial assets and certain other instruments. For trade and other receivables, held-to-maturity debt securities, loans and other instruments, companies are required to use a new forward-looking “expected loss” model that generally results in an earlier recognition of allowances for losses. For available-for-sale debt securities with unrealized losses, companies measure credit losses in a manner similar with previous guidance, except that the losses are recognized as allowances rather than as reductions in the amortized cost of the securities. Companies have to disclose additional information, including information they use to track credit quality by year of origination for most financing receivables. Companies apply the ASU’s provisions as a cumulative-effect adjustment, if any, to the accumulated deficit as of the beginning of the first reporting period in which the guidance is adopted.</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adopted both ASU 2016-13 and ASU 2019-05 on January 1, 2023. Please refer to </w:t>
      </w:r>
      <w:r>
        <w:rPr>
          <w:rFonts w:ascii="Arial" w:cs="Arial" w:eastAsia="Arial" w:hAnsi="Arial"/>
          <w:sz w:val="16"/>
          <w:szCs w:val="16"/>
          <w:i w:val="1"/>
          <w:iCs w:val="1"/>
          <w:color w:val="auto"/>
        </w:rPr>
        <w:t>Trade and Notes Receivables Policy</w:t>
      </w:r>
      <w:r>
        <w:rPr>
          <w:rFonts w:ascii="Arial" w:cs="Arial" w:eastAsia="Arial" w:hAnsi="Arial"/>
          <w:sz w:val="16"/>
          <w:szCs w:val="16"/>
          <w:color w:val="auto"/>
        </w:rPr>
        <w:t xml:space="preserve"> below.</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7" w:name="page8"/>
    <w:bookmarkEnd w:id="7"/>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condensed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Segments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Trade and Note Receivables Policy</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performed a scoping exercise to ensure completeness over the application of Current Expected Credit Losses (CECL) across the various financial instruments including trade and note receivables. CECL is applicable to all financial assets measured at amortized cost. The authoritative guidance requires that all financial instruments should be evaluated, including cash equivalents such as 3-month T-Bills, even if the expected loss is determined to be zero, or materially zero. All bank balances are maintained in cash or money market funds. Therefore for the Company, this principally relates to trade receivables and two notes receivable. CECL also requires the measurement of expected credit losses on a collective (pool) basis when similar risk characteristics exist. This may include, either individually or in combination, some of the following characteristics of Accounting Standards Codification ("ASC") (326-20-55-5):</w:t>
      </w:r>
    </w:p>
    <w:p>
      <w:pPr>
        <w:spacing w:after="0" w:line="8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Internal or external credit score/rating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ratings or classification</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asset type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Size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interest 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Geographical location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Historical or expected credit loss patterns</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Reasonable and supportable forecast periods</w:t>
      </w:r>
    </w:p>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standard requires entities to pool financial assets but allows them to choose which risk characteristics to use. Under the requirements of the guidance, the Company would need to reassess at the end of each reporting period whether the pool of assets continue to display similar risk characteristics.</w:t>
      </w:r>
    </w:p>
    <w:p>
      <w:pPr>
        <w:spacing w:after="0" w:line="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 The adoption of ASC 326 did not result in a material impact to the Company.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EARNINGS (LOSS) PER SHARE</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the numerator and denominator used to calculate basic and diluted earnings (loss) per share for the three and nine months ended September 30, 2023 and 2022:</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88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bottom w:val="single" w:sz="8" w:color="auto"/>
            </w:tcBorders>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(1,049,298)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(408,639)</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14,277,229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6"/>
              </w:rPr>
              <w:t>14,477,478</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other securities</w:t>
            </w:r>
          </w:p>
        </w:tc>
        <w:tc>
          <w:tcPr>
            <w:tcW w:w="1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1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14,277,229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14,477,478</w:t>
            </w:r>
          </w:p>
        </w:tc>
      </w:tr>
      <w:tr>
        <w:trPr>
          <w:trHeight w:val="21"/>
        </w:trPr>
        <w:tc>
          <w:tcPr>
            <w:tcW w:w="6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600" w:type="dxa"/>
            <w:vAlign w:val="bottom"/>
            <w:tcBorders>
              <w:bottom w:val="single" w:sz="8" w:color="auto"/>
            </w:tcBorders>
            <w:gridSpan w:val="4"/>
          </w:tcPr>
          <w:p>
            <w:pPr>
              <w:ind w:left="940"/>
              <w:spacing w:after="0"/>
              <w:rPr>
                <w:sz w:val="20"/>
                <w:szCs w:val="20"/>
                <w:color w:val="auto"/>
              </w:rPr>
            </w:pPr>
            <w:r>
              <w:rPr>
                <w:rFonts w:ascii="Arial" w:cs="Arial" w:eastAsia="Arial" w:hAnsi="Arial"/>
                <w:sz w:val="18"/>
                <w:szCs w:val="18"/>
                <w:b w:val="1"/>
                <w:bCs w:val="1"/>
                <w:color w:val="auto"/>
                <w:w w:val="89"/>
              </w:rPr>
              <w:t>Nine months ended September 30,</w:t>
            </w:r>
          </w:p>
        </w:tc>
        <w:tc>
          <w:tcPr>
            <w:tcW w:w="9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w w:val="89"/>
              </w:rPr>
              <w:t>2023</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spacing w:after="0"/>
              <w:rPr>
                <w:sz w:val="19"/>
                <w:szCs w:val="19"/>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15,086</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(3,129,512)</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14,343,560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14,618,975</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other securities</w:t>
            </w:r>
          </w:p>
        </w:tc>
        <w:tc>
          <w:tcPr>
            <w:tcW w:w="1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178,040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14,521,600</w:t>
            </w: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14,618,975</w:t>
            </w:r>
          </w:p>
        </w:tc>
      </w:tr>
      <w:tr>
        <w:trPr>
          <w:trHeight w:val="20"/>
        </w:trPr>
        <w:tc>
          <w:tcPr>
            <w:tcW w:w="6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September 30, 2023 and 2022, restricted stock awards and options to purchase 440,389 and 233,750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revenues from contracts with customers under ASC 606.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revenues consisted of the following for the three and nine months ended September 30, 2023 and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4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3,887,476</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3,903,305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12,313,321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11,418,673</w:t>
            </w:r>
          </w:p>
        </w:tc>
      </w:tr>
      <w:tr>
        <w:trPr>
          <w:trHeight w:val="230"/>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Sancuso</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1,933,222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3,960,652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5,736,981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10,756,411</w:t>
            </w: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Vibativ</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2,789,579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1,909,750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6,785,592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6,008,005</w:t>
            </w: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Caldolor</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1,155,509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3,316,866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3,075,355</w:t>
            </w: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Acetadote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120,052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99,792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440,071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337,685</w:t>
            </w: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Vaprisol</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(252,059)</w:t>
            </w: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23,288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35,600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31,925</w:t>
            </w: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RediTrex</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238,712</w:t>
            </w:r>
          </w:p>
        </w:tc>
      </w:tr>
      <w:tr>
        <w:trPr>
          <w:trHeight w:val="22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299,356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1,272,562</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10,085,926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11,413,072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30,199,441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32,887,269</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Omeclamox-Pak net revenue for the third quarter of 2023 was impacted by our lack of commercial inventory of this product. The packager for our Omeclamox-Pak product encountered financial difficulties due to the impact of COVID-19. They are under new management and we are awaiting a potential resumption of supply. For the three and nine months ended September 30, 2023 and 2022, the amounts noted resulted from normal adjustments by channel partners.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regard to Vaprisol, we are in the process of transitioning to a new manufacturer, who was issued a U.S. Food and Drug Administration ("FDA") Form 483 in the second quarter of 2022. Once these FDA Form 483 related issues are satisfactorily resolved by the manufacturer, we will then resubmit our application for their facility to the FDA for approval. For the nine months ended September 30, 2023 and the three and nine months ended September 30, 2022, net revenue was impacted by product return and accrual adjustments.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9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second quarter of 2023, the Company received $1.0 million relating to a litigation settlement based on two $500,000 milestone payments due to us for the license associated with our Vibativ product that is included in other revenue for the nine months ended September 30, 2023.</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revenues include funding from federal grant programs including those secured from the FDA and from those secured by Cumberland Emerging Technologies Inc. ("CET") through the Small Business Administration. Grant revenue from these federal grant programs totaled approximately $0.1 million and $0.2 million for the three months ended September 30, 2023 and 2022, respectively, and approximately $0.3 million for the nine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line="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revenues also include lease income generated by CET’s Life Sciences Center. It is a research facility that provides scientists with access to flexible lab space and other resources to develop biomedical products. This lease income, as noted in Footnote 5 - Leases, was approximately $0.2 million and $0.1 million for the three months ended September 30, 2023 and 2022, respectively, and $0.4 million for the nine months ended September 30, 2023 and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 works closely with third parties to manufacture and package finished goods for sale. Based on the arrangements with the manufacturer or</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September 30, 2023, there were no cumulative obsolescence and discontinuance losses necessary. At December 31, 2022, the Company had recognized and maintained cumulative net realizable value charges for potential obsolescence and discontinuance losses of approximately $0.5 million.</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purchases the active pharmaceutical ingredient (“API”) for Kristalose and maintains the inventory of that raw material. API for the Company's Vaprisol and Vibativ brands were included in the assets associated with the acquisition of those brands and are also included in the raw materials inventory. As part of the Vibativ acquisition, the Company acquired API and work in process inventories of $15.6 million that were all initially classified as non-current inventories at the date of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As these APIs are consumed in the manufacture of our products, the value of the API involved is transferred from raw materials to finished goods.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Authorized Generic inventory stored with our partner until shipment to their customers.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and December 31, 2022, total non-current inventory was $8.3 million and $7.5 million, respectively. It included Vibativ finished goods of $1.3 million, Vibativ raw materials of $4.3 million, Kristalose raw materials of $1.5 million, Vaprisol raw materials of $0.9 million and ifetroban raw materials of $0.2 million. At December 31, 2022, the Company's non-current inventory included Vibativ raw materials of $7.1 million and ifetroban raw materials of $0.3 million and finished goods of $0.1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the Company's net inventories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142"/>
        </w:trPr>
        <w:tc>
          <w:tcPr>
            <w:tcW w:w="67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work in process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12,052,652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12,899,659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Consigned inventory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191,957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168,923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4,727,784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4,322,166</w:t>
            </w: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16,972,393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17,390,748</w:t>
            </w:r>
          </w:p>
        </w:tc>
      </w:tr>
      <w:tr>
        <w:trPr>
          <w:trHeight w:val="230"/>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non-current inventories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(8,301,845)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(7,527,167)</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inventories classified as current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8,670,548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9,863,581</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November 15, 2021, Cumberland entered into a lease (the "Lease"), pursuant to which the Company leases approximately 16,903 rentable square feet of space (the "Leased Premise") at Broadwest located in Nashville, Tennessee with 1600 West End Avenue Partners, LLC (the "Landlord"). The Leased Premise serves as the Company's new corporate headquarters. The initial term of the Lease is one hundred fifty-seven (157) months, with two consecutive options to renew for a period of five years each, with the commencement date of October 25, 2022. This lease currently expires in November 2035.</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responsible for paying rent to the Landlord under the Lease beginning three months after the commencement date. The Company pays a base rent of $33.06 per square foot of rentable space with a gradual rental rate increase of 2.5% for each year thereafter of the prior year's base rental. In addition to the monthly base rent, the Company is responsible for its percentage share of the operating expenses of the building. The Lease also provided for a tenant improvement allowance which we used to build out the space.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Company's operating leases also include the lease of approximately 14,200 square feet of wet laboratory and office space in Nashville, Tennessee by CET, our majority-owned subsidiary, where it operates the CET Life Sciences Center. This laboratory and office space at CET is leased through April 2028. The Company also subleases a portion of the space under this lease.</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January 1, 2019 and October 25, 2022. Incremental borrowing rates reflect the Company’s estimated interest rates for collateralized borrowings over similar lease terms. The weighted-average remaining lease term for the Broadwest and CET leases is 10.6 years at September 30, 2023. The weighted-average incremental borrowing rate used to discount the present value of the remaining lease payments is 9.28% for the Broadwest lease and 9.9% for the remaining CET lease. Also included as a right-of-use asset is an embedded lease of $0.8 million related to our new manufacturer for Vaprisol.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Position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the Company's lease assets and liabilities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ind w:left="2480"/>
              <w:spacing w:after="0"/>
              <w:rPr>
                <w:sz w:val="20"/>
                <w:szCs w:val="20"/>
                <w:color w:val="auto"/>
              </w:rPr>
            </w:pPr>
            <w:r>
              <w:rPr>
                <w:rFonts w:ascii="Arial" w:cs="Arial" w:eastAsia="Arial" w:hAnsi="Arial"/>
                <w:sz w:val="18"/>
                <w:szCs w:val="18"/>
                <w:b w:val="1"/>
                <w:bCs w:val="1"/>
                <w:color w:val="auto"/>
              </w:rPr>
              <w:t>Right-of-Use Assets</w:t>
            </w:r>
          </w:p>
        </w:tc>
        <w:tc>
          <w:tcPr>
            <w:tcW w:w="220" w:type="dxa"/>
            <w:vAlign w:val="bottom"/>
          </w:tcPr>
          <w:p>
            <w:pPr>
              <w:spacing w:after="0"/>
              <w:rPr>
                <w:sz w:val="20"/>
                <w:szCs w:val="20"/>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223"/>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6,711,155</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5,218,403</w:t>
            </w:r>
          </w:p>
        </w:tc>
      </w:tr>
      <w:tr>
        <w:trPr>
          <w:trHeight w:val="439"/>
        </w:trPr>
        <w:tc>
          <w:tcPr>
            <w:tcW w:w="6660" w:type="dxa"/>
            <w:vAlign w:val="bottom"/>
            <w:gridSpan w:val="2"/>
          </w:tcPr>
          <w:p>
            <w:pPr>
              <w:ind w:left="2600"/>
              <w:spacing w:after="0"/>
              <w:rPr>
                <w:sz w:val="20"/>
                <w:szCs w:val="20"/>
                <w:color w:val="auto"/>
              </w:rPr>
            </w:pPr>
            <w:r>
              <w:rPr>
                <w:rFonts w:ascii="Arial" w:cs="Arial" w:eastAsia="Arial" w:hAnsi="Arial"/>
                <w:sz w:val="18"/>
                <w:szCs w:val="18"/>
                <w:b w:val="1"/>
                <w:bCs w:val="1"/>
                <w:color w:val="auto"/>
              </w:rPr>
              <w:t>Lease Liabilities</w:t>
            </w:r>
          </w:p>
        </w:tc>
        <w:tc>
          <w:tcPr>
            <w:tcW w:w="220" w:type="dxa"/>
            <w:vAlign w:val="bottom"/>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223"/>
        </w:trPr>
        <w:tc>
          <w:tcPr>
            <w:tcW w:w="64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 current liabilities</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334,288</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172,910</w:t>
            </w:r>
          </w:p>
        </w:tc>
      </w:tr>
      <w:tr>
        <w:trPr>
          <w:trHeight w:val="216"/>
        </w:trPr>
        <w:tc>
          <w:tcPr>
            <w:tcW w:w="66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5,388,900</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4,586,301</w:t>
            </w:r>
          </w:p>
        </w:tc>
      </w:tr>
      <w:tr>
        <w:trPr>
          <w:trHeight w:val="22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5,723,188</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4,759,211</w:t>
            </w:r>
          </w:p>
        </w:tc>
      </w:tr>
      <w:tr>
        <w:trPr>
          <w:trHeight w:val="21"/>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cumulative future minimum sublease income under non-cancelable operating subleases totals approximately $1.7 million and will be paid through the leases ending in April 2028. Future minimum lease payments under non-cancelable operating leases (with initial or remaining lease terms in excess of one year)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Borders>
              <w:bottom w:val="single" w:sz="8" w:color="CCEEFF"/>
            </w:tcBorders>
          </w:tcPr>
          <w:p>
            <w:pPr>
              <w:ind w:left="2440"/>
              <w:spacing w:after="0"/>
              <w:rPr>
                <w:sz w:val="20"/>
                <w:szCs w:val="20"/>
                <w:color w:val="auto"/>
              </w:rPr>
            </w:pPr>
            <w:r>
              <w:rPr>
                <w:rFonts w:ascii="Arial" w:cs="Arial" w:eastAsia="Arial" w:hAnsi="Arial"/>
                <w:sz w:val="18"/>
                <w:szCs w:val="18"/>
                <w:b w:val="1"/>
                <w:bCs w:val="1"/>
                <w:color w:val="auto"/>
              </w:rPr>
              <w:t>Maturity of Lease Liabilities at September 30, 2023</w:t>
            </w: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Operating Leases</w:t>
            </w: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212,656</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863,320</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836,100</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909,911</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934,180</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2027</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5,588,192</w:t>
            </w: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9,344,359</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3,621,171</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5,723,188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is recognized over the expected term of the lease, including renewal option periods, if applicable, on a straight-line basis as a component of general and administrative expense. Rent expense and sublease income were as follows:</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1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3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244,305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239,647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861,398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155,025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128,395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424,632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SHAREHOLDERS’ EQUITY AND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currently has a share repurchase program available to repurchase up to $10 million of its common stock pursuant to Rule 10b-18 of the Securities Exchange Act of 1934. In January 2019, the Company's Board of Directors established the current $10 million repurchase program to replace the prior authorizations. During the nine months ended September 30, 2023 and September 30, 2022, the Company repurchased 302,450 shares and 290,576 shares of common stock for approximately $0.6 million and $0.8 million, respectively. At September 30, 2023, approximately $3.2 million was available for the repurchase of common shares under this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purchases and sales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Company's May 2023 trading window, several members of Cumberland's Board of Directors entered into agreements for trading plans to purchase shares of the Company's stock pursuant to Rule 10b5-1 of the Securities Exchange Act of 1934. These purchases are designed to increase ownership in the Company by the members of the Board. These purchases began in August 2023 and as of September 30, 2023, a total of 14,731 shares have been purchased through these trading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Sales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2017, Cumberland filed a Shelf Registration on Form S-3 with the SEC associated with the sale of up to $100 million in corporate securities. The Shelf Registration was declared effective in January 2018. It also included an At the Market ("ATM") feature that allowed the Company to sell common shares at market prices, along with an agreement with B. Riley FBR Inc. to support such a placement of shares. The Company filed an updated Form S-3 with the SEC in December 2020, which was declared effective in January 2021. On December 27, 2021, the Company filed a related prospectus supplement in connection with the sale and issuance of shares having an aggregate gross sales price of up to $19 million. The Company intends to continue an ATM feature through B. Riley FBR, Inc. that would allow the Company to issue shares of its common stock. The Company did not issue any shares under an ATM during the nine months ended September 30, 2023 or September 30,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Grants and Incentive Stock Options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2023 and September 30, 2022, the Company issued 34,250 shares and 65,225 shares of restricted stock, respectively, to employees, advisors and directors. Restricted stock issued to employees and advisors generally cliff-vests on the fourth anniversary of the date of grant and for directors on the one-year anniversary of the date of grant. During the nine months ended September 30, 2023 and 2022, the Company also issued 192,550 and 172,300 incentive stock options, respectively, to employees that cliff-vest on the fourth anniversary of the date of grant, and are set to expire in 2033 and 2032, respectively.</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 compensation expense is presented as a component of general and administrative expense in the condensed consolidated statements of operations as it relates to these restricted share grants and options. For the nine months ended September 30, 2023, we recorded a credit of $0.05 million to stock compensation expense related to the forfeiture of unvested restricted stock awards.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Debt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5, 2023, the Company entered into a new Revolving Credit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2023 and December 31, 2022, the Company had $12.9 million and $16.2 million, respectively, in borrowings outstanding under its revolving credit facility. The applicable interest rate under the Pinnacle Agreement was 8.25% at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Agreement</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2020, Cumberland entered into an agreement with WinHealth Investment (Singapore) Ltd creating </w:t>
      </w:r>
      <w:r>
        <w:rPr>
          <w:rFonts w:ascii="Arial" w:cs="Arial" w:eastAsia="Arial" w:hAnsi="Arial"/>
          <w:sz w:val="17"/>
          <w:szCs w:val="17"/>
          <w:i w:val="1"/>
          <w:iCs w:val="1"/>
          <w:color w:val="auto"/>
        </w:rPr>
        <w:t>WHC Biopharmaceuticals, Pte. Ltd</w:t>
      </w:r>
      <w:r>
        <w:rPr>
          <w:rFonts w:ascii="Arial" w:cs="Arial" w:eastAsia="Arial" w:hAnsi="Arial"/>
          <w:sz w:val="17"/>
          <w:szCs w:val="17"/>
          <w:color w:val="auto"/>
        </w:rPr>
        <w:t>.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a $0.2 million convertible note, which was funded during the first quarter of 2021. The joint venture will seek additional future capital from additional investors and has entered into exclusive option agreements to license product candidates from both Cumberland Pharmaceuticals Inc. and Cumberland Emerging Technologies Inc.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the Company has approximately $53.2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2023 and beyond, through the continued utilization of these net operating loss carryforwards, on any taxable income generated from our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INCOME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recorded a total of $3.7 million as other income in the first nine months of 2023. In March 2023, the Company was granted a barrier-to-innovation waiver from the FDA for certain fiscal year 2022 prescription drug fees resulting in a refund of $1.8 million. In June 2023, the Company was granted another waiver from the FDA for the fiscal year 2023 fees in the amount of $1.0 million. Both of these refunds were paid by the FDA in second quarter of 2023. In the third quarter of 2023, the Company recorded a $0.5 million settlement relating to a manufacturing dispute as well as life insurance proceeds of $0.3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COLLABORATIVE AGREEMENTS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received related to RediTrex, do not meet the criteria for accounting under ASC Topic 808, </w:t>
      </w:r>
      <w:r>
        <w:rPr>
          <w:rFonts w:ascii="Arial" w:cs="Arial" w:eastAsia="Arial" w:hAnsi="Arial"/>
          <w:sz w:val="17"/>
          <w:szCs w:val="17"/>
          <w:i w:val="1"/>
          <w:iCs w:val="1"/>
          <w:color w:val="auto"/>
        </w:rPr>
        <w:t>Collaborative Agreements</w:t>
      </w:r>
      <w:r>
        <w:rPr>
          <w:rFonts w:ascii="Arial" w:cs="Arial" w:eastAsia="Arial" w:hAnsi="Arial"/>
          <w:sz w:val="17"/>
          <w:szCs w:val="17"/>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involved in litigation arising in the normal course of business. The Company does not believe that the disposition or ultimate resolution of existing claims or lawsuits will have a material adverse effect on the business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 w:lineRule="exact"/>
        <w:rPr>
          <w:sz w:val="20"/>
          <w:szCs w:val="20"/>
          <w:color w:val="auto"/>
        </w:rPr>
      </w:pPr>
    </w:p>
    <w:p>
      <w:pPr>
        <w:ind w:right="5420"/>
        <w:spacing w:after="0" w:line="409" w:lineRule="auto"/>
        <w:rPr>
          <w:sz w:val="20"/>
          <w:szCs w:val="20"/>
          <w:color w:val="auto"/>
        </w:rPr>
      </w:pPr>
      <w:r>
        <w:rPr>
          <w:rFonts w:ascii="Arial" w:cs="Arial" w:eastAsia="Arial" w:hAnsi="Arial"/>
          <w:sz w:val="18"/>
          <w:szCs w:val="18"/>
          <w:b w:val="1"/>
          <w:bCs w:val="1"/>
          <w:color w:val="auto"/>
        </w:rPr>
        <w:t xml:space="preserve">(11) PRODUCT ACQUISITIONS AND RETURN OF PRODUCT RIGHTS </w:t>
      </w:r>
      <w:r>
        <w:rPr>
          <w:rFonts w:ascii="Arial" w:cs="Arial" w:eastAsia="Arial" w:hAnsi="Arial"/>
          <w:sz w:val="18"/>
          <w:szCs w:val="18"/>
          <w:i w:val="1"/>
          <w:iCs w:val="1"/>
          <w:color w:val="auto"/>
        </w:rPr>
        <w:t>Vibativ</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November 2018, the Company executed an agreement with Theravance Biopharma ("Theravance") to acquire the assets and global rights to Vibativ including responsibility for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Cumberland accounted for the transaction as a business combination in accordance with ASC 805 and the product sales are included in the results of operations subsequent to the acquisition date. The Company made an upfront payment of $20 million at the closing of the transaction and a $5 million milestone payment in early April 2019. In addition, Cumberland has agreed to pay royalties of up to 20% of on-going net sales of the product in the U.S. after a $2.5 million threshold is met. The future royalty payments were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changes in the fair value of the contingent consideration liability that is remeasured on a recurring basis. The contingent consideration earned and accrued in operating expenses is paid to Theravance quarterly.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4,154,823</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Cash payment of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(537,623)</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(127,310)</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762,405</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4,252,295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contingent consideration liability of $4.3 million was accounted for as $1.8 million of other current liabilities and $2.5 million of other long-term liabilities on the condensed consolidated balance sheet as of September 30,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Sancuso</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On January 3, 2022, Cumberland acquired the U.S. rights to the FDA-approved oncology-supportive care medicine Sancuso from Kyowa Kirin,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("Kyowa Kirin"), the U.S. affiliate of Japan-based Kyowa Kirin Co., Ltd.</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acquired U.S. rights to Sancuso and assumed full commercial responsibility for the product in the U.S. – including its marketing, promotion, distribution, manufacturing and medical support activities. The product’s FDA registration was subsequently transferred from Kyowa Kirin to Cumberland in August 2023.</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Cumberland has also accounted for this transaction as a business combination in accordance with ASC 805 and the product sales are included in the results of operations subsequent to the acquisition date. The Company made an upfront payment of $13.5 million at the closing of the transaction. The agreement called for milestone payments of up to $3.5 million based on the attainment of various approvals and sales performance. In March 2023, Cumberland made a $1.0 million milestone payment to Kwoya Kirin based on the FDA approval of a manufacturing site for the product. In October 2023, Cumberland made a $0.5 million milestone payment based on the successful transfer of the product’s FDA registration from Kyowa Kirin to Cumberland.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remaining $2 million in milestones are tied to achievement of certain annual sales levels for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Cumberland has agreed to pay a royalty of up to 10% of on-going net sales of Sancuso.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acquisition was funded by cash and the Company's revolving credit facility. The fair value for the assets and liabilities assumed were as follows: prepaid expenses of $1.8 million, inventory of $2.6 million, goodwill of $0.03 million, intangible assets of $14.1 million, milestone payable of $1.7 million and contingent liability of $3.4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the contingent consideration liability that is remeasured on a recurring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4,757,000</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Cash payment of milestones and royalty during the period</w:t>
            </w:r>
          </w:p>
        </w:tc>
        <w:tc>
          <w:tcPr>
            <w:tcW w:w="7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(1,571,310)</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7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(890,402)</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545,712</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contingent consideration liability earned and accrued in operating expenses is paid to Kyowa Kirin quarterly. The contingent consideration liability of $2.8 million was accounted for as $1.8 million of current liabilities and $1.1 million of other long-term liabilities on the condensed consolidated balance sheet as of September 30,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RediTrex</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consideration for the license, Cumberland paid a deposit of $100,000 at closing. The Company then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was responsible for the product registration and commercialization in the U.S., while Nordic was responsible for product manufacturing and supply.</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27, 2019, Cumberland received FDA approval for the first Nordic injectable product line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During December 2020, Cumberland introduced RediTrex and the launch that took place in late 2021 resulting in a $1.0 million milestone payment due to Nordic.</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However, Cumberland encountered difficulties in introducing RediTrex to a new customer base and in achieving the needed managed care coverage due to market conditions during the pandemic. On July 12, 2022, the Company entered into an amendment to the agreement with Nordic returning all rights to them including the trademark and market authorization effective June 30, 2023. Cumberland then continued to distribute and support the product through June 30, 2023. In accordance with the terms of the amendment, Nordic has returned the 180,000 restricted Cumberland shares previously issued to Nordic, which were cancelled, refunded to Cumberland the milestone payment of $1.0 million associated with the brand's U.S. approval and issued a credit note in favor of the Company in the amount of $1.0 million for the unpaid milestone payment associated with the launch of the product line. The companies have cooperated on the transition and Cumberland will receive a long-term royalty on any Nordic sales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 w:lineRule="exact"/>
        <w:rPr>
          <w:sz w:val="20"/>
          <w:szCs w:val="20"/>
          <w:color w:val="auto"/>
        </w:rPr>
      </w:pPr>
    </w:p>
    <w:p>
      <w:pPr>
        <w:ind w:right="3820"/>
        <w:spacing w:after="0" w:line="41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Disclosure regarding forward-looking statements</w:t>
      </w:r>
    </w:p>
    <w:p>
      <w:pPr>
        <w:jc w:val="both"/>
        <w:spacing w:after="0" w:line="288" w:lineRule="auto"/>
        <w:rPr>
          <w:sz w:val="20"/>
          <w:szCs w:val="20"/>
          <w:color w:val="auto"/>
        </w:rPr>
      </w:pPr>
      <w:r>
        <w:rPr>
          <w:rFonts w:ascii="Arial" w:cs="Arial" w:eastAsia="Arial" w:hAnsi="Arial"/>
          <w:sz w:val="16"/>
          <w:szCs w:val="16"/>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generally unpredictable conditions in national and international markets.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w:t>
      </w:r>
    </w:p>
    <w:p>
      <w:pPr>
        <w:spacing w:after="0" w:line="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Forward-Looking Statements” of our Annual Report on Form 10-K for the year ended December 31, 2022,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 products. We are dedicated to our mission of working together to provide unique products that improve the quality of patient care.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markets are hospital acute care, gastroenterology and oncology. These medical specialties are characterized by relatively concentrated prescriber bases that we believe can be served effectively by small, targeted sales forces. We promote our approved products through our hospital, oncology and field sales forces in the United States. We have also established international partnerships and are continuing to build a network of companies outside the U.S. to register and provide our medicines to patients in their countries.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FDA approved brands includes:</w:t>
      </w:r>
    </w:p>
    <w:p>
      <w:pPr>
        <w:spacing w:after="0" w:line="150"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Acetadote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acetylcysteine</w:t>
      </w:r>
      <w:r>
        <w:rPr>
          <w:rFonts w:ascii="Arial" w:cs="Arial" w:eastAsia="Arial" w:hAnsi="Arial"/>
          <w:sz w:val="18"/>
          <w:szCs w:val="18"/>
          <w:color w:val="auto"/>
        </w:rPr>
        <w:t>) injection, for the treatment of acetaminophen poisoning;</w:t>
      </w:r>
    </w:p>
    <w:p>
      <w:pPr>
        <w:spacing w:after="0" w:line="10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Caldolor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ibuprofen</w:t>
      </w:r>
      <w:r>
        <w:rPr>
          <w:rFonts w:ascii="Arial" w:cs="Arial" w:eastAsia="Arial" w:hAnsi="Arial"/>
          <w:sz w:val="18"/>
          <w:szCs w:val="18"/>
          <w:color w:val="auto"/>
        </w:rPr>
        <w:t>) injection, for the treatment of pain and fever;</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Kristalose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lactulose</w:t>
      </w:r>
      <w:r>
        <w:rPr>
          <w:rFonts w:ascii="Arial" w:cs="Arial" w:eastAsia="Arial" w:hAnsi="Arial"/>
          <w:sz w:val="18"/>
          <w:szCs w:val="18"/>
          <w:color w:val="auto"/>
        </w:rPr>
        <w:t>) for oral solution, a prescription laxative, for the treatment of constipation;</w:t>
      </w:r>
    </w:p>
    <w:p>
      <w:pPr>
        <w:spacing w:after="0" w:line="96" w:lineRule="exact"/>
        <w:rPr>
          <w:rFonts w:ascii="Arial" w:cs="Arial" w:eastAsia="Arial" w:hAnsi="Arial"/>
          <w:sz w:val="18"/>
          <w:szCs w:val="18"/>
          <w:color w:val="auto"/>
        </w:rPr>
      </w:pPr>
    </w:p>
    <w:p>
      <w:pPr>
        <w:ind w:left="1300" w:hanging="320"/>
        <w:spacing w:after="0" w:line="230"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-Pak</w:t>
      </w:r>
      <w:r>
        <w:rPr>
          <w:rFonts w:ascii="Arial" w:cs="Arial" w:eastAsia="Arial" w:hAnsi="Arial"/>
          <w:sz w:val="18"/>
          <w:szCs w:val="18"/>
          <w:color w:val="auto"/>
        </w:rPr>
        <w:t>, (</w:t>
      </w:r>
      <w:r>
        <w:rPr>
          <w:rFonts w:ascii="Arial" w:cs="Arial" w:eastAsia="Arial" w:hAnsi="Arial"/>
          <w:sz w:val="18"/>
          <w:szCs w:val="18"/>
          <w:i w:val="1"/>
          <w:iCs w:val="1"/>
          <w:color w:val="auto"/>
        </w:rPr>
        <w:t>omeprazole, clarithromycin, amoxicillin</w:t>
      </w:r>
      <w:r>
        <w:rPr>
          <w:rFonts w:ascii="Arial" w:cs="Arial" w:eastAsia="Arial" w:hAnsi="Arial"/>
          <w:sz w:val="18"/>
          <w:szCs w:val="18"/>
          <w:color w:val="auto"/>
        </w:rPr>
        <w:t>) for the treatment of Helicobacter pylori (</w:t>
      </w:r>
      <w:r>
        <w:rPr>
          <w:rFonts w:ascii="Arial" w:cs="Arial" w:eastAsia="Arial" w:hAnsi="Arial"/>
          <w:sz w:val="18"/>
          <w:szCs w:val="18"/>
          <w:i w:val="1"/>
          <w:iCs w:val="1"/>
          <w:color w:val="auto"/>
        </w:rPr>
        <w:t>H. pylori</w:t>
      </w:r>
      <w:r>
        <w:rPr>
          <w:rFonts w:ascii="Arial" w:cs="Arial" w:eastAsia="Arial" w:hAnsi="Arial"/>
          <w:sz w:val="18"/>
          <w:szCs w:val="18"/>
          <w:color w:val="auto"/>
        </w:rPr>
        <w:t>) infection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duodenal ulcer disease;</w:t>
      </w:r>
    </w:p>
    <w:p>
      <w:pPr>
        <w:spacing w:after="0" w:line="128" w:lineRule="exact"/>
        <w:rPr>
          <w:rFonts w:ascii="Arial" w:cs="Arial" w:eastAsia="Arial" w:hAnsi="Arial"/>
          <w:sz w:val="18"/>
          <w:szCs w:val="18"/>
          <w:color w:val="auto"/>
        </w:rPr>
      </w:pPr>
    </w:p>
    <w:p>
      <w:pPr>
        <w:ind w:left="1300" w:hanging="320"/>
        <w:spacing w:after="0" w:line="230" w:lineRule="auto"/>
        <w:tabs>
          <w:tab w:leader="none" w:pos="129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Sancuso</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granisetron)</w:t>
      </w:r>
      <w:r>
        <w:rPr>
          <w:rFonts w:ascii="Arial" w:cs="Arial" w:eastAsia="Arial" w:hAnsi="Arial"/>
          <w:sz w:val="18"/>
          <w:szCs w:val="18"/>
          <w:b w:val="1"/>
          <w:bCs w:val="1"/>
          <w:color w:val="auto"/>
        </w:rPr>
        <w:t xml:space="preserve"> </w:t>
      </w:r>
      <w:r>
        <w:rPr>
          <w:rFonts w:ascii="Arial" w:cs="Arial" w:eastAsia="Arial" w:hAnsi="Arial"/>
          <w:sz w:val="18"/>
          <w:szCs w:val="18"/>
          <w:color w:val="auto"/>
        </w:rPr>
        <w:t>transdermal system, for the prevention of nausea and vomiting in patients receiving certain types of</w:t>
      </w:r>
      <w:r>
        <w:rPr>
          <w:rFonts w:ascii="Arial" w:cs="Arial" w:eastAsia="Arial" w:hAnsi="Arial"/>
          <w:sz w:val="18"/>
          <w:szCs w:val="18"/>
          <w:b w:val="1"/>
          <w:bCs w:val="1"/>
          <w:color w:val="auto"/>
        </w:rPr>
        <w:t xml:space="preserve"> </w:t>
      </w:r>
      <w:r>
        <w:rPr>
          <w:rFonts w:ascii="Arial" w:cs="Arial" w:eastAsia="Arial" w:hAnsi="Arial"/>
          <w:sz w:val="18"/>
          <w:szCs w:val="18"/>
          <w:color w:val="auto"/>
        </w:rPr>
        <w:t>chemotherapy treatment;</w:t>
      </w:r>
    </w:p>
    <w:p>
      <w:pPr>
        <w:spacing w:after="0" w:line="118" w:lineRule="exact"/>
        <w:rPr>
          <w:rFonts w:ascii="Arial" w:cs="Arial" w:eastAsia="Arial" w:hAnsi="Arial"/>
          <w:sz w:val="18"/>
          <w:szCs w:val="18"/>
          <w:b w:val="1"/>
          <w:bCs w:val="1"/>
          <w:color w:val="auto"/>
        </w:rPr>
      </w:pPr>
    </w:p>
    <w:p>
      <w:pPr>
        <w:ind w:left="1300" w:right="20" w:hanging="320"/>
        <w:spacing w:after="0" w:line="229" w:lineRule="auto"/>
        <w:tabs>
          <w:tab w:leader="none" w:pos="129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Vaprisol</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conivaptan</w:t>
      </w:r>
      <w:r>
        <w:rPr>
          <w:rFonts w:ascii="Arial" w:cs="Arial" w:eastAsia="Arial" w:hAnsi="Arial"/>
          <w:sz w:val="18"/>
          <w:szCs w:val="18"/>
          <w:color w:val="auto"/>
        </w:rPr>
        <w:t>) injection, to raise serum sodium levels in hospitalized patients with euvolemic and hypervolemic hyponatremia;</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127" w:lineRule="exact"/>
        <w:rPr>
          <w:rFonts w:ascii="Arial" w:cs="Arial" w:eastAsia="Arial" w:hAnsi="Arial"/>
          <w:sz w:val="18"/>
          <w:szCs w:val="18"/>
          <w:b w:val="1"/>
          <w:bCs w:val="1"/>
          <w:color w:val="auto"/>
        </w:rPr>
      </w:pPr>
    </w:p>
    <w:p>
      <w:pPr>
        <w:ind w:left="1300" w:hanging="320"/>
        <w:spacing w:after="0" w:line="230"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telavancin</w:t>
      </w:r>
      <w:r>
        <w:rPr>
          <w:rFonts w:ascii="Arial" w:cs="Arial" w:eastAsia="Arial" w:hAnsi="Arial"/>
          <w:sz w:val="18"/>
          <w:szCs w:val="18"/>
          <w:color w:val="auto"/>
        </w:rPr>
        <w:t>) injection, for the treatment of certain serious bacterial infections including hospital-acquired and ventilator-associated bacterial pneumonia, as well as complicated skin and skin structure infections.</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these commercial brands, we have Phase II clinical programs underway evaluating our ifetroban product candidates for patients with cardiomyopathy associated with 1) Duchenne Muscular Dystrophy (“DMD”), a fatal, genetic neuromuscular disease and 2) Systemic Sclerosis (“SSc”) or scleroderma, a debilitating autoimmune disorder characterized by fibrosis of the skin and internal organs. In June 2023, we received FDA clearance to proceed directly to a Phase II study for patients with Idiopathic Pulmonary Fibrosis, the most common form of progressive fibrosing interstitial lung disease. We are now entering into agreements with medical centers around the country and look forward to initiating the trial.</w:t>
      </w:r>
    </w:p>
    <w:p>
      <w:pPr>
        <w:spacing w:after="0" w:line="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Cumberland has built core competencies in the acquisition, development and commercialization of pharmaceutical products in the U.S. – and we believe we can leverage this existing infrastructure to support our continued growth both domestically and internationally. Our management team consists of pharmaceutical industry veterans with experience in business development, product development, regulatory, manufacturing, sales, marketing and finance.</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and delivery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Cumberland’s growth strategy involves maximizing the success of our existing brands while continuing to add differentiated products. We have built our portfolio of FDA approved products through both development and acquisition. We are also continuing to establish international partnerships to bring our medicines to patients in other countries. Additionally, we look for opportunities to expand our products into new patient populations through clinical trials, improved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to address poorly met medical needs.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supplementing these activities with the earlier-stage drug development at Cumberland Emerging Technologies (“CET”), our majority-owned subsidiary. CET partners with academic research institutions to identify and support the progress of promising new product candidates, which Cumberland could further develop and commercialize.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are seeking long-term sustainable growth by:</w:t>
      </w:r>
    </w:p>
    <w:p>
      <w:pPr>
        <w:spacing w:after="0" w:line="140" w:lineRule="exact"/>
        <w:rPr>
          <w:sz w:val="20"/>
          <w:szCs w:val="20"/>
          <w:color w:val="auto"/>
        </w:rPr>
      </w:pPr>
    </w:p>
    <w:p>
      <w:pPr>
        <w:jc w:val="both"/>
        <w:ind w:left="660" w:hanging="328"/>
        <w:spacing w:after="0" w:line="303"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Supporting and expanding the use of our marketed products. </w:t>
      </w:r>
      <w:r>
        <w:rPr>
          <w:rFonts w:ascii="Arial" w:cs="Arial" w:eastAsia="Arial" w:hAnsi="Arial"/>
          <w:sz w:val="16"/>
          <w:szCs w:val="16"/>
          <w:color w:val="auto"/>
        </w:rPr>
        <w:t>We continue to evaluate our products following their FDA approval to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if additional clinical data could expand their market and use. For example, we have secured pediatric approval of Acetadote and Caldolor and expanded the labeling for both brands accordingly. We also added pre-surgery dosing for Caldolor, and recently included newborns to the patients who can benefit from the product. We will continue to explore such opportunities to bring our products to new patient populations.</w:t>
      </w:r>
    </w:p>
    <w:p>
      <w:pPr>
        <w:spacing w:after="0" w:line="83" w:lineRule="exact"/>
        <w:rPr>
          <w:rFonts w:ascii="Arial" w:cs="Arial" w:eastAsia="Arial" w:hAnsi="Arial"/>
          <w:sz w:val="16"/>
          <w:szCs w:val="16"/>
          <w:color w:val="auto"/>
        </w:rPr>
      </w:pPr>
    </w:p>
    <w:p>
      <w:pPr>
        <w:jc w:val="both"/>
        <w:ind w:left="660" w:hanging="328"/>
        <w:spacing w:after="0" w:line="277"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Selectively adding complementary brands. </w:t>
      </w:r>
      <w:r>
        <w:rPr>
          <w:rFonts w:ascii="Arial" w:cs="Arial" w:eastAsia="Arial" w:hAnsi="Arial"/>
          <w:sz w:val="17"/>
          <w:szCs w:val="17"/>
          <w:color w:val="auto"/>
        </w:rPr>
        <w:t>In addition to our product development activities, we are also seeking to acquire products or late-stage development product candidates to continue to build a portfolio of complementary brands. We focus on under-promoted, FDA-approved drugs as well as late-stage development products that can improve patient care. We will continue to target product acquisition candidates that are competitively differentiated, have valuable intellectual property or other protective features, and allow us to leverage our existing infrastructure. Our acquisitions of Vibativ and Sancuso are examples of the implementation of this strategy.</w:t>
      </w:r>
    </w:p>
    <w:p>
      <w:pPr>
        <w:spacing w:after="0" w:line="100" w:lineRule="exact"/>
        <w:rPr>
          <w:rFonts w:ascii="Arial" w:cs="Arial" w:eastAsia="Arial" w:hAnsi="Arial"/>
          <w:sz w:val="17"/>
          <w:szCs w:val="17"/>
          <w:color w:val="auto"/>
        </w:rPr>
      </w:pPr>
    </w:p>
    <w:p>
      <w:pPr>
        <w:jc w:val="both"/>
        <w:ind w:left="66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Progressing our clinical pipeline and incubating future product opportunities at CET. </w:t>
      </w:r>
      <w:r>
        <w:rPr>
          <w:rFonts w:ascii="Arial" w:cs="Arial" w:eastAsia="Arial" w:hAnsi="Arial"/>
          <w:sz w:val="18"/>
          <w:szCs w:val="18"/>
          <w:color w:val="auto"/>
        </w:rPr>
        <w:t>We believe it is important to build a pipeline of</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new product opportunities, as we are doing though our ifetroban Phase II development programs. We are also supplementing our acquisitions and late-stage development activities with early-stage drug development activities with CET.</w:t>
      </w:r>
    </w:p>
    <w:p>
      <w:pPr>
        <w:spacing w:after="0" w:line="94"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Leveraging our infrastructure through co-promotion partnerships. </w:t>
      </w:r>
      <w:r>
        <w:rPr>
          <w:rFonts w:ascii="Arial" w:cs="Arial" w:eastAsia="Arial" w:hAnsi="Arial"/>
          <w:sz w:val="17"/>
          <w:szCs w:val="17"/>
          <w:color w:val="auto"/>
        </w:rPr>
        <w:t>We believe that our commercial infrastructure can help drive prescription</w:t>
      </w:r>
      <w:r>
        <w:rPr>
          <w:rFonts w:ascii="Arial" w:cs="Arial" w:eastAsia="Arial" w:hAnsi="Arial"/>
          <w:sz w:val="17"/>
          <w:szCs w:val="17"/>
          <w:b w:val="1"/>
          <w:bCs w:val="1"/>
          <w:color w:val="auto"/>
        </w:rPr>
        <w:t xml:space="preserve"> </w:t>
      </w:r>
      <w:r>
        <w:rPr>
          <w:rFonts w:ascii="Arial" w:cs="Arial" w:eastAsia="Arial" w:hAnsi="Arial"/>
          <w:sz w:val="17"/>
          <w:szCs w:val="17"/>
          <w:color w:val="auto"/>
        </w:rPr>
        <w:t>volume and product sales. We look for strategic partners that can complement our capabilities and enhance opportunities for our brands. For example, our co-promotion partnerships have allowed us to expand the support for Kristalose across the U.S.</w:t>
      </w:r>
    </w:p>
    <w:p>
      <w:pPr>
        <w:spacing w:after="0" w:line="90" w:lineRule="exact"/>
        <w:rPr>
          <w:rFonts w:ascii="Arial" w:cs="Arial" w:eastAsia="Arial" w:hAnsi="Arial"/>
          <w:sz w:val="17"/>
          <w:szCs w:val="17"/>
          <w:color w:val="auto"/>
        </w:rPr>
      </w:pPr>
    </w:p>
    <w:p>
      <w:pPr>
        <w:jc w:val="both"/>
        <w:ind w:left="66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Building an international contribution to our business. </w:t>
      </w:r>
      <w:r>
        <w:rPr>
          <w:rFonts w:ascii="Arial" w:cs="Arial" w:eastAsia="Arial" w:hAnsi="Arial"/>
          <w:sz w:val="18"/>
          <w:szCs w:val="18"/>
          <w:color w:val="auto"/>
        </w:rPr>
        <w:t>We have established our own commercial capabilities, including three sales divisions,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to cover the U.S. market for our products. We are also building a network of select international partners to register our products and make them available to patients in their countries. 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spacing w:after="0" w:line="115" w:lineRule="exact"/>
        <w:rPr>
          <w:rFonts w:ascii="Arial" w:cs="Arial" w:eastAsia="Arial" w:hAnsi="Arial"/>
          <w:sz w:val="18"/>
          <w:szCs w:val="18"/>
          <w:color w:val="auto"/>
        </w:rPr>
      </w:pPr>
    </w:p>
    <w:p>
      <w:pPr>
        <w:ind w:left="660" w:hanging="328"/>
        <w:spacing w:after="0" w:line="312"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Managing our operations with financial discipline. </w:t>
      </w:r>
      <w:r>
        <w:rPr>
          <w:rFonts w:ascii="Arial" w:cs="Arial" w:eastAsia="Arial" w:hAnsi="Arial"/>
          <w:sz w:val="17"/>
          <w:szCs w:val="17"/>
          <w:color w:val="auto"/>
        </w:rPr>
        <w:t>We continually work to manage our expenses in line with our revenues to deliver positive</w:t>
      </w:r>
      <w:r>
        <w:rPr>
          <w:rFonts w:ascii="Arial" w:cs="Arial" w:eastAsia="Arial" w:hAnsi="Arial"/>
          <w:sz w:val="17"/>
          <w:szCs w:val="17"/>
          <w:b w:val="1"/>
          <w:bCs w:val="1"/>
          <w:color w:val="auto"/>
        </w:rPr>
        <w:t xml:space="preserve"> </w:t>
      </w:r>
      <w:r>
        <w:rPr>
          <w:rFonts w:ascii="Arial" w:cs="Arial" w:eastAsia="Arial" w:hAnsi="Arial"/>
          <w:sz w:val="17"/>
          <w:szCs w:val="17"/>
          <w:color w:val="auto"/>
        </w:rPr>
        <w:t>cash flow from operations. We remain in a strong financial position, with favorable gross margins and a strong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Vibativ Pediatric Study Publication</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October 2023, we announced a new publication in </w:t>
      </w:r>
      <w:r>
        <w:rPr>
          <w:rFonts w:ascii="Arial" w:cs="Arial" w:eastAsia="Arial" w:hAnsi="Arial"/>
          <w:sz w:val="17"/>
          <w:szCs w:val="17"/>
          <w:i w:val="1"/>
          <w:iCs w:val="1"/>
          <w:color w:val="auto"/>
        </w:rPr>
        <w:t>Antimicrobial Agents and Chemotherapy</w:t>
      </w:r>
      <w:r>
        <w:rPr>
          <w:rFonts w:ascii="Arial" w:cs="Arial" w:eastAsia="Arial" w:hAnsi="Arial"/>
          <w:sz w:val="17"/>
          <w:szCs w:val="17"/>
          <w:color w:val="auto"/>
        </w:rPr>
        <w:t xml:space="preserve"> detailing the results of the first clinical study investigating the safety and pharmacokinetics of our Vibativ injection in children 2 to 17 years of age. Vibativ is an intravenous antibiotic approved by the FDA for the treatment of hospital-acquired and ventilator-associated bacterial pneumonia as well as complicated skin and skin structure infections caused by certain gram-positive bacteria in adults. This is the first reported study evaluating Vibativ in pediatric patients.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Antimicrobial resistance poses a significant challenge in the treatment of bacterial infections, necessitating the development of new antibiotic therapies. The results of this study suggest that a single dose of Vibativ is safe in children and they experience reduced exposure to Vibativ, compared with the same body weight-based dosing in adults.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Bank Credit Facility</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5, 2023, Cumberland entered into a new Revolving Credit Loan Agreement with Pinnacle Bank for a three-year term. The agreement provides for an aggregate principal funding amount of up to $25 million. It provides an initial revolving credit line with $20 million of availability, and the ability of Cumberland to increase the amount to $25 million under certain conditions. The interest rate is based on Benchmark (Term SOFR), plus a spread of 2.75%, and is subject to one financial covenant, the maintenance of a Funded Debt Ratio, determined on a quarterly basis.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NOPAIN Act</w:t>
      </w:r>
    </w:p>
    <w:p>
      <w:pPr>
        <w:spacing w:after="0" w:line="1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We announced in April 2023 that we expect that our Caldolor injection product will be eligible for special Medicare reimbursement under the </w:t>
      </w:r>
      <w:r>
        <w:rPr>
          <w:rFonts w:ascii="Arial" w:cs="Arial" w:eastAsia="Arial" w:hAnsi="Arial"/>
          <w:sz w:val="17"/>
          <w:szCs w:val="17"/>
          <w:i w:val="1"/>
          <w:iCs w:val="1"/>
          <w:color w:val="auto"/>
        </w:rPr>
        <w:t>Non-Opioids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Prevent Addiction in the Nation Act </w:t>
      </w:r>
      <w:r>
        <w:rPr>
          <w:rFonts w:ascii="Arial" w:cs="Arial" w:eastAsia="Arial" w:hAnsi="Arial"/>
          <w:sz w:val="17"/>
          <w:szCs w:val="17"/>
          <w:color w:val="auto"/>
        </w:rPr>
        <w:t>(the “NOPAIN Act”), which was enacted as part of the Consolidated Appropriations Act of 2023.</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NOPAIN Act requires Medicare to provide separate reimbursement for non-opioid products that are used to manage pain during surgeries conducted in hospital outpatient departments or in ambulatory surgical centers. The NOPAIN Act applies, in part, to products that are indicated to provide analgesia without acting upon the body’s opioid receptors. As a result, we expect that the NOPAIN Act will affect Medicare reimbursement for Caldolor, our non-opioid analgesic injection product.</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reimbursement for non-opioid pain alternatives under the NOPAIN Act will apply to those products that are furnished between January 1, 2025 and January 1, 2028. It is anticipated that in 2024, the Centers for Medicare &amp; Medicaid Services (CMS) will issue regulations implementing the NOPAIN Act and detailing the conditions for, and amount of, the separate reimbursement.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i w:val="1"/>
          <w:iCs w:val="1"/>
          <w:color w:val="auto"/>
        </w:rPr>
        <w:t>Medicare Hospital Outpatient Prospective Payment System Proposed Rule</w:t>
      </w:r>
      <w:r>
        <w:rPr>
          <w:rFonts w:ascii="Arial" w:cs="Arial" w:eastAsia="Arial" w:hAnsi="Arial"/>
          <w:sz w:val="18"/>
          <w:szCs w:val="18"/>
          <w:color w:val="auto"/>
        </w:rPr>
        <w:t>, the CMS requested that manufacturers with potentially applicable non-opioid products submit comments and supporting clinical evidence regarding products that should be eligible for separate payment. We submitted a comment letter along with the requisite clinical information to the CMS in September 2023 explaining why Caldolor should be included and separately reimbursed.</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Caldolor is approved by the FDA for use in adults and pediatric patients 3 months and older for the management of mild to moderate pain as a sole therapy, and for the management of moderate to severe pain as an adjunct to an opioid. A series of published clinical studies have demonstrated that Caldolor significantly reduces patient pain, while also significantly reducing patients’ need for opioids.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Ifetroban Clinical Studies</w:t>
      </w:r>
    </w:p>
    <w:p>
      <w:pPr>
        <w:spacing w:after="0" w:line="1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been evaluating our ifetroban product candidate, a selective thromboxane-prostanoid receptor antagonist, in a series of clinical studies. It has been dosed in nearly 1,400 subjects and has been found to be safe and well tolerated in healthy volunteers and various patient populations. Patient enrollment is well underway in two company sponsored Phase II clinical programs to evaluate ifetroban in Systemic Sclerosis or scleroderma, a debilitating autoimmune disorder characterized by diffuse fibrosis of the skin and internal organs; and the Cardiomyopathy associated with Duchenne Muscular Dystrophy (“DMD”), a rare and fatal genetic neuromuscular disease that results in deterioration of the skeletal, heart and lung muscles.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is sponsoring the FIGHT DMD™ trial, a multicenter, randomized, placebo-controlled Phase II study evaluating the safety, pharmacokinetics and efficacy of two doses of oral ifetroban for the treatment of the cardiomyopathy associated DMD. The trial is evaluating 12 months of oral ifetroban in 24 subjects with early-stage cardiomyopathy and 24 subjects with advanced-stage heart disease across 10 U.S. centers that specialize in DMD cardiomyopathy. The safety and efficacy endpoints include left ventricular ejection fraction using cardiac MRI, pulmonary function, quantitative muscle strength, daily activity and quality of life measures.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Orphan Product Division awarded Cumberland $1 million in funding under its Orphan Products Grants Program to support this trial. This was the first DMD trial awarded such funding.</w:t>
      </w:r>
    </w:p>
    <w:p>
      <w:pPr>
        <w:spacing w:after="0" w:line="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June 2023, we presented results from an interim analysis for the FIGHT DMD</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trial at the 29th annual </w:t>
      </w:r>
      <w:r>
        <w:rPr>
          <w:rFonts w:ascii="Arial" w:cs="Arial" w:eastAsia="Arial" w:hAnsi="Arial"/>
          <w:sz w:val="18"/>
          <w:szCs w:val="18"/>
          <w:i w:val="1"/>
          <w:iCs w:val="1"/>
          <w:color w:val="auto"/>
        </w:rPr>
        <w:t>Parent Project Muscular Dystrophy Conference</w:t>
      </w:r>
      <w:r>
        <w:rPr>
          <w:rFonts w:ascii="Arial" w:cs="Arial" w:eastAsia="Arial" w:hAnsi="Arial"/>
          <w:sz w:val="18"/>
          <w:szCs w:val="18"/>
          <w:color w:val="auto"/>
        </w:rPr>
        <w:t xml:space="preserve"> in Dallas, Texas. The interim analysis was conducted on data from 25 patients with DMD who completed six of the 12 total months of treatment and assessments. Both doses of ifetroban were reported well tolerated in DMD participants ages 7 years of age or older. There was also a positive trend in leg muscle strength, but no statistically significant differences have been identified at this point.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2023, we announced that the FDA has cleared the Investigational New Drug Application for a Phase II study in patients with Idiopathic Pulmonary Fibrosis (“IPF”), the most common form of progressive fibrosing interstitial lung disease. As a result, we are initiating our FIGHTING FIBROSIS trial designed to enroll 128 patients in over 20 medical centers of excellence across the U.S. This Phase II clinical trial will study the safety, tolerability and efficacy of oral ifetroban in patients with IPF. Recent studies have shown ifetroban can both prevent and enhance resolution of lung fibrosis in multiple preclinical models.</w:t>
      </w:r>
    </w:p>
    <w:p>
      <w:pPr>
        <w:spacing w:after="0" w:line="1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also completed Phase II clinical programs with ifetroban in patients with Hepatorenal Syndrome, Portal Hypertension and Aspirin Exasperated Respiratory Disease. Additional preclinical and pilot clinical studies of ifetroban are underway, including several investigator-initiated trials.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plan going forward is to complete each of our Company-sponsored studies, analyze their final data, announce top-line results and decide on the best development path for the registration of ifetroban, which we continue to believe has the potential to benefit many patients with orphan diseases that represent unmet medical needs.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Sancuso Acquisition and Approval of New Manufacturing Plant</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early 2022, Cumberland acquired the U.S. rights to the FDA-approved oncology-supportive care medicine Sancuso from Kyowa Kirin, Inc., the U.S. affiliate of Japan-based Kyowa Kirin Co., Ltd. Sancuso is the first and only FDA-approved prescription patch for the prevention of nausea and vomiting in patients receiving certain types of chemotherapy treatment. We assumed commercial responsibility for the product in the U.S. – including its marketing, promotion, distribution, manufacturing and medical support activities – early last year and, as of September 2023, have fully completed the transition of Sancuso to Cumberland. In late 2022, the FDA approved moving the product’s manufacturer to a new facility, and the production of supplies for Cumberland at that plant is planned for the fourth quarter of 2023.</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In June 2023, we launched an expanded oncology sales division comprised of both field-based and inside sales personnel to feature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Agreements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2022, we signed a new agreement with PiSA Pharmaceutical (“PiSA”) for the exclusive supply and distribution of our ibuprofen injection product in Mexico. Cumberland will be responsible for sharing the U.S. dossier and providing product supply, while PiSA will be responsible for obtaining the regulatory approval and then commercializing the product in Mexico. PiSA expects to provide the product in both 400- and 800-milligram vials.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Meanwhile, we continue to support our international partners in their efforts to register our Vibativ brand in their countries.</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late 2022, we announced a new partnership with Saudi Arabia-based Tabuk Pharmaceutical to introduce Vibativ into the Middle East. The arrangement provides Tabuk exclusive rights to distribute Vibativ in Saudi Arabia and Jordan, with the option to expand into other countries in the region. Tabuk is in the process of updating the Vibativ registration in Saudi Arabia with new manufacturing information as they also prepare for the launch in that country.</w:t>
      </w:r>
    </w:p>
    <w:p>
      <w:pPr>
        <w:spacing w:after="0" w:line="6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Also in 2022, we entered into an agreement with D.B. Pharm to register and commercialize our Vibativ product in South Korea. D.B. Pharm also distributes our Caldolor product in South Korea. They filed for the approval of Vibativ in November 2022 and we have been supporting their efforts</w:t>
      </w:r>
    </w:p>
    <w:p>
      <w:pPr>
        <w:spacing w:after="0"/>
        <w:rPr>
          <w:sz w:val="20"/>
          <w:szCs w:val="20"/>
          <w:color w:val="auto"/>
        </w:rPr>
      </w:pPr>
      <w:r>
        <w:rPr>
          <w:rFonts w:ascii="Arial" w:cs="Arial" w:eastAsia="Arial" w:hAnsi="Arial"/>
          <w:sz w:val="18"/>
          <w:szCs w:val="18"/>
          <w:color w:val="auto"/>
        </w:rPr>
        <w:t>through the review process of their application there.</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Meanwhile, our Vibativ partner for the Chinese market, SciClone Pharmaceuticals, had their approval application in China accepted for review in September 2021. We have since been supporting SciClone and their requests associated with the review of that submission. They are working toward the approval and believe that there is significant potential for Vibativ in their country.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Vaprisol Supply Update</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Demand for our Vaprisol product increased in 2020 during the pandemic, and we worked to support the expanded use of the product in hospitals and clinics during the health care crisis. During 2021, we shipped all remaining inventory of the product and notified the FDA that supplies of the product are not currently available. We have since transferred the manufacturing of the product to a new facility. Our new manufacturing partner, Nephron Pharmaceuticals (“Nephron”), is working with the FDA to address several Form 483 and warning letter issues in a timely manner.</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Meanwhile, we are working with Nephron to provide interim supplies of a special compounded conivaptan product to the market in support of critically ill patients. The companies will share in the sales of this compounded product, which is expected to be manufactured and released in the fourth quarter of 2023. We then expect to file for the approval to manufacture branded Vaprisol once all FDA issues at the Nephron site are resolved.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Settlement</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27, 2023, the U.S. Securities and Exchange Commission (the “SEC”) finalized the settlement of an administrative proceeding involving certain instances where some directors and officers of the Company were late in filing public reports regarding changes in their stock ownership pursuant to Section 16(a) of the Securities Exchange Act of 1934, as amended (the “Exchange Act”), and that the Company did not make the needed disclosure concerning these late filings in its Annual Report on Form 10-K as outlined in Item 405 of Regulation S-K. Without admitting or denying the allegations, the Company agreed to pay a $200,000 civil penalty to the SEC and to commit to the timely filing of such needed disclosures in the future. The Company does not expect this matter to materially impact its business or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Omeclamox-Pak Supply Update</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packager for Omeclamox-Pak encountered financial difficulties in 2020 due to the impact of the COVID-19 pandemic, and their operations were suspended. As a result, we depleted our inventory of the product and notified the FDA that it is currently unavailable. We are awaiting availability of those operations, while also exploring other alternatives to restart the product’s packaging.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remain committed to our mission of working together to provide unique products that improve the quality of patient care.</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fulfill this mission we are building a portfolio of innovative and differentiated products through a multifaceted strategy that includes the development of new candidates as well as the acquisition of established brands. Our resulting, diversified product line has enabled us to weather external challenges while our team remains responsive to the evolving market. We are prepared for and look forward to future opportunities to carry out our mission throughout the remainder of the year.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2022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 and Judgments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to the three months ended September 30, 2022</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 presents the unaudited interim statements of operations for continuing operations for the three months ended September 30, 2023 and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 September 30,</w:t>
            </w:r>
          </w:p>
        </w:tc>
        <w:tc>
          <w:tcPr>
            <w:tcW w:w="134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10,085,926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11,413,072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(1,327,146)</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1,765,590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2,224,443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(458,853)</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4,743,142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4,110,397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632,745</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1,714,254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210,514</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2,343,855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2,166,118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177,737</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1,175,174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1,486,448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(311,274)</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11,952,529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11,701,660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250,869</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(1,866,603)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(1,578,015)</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98,603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21,602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77,001</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settlement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Other income - insurance proceeds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346,800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346,800</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(149,340)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39,259</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(1,056,281)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(416,326)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(639,955)</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(1,063,219)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(423,226)</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(639,993)</w:t>
            </w:r>
          </w:p>
        </w:tc>
      </w:tr>
      <w:tr>
        <w:trPr>
          <w:trHeight w:val="20"/>
        </w:trPr>
        <w:tc>
          <w:tcPr>
            <w:tcW w:w="5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2"/>
        </w:trPr>
        <w:tc>
          <w:tcPr>
            <w:tcW w:w="5560" w:type="dxa"/>
            <w:vAlign w:val="bottom"/>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 September 30,</w:t>
            </w:r>
          </w:p>
        </w:tc>
        <w:tc>
          <w:tcPr>
            <w:tcW w:w="134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3,887,476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3,903,305</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(15,829)</w:t>
            </w: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Sancuso</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1,933,222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3,960,652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(2,027,430)</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Vibativ</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2,789,579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1,909,750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879,829</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Caldolor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233,698</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Acetadote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120,052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99,792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20,260</w:t>
            </w: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Vaprisol</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35,600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(12,312)</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RediTrex</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(208,365)</w:t>
            </w:r>
          </w:p>
        </w:tc>
      </w:tr>
      <w:tr>
        <w:trPr>
          <w:trHeight w:val="230"/>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496,789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(197,433)</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10,085,926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11,413,072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(1,327,146)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for the three months ended September 30, 2023, were $10.1 million compared to $11.4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As noted in the table above, net revenue increased during the quarter for three of our marketed products: Vibativ, Caldolor and Acetadote.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Kristalose revenue of $3.9 million for the third quarter of 2023, ended the quarter at the same level as the prior year period.</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Acetadote revenue includes net sales of our Acetadote brand and our share of net sales from our Authorized Generic. During the third quarter of 2023, there was an increase of $0.02 million in the product's revenue when compared to the prior year period due to an increase in shipments.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Vaprisol revenue for the third quarter of 2023 as Cumberland is currently out of inventory of the product. We await FDA approval on a new manufacturer.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line="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Caldolor revenue was $1.2 million for the third quarter of 2023, which was $0.2 million higher than the third quarter of 2022 primarily due to increased international shipments.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Vibativ revenue was $2.8 million for the three months ended September 30, 2023, an increase of $0.9 million from the same prior year period. The increase in net revenue of the product was the result of successful implementation of a series of new initiatives in support of the brand as well as a decline in product returns.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Sancuso revenue was $1.9 million for the third quarter of 2023, compared to $4.0 million for the third quarter of 2022. The decline resulted primarily from deductions from sales including managed care rebates.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Omeclamox-Pak had no sales for the third quarter of 2023, as Cumberland is currently out of commercial inventory of this product. The packager for our Omeclamox-Pak product encountered financial difficulties in 2020. Net revenue for the three months ended September 30, 2023, reflects sales deduction adjustments.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RediTrex sales in the third quarter of 2023, as Cumberland concluded our distribution of the product effective June 30, 2023. Net revenue for the three months ended September 30, 2023, reflects sales deduction adjustments.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Other revenue was $0.3 million for the three months ended September 30, 2023, compared to $0.5 million for the three months ended September 30, 2022.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Cost of products sold</w:t>
      </w:r>
      <w:r>
        <w:rPr>
          <w:rFonts w:ascii="Arial" w:cs="Arial" w:eastAsia="Arial" w:hAnsi="Arial"/>
          <w:sz w:val="18"/>
          <w:szCs w:val="18"/>
          <w:color w:val="auto"/>
        </w:rPr>
        <w:t>. Cost of products sold for the third quarter of 2023 and 2022 were $1.8 million and $2.2 million, respectively. Cost of products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revenues, were 17.5% during the three months ended September 30, 2023, compared to 19.5% during the three months ended September 30, 2022. The improvement in cost of products sold is primarily due to the availability of new lower cost inventory and less inventory write-downs.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third quarter of 2023 increased $0.6 million compared to the same period last year.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attributable to the timing of the expenditures.</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costs for the third quarter of 2023 and 2022 were $1.9 million and $1.7 million, respectively. A</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our research and development costs is variable as we continue to fund the ongoing clinical initiatives associated with our pipeline product candidates. These variable costs depend on the number of active trials, study sites and patients as well as the cost per patient in each of our clinical programs. The larger research and development costs for the third quarter of 2023 resulted from an increase in these study costs.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for the third quarter of 2023 was $2.3 million compared to $2.2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2022. The increase was primarily due to the settlement of an administrative proceeding with the U.S.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Vibativ:</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2,789,579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1,909,750</w:t>
            </w:r>
          </w:p>
        </w:tc>
      </w:tr>
      <w:tr>
        <w:trPr>
          <w:trHeight w:val="229"/>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563,688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1,103,581</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621,941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(179,303)</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1,603,950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985,472</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160" w:hanging="152"/>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Vibativ inventory included in the costs of product sold during the period was acquired and paid for by Cumberland as part of the acquisition of the brand during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Sancuso: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Sancuso</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1,933,222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4,060,652</w:t>
            </w:r>
          </w:p>
        </w:tc>
      </w:tr>
      <w:tr>
        <w:trPr>
          <w:trHeight w:val="230"/>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314,735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388,535</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792,654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1,024,014</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Sancuso contribution</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825,833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2,648,103</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Sancuso inventory included in the costs of product sold during the period was acquired and paid for by Cumberland as part of the acquisition of the brand during 2022.</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Amortization expense is the ratable use of our capitalized intangible assets including product and license rights, patents,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defense costs. Amortization for the three months ended September 30, 2023 and 2022, totaled approximately $1.2 million and $1.5 million, respectively. The decline in amortization expense resulted from adjustments to the useful life of Sancuso as determined by the valuation of the product in December 2022.</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for the three months ended September 30, 2023, was comparable to the income tax expense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we had approximately $53.2 million in federal net operating loss carryforwards including approximately $44 million of net operating loss carryforwards resulting from the exercise of nonqualified stock options that have historically been used to significantly offset income tax obligations. We expect to continue to pay minimal income taxes during 2023 and beyond, through the continued utilization of these net operating loss carryforwards, on any taxable income generated from our operations.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In the third quarter of 2023, we recognized a gain of $0.5 million to settle a manufacturing dispute and a $0.3 million for a payout earned on</w:t>
      </w:r>
      <w:r>
        <w:rPr>
          <w:rFonts w:ascii="Arial" w:cs="Arial" w:eastAsia="Arial" w:hAnsi="Arial"/>
          <w:sz w:val="18"/>
          <w:szCs w:val="18"/>
          <w:i w:val="1"/>
          <w:iCs w:val="1"/>
          <w:color w:val="auto"/>
        </w:rPr>
        <w:t xml:space="preserve"> </w:t>
      </w:r>
      <w:r>
        <w:rPr>
          <w:rFonts w:ascii="Arial" w:cs="Arial" w:eastAsia="Arial" w:hAnsi="Arial"/>
          <w:sz w:val="18"/>
          <w:szCs w:val="18"/>
          <w:color w:val="auto"/>
        </w:rPr>
        <w:t>a company owned insurance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2023 compared to the nine months ended September 30, 2022</w:t>
      </w:r>
    </w:p>
    <w:p>
      <w:pPr>
        <w:spacing w:after="0" w:line="22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following table presents the unaudited interim statements of operations for continuing operations for the nine months ended September 30, 2023 and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30,199,441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32,887,269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(2,687,828)</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4,536,628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6,468,212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(1,931,584)</w:t>
            </w: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13,692,535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13,281,511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411,024</w:t>
            </w: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4,569,476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5,283,083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(713,607)</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7,212,731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6,672,442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540,289</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3,563,493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4,609,146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(1,045,653)</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33,574,863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36,314,394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(2,739,531)</w:t>
            </w:r>
          </w:p>
        </w:tc>
        <w:tc>
          <w:tcPr>
            <w:tcW w:w="10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(3,375,422)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(3,427,125)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51,703</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205,854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52,709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153,145</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2,828,871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2,828,871</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Other income - settlement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insurance proceeds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(264,530)</w:t>
            </w: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(3,169,625)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3,161,659</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(3,190,325)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3,161,546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shd w:val="clear" w:color="auto" w:fill="CCEEFF"/>
          </w:tcPr>
          <w:p>
            <w:pPr>
              <w:spacing w:after="0" w:line="20" w:lineRule="exact"/>
              <w:rPr>
                <w:sz w:val="1"/>
                <w:szCs w:val="1"/>
                <w:color w:val="auto"/>
              </w:rPr>
            </w:pPr>
          </w:p>
        </w:tc>
      </w:tr>
      <w:tr>
        <w:trPr>
          <w:trHeight w:val="41"/>
        </w:trPr>
        <w:tc>
          <w:tcPr>
            <w:tcW w:w="5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Nine months ended September 30,</w:t>
            </w:r>
          </w:p>
        </w:tc>
        <w:tc>
          <w:tcPr>
            <w:tcW w:w="138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12,313,321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11,418,673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894,648</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Sancuso</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5,736,981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10,756,411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(5,019,430)</w:t>
            </w: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Vibativ</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6,785,592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6,008,005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777,587</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Caldolor</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3,316,866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3,075,355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241,511</w:t>
            </w: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Vaprisol</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39,866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(252,059)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291,925</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Acetadote</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102,386</w:t>
            </w: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28,832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31,925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(3,093)</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RediTrex</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(492,820)</w:t>
            </w:r>
          </w:p>
        </w:tc>
      </w:tr>
      <w:tr>
        <w:trPr>
          <w:trHeight w:val="230"/>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1,272,562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519,458</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30,199,441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32,887,269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(2,687,828)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for the nine months ended September 30, 2023, were $30.2 million compared to $32.9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a decrease of $2.7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Kristalose revenue was $12.3 million during the first nine months of 2023, compared to $11.4 million for the prior year period. Revenue increased due to an overall increase in units shipped during 2023.</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Sancuso revenue was $5.7 million for the nine months ended September 30, 2023, compared to $10.8 million for the same period last year. The decline resulted primarily from deductions from sales including product returns and managed care rebates.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Vibativ revenue was $6.8 million for the nine months ended September 30, 2023, compared to $6.0 million for the same period last year. The increase in net revenue of the product was the result of successful implementation of a series of new initiatives in support of the brand as well as a decline in product returns.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Vaprisol revenue for the first nine months of 2023 as Cumberland is currently out of commercial inventory of the product. Net revenue was positively impacted by various sales adjustments.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Omeclamox-Pak had no sales for the nine months ended September 30, 2023, as Cumberland is currently out of commercial inventory of this product. The packager for our Omeclamox-Pak product encountered financial difficulties and currently is under new management and a reorganization.</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Acetadote revenue includes net sales of our Acetadote brand and our share of net sales from our Authorized Generic. There was a $0.1 million increase in the product's revenue for the nine months ended September 30, 2023, when compared to the prior year period as a result of a decrease in product returns in 2023.</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Caldolor revenue was $3.3 million for the first three quarters of 2023, a $0.2 million increase over 2022. Higher international revenue is driving the increase.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revenue was $1.8 million for the nine months ended September 30, 2023, representing a $0.5 million increase from the same period in 2022, as a result of two milestone payments recognized in 2023.</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Cost of products sold</w:t>
      </w:r>
      <w:r>
        <w:rPr>
          <w:rFonts w:ascii="Arial" w:cs="Arial" w:eastAsia="Arial" w:hAnsi="Arial"/>
          <w:sz w:val="18"/>
          <w:szCs w:val="18"/>
          <w:color w:val="auto"/>
        </w:rPr>
        <w:t>. Cost of products sold for the first nine months of 2023 were $4.5 million, a decrease of $1.9 million compared to the same period last</w:t>
      </w:r>
      <w:r>
        <w:rPr>
          <w:rFonts w:ascii="Arial" w:cs="Arial" w:eastAsia="Arial" w:hAnsi="Arial"/>
          <w:sz w:val="18"/>
          <w:szCs w:val="18"/>
          <w:i w:val="1"/>
          <w:iCs w:val="1"/>
          <w:color w:val="auto"/>
        </w:rPr>
        <w:t xml:space="preserve"> </w:t>
      </w:r>
      <w:r>
        <w:rPr>
          <w:rFonts w:ascii="Arial" w:cs="Arial" w:eastAsia="Arial" w:hAnsi="Arial"/>
          <w:sz w:val="18"/>
          <w:szCs w:val="18"/>
          <w:color w:val="auto"/>
        </w:rPr>
        <w:t>year due to the availability of new lower cost inventory and fewer inventory write downs.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nine months ended September 30, 2023, increased $0.4 million compared to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This increase is primarily attributable to the timing of the expenditures.</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costs were $4.6 million for the first nine months of 2023 compared to $5.3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last year. The primary reason for this decline is $0.7 million in reduced FDA fees. A portion of our research and development costs is variable as we continue to fund the ongoing clinical initiatives associated with our pipeline product candidates. These variable costs depend on the number of active trials, study sites and patients as well as the cost per patient in each of our clinical programs.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for the nine months ended September 30, 2023, increased to $7.2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$6.7 million during the nine months ended September 30, 2022. In 2023, we experienced an increase in deferred compensation, hiring expenses and the settlement of an administrative proceeding with the U.S. SEC.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Vibativ:</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Net revenue </w:t>
            </w:r>
            <w:r>
              <w:rPr>
                <w:rFonts w:ascii="Arial" w:cs="Arial" w:eastAsia="Arial" w:hAnsi="Arial"/>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7,785,592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6,158,005</w:t>
            </w:r>
          </w:p>
        </w:tc>
      </w:tr>
      <w:tr>
        <w:trPr>
          <w:trHeight w:val="230"/>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1,081,001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2,433,061</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1,738,568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484,057</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4,966,023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3,240,887</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2023 net revenue includes a $1,000,000 payment to Cumberland related to a settlement agreement of milestone payments.</w:t>
      </w:r>
    </w:p>
    <w:p>
      <w:pPr>
        <w:spacing w:after="0" w:line="87"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The Vibativ inventory included in the costs of product sold during the period was acquired and paid for by Cumberland as part of the acquisition of the brand during 2018.</w:t>
      </w:r>
    </w:p>
    <w:p>
      <w:pPr>
        <w:sectPr>
          <w:pgSz w:w="11900" w:h="16838" w:orient="portrait"/>
          <w:cols w:equalWidth="0" w:num="1">
            <w:col w:w="11240"/>
          </w:cols>
          <w:pgMar w:left="320" w:top="1421" w:right="339" w:bottom="1440" w:gutter="0" w:footer="0" w:header="0"/>
        </w:sect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Financial Impact of Vibativ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 xml:space="preserve">Net revenue </w:t>
      </w:r>
      <w:r>
        <w:rPr>
          <w:rFonts w:ascii="Arial" w:cs="Arial" w:eastAsia="Arial" w:hAnsi="Arial"/>
          <w:sz w:val="23"/>
          <w:szCs w:val="23"/>
          <w:color w:val="auto"/>
          <w:vertAlign w:val="superscript"/>
        </w:rPr>
        <w:t>(1)</w:t>
      </w:r>
    </w:p>
    <w:p>
      <w:pPr>
        <w:ind w:left="20"/>
        <w:spacing w:after="0" w:line="218" w:lineRule="auto"/>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Royalty and operating expenses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Vibativ contribution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409"/>
        <w:spacing w:after="0"/>
        <w:rPr>
          <w:sz w:val="20"/>
          <w:szCs w:val="20"/>
          <w:color w:val="auto"/>
        </w:rPr>
      </w:pPr>
      <w:r>
        <w:rPr>
          <w:rFonts w:ascii="Arial" w:cs="Arial" w:eastAsia="Arial" w:hAnsi="Arial"/>
          <w:sz w:val="18"/>
          <w:szCs w:val="18"/>
          <w:b w:val="1"/>
          <w:bCs w:val="1"/>
          <w:color w:val="auto"/>
        </w:rPr>
        <w:t>Since Acquisition</w:t>
      </w:r>
    </w:p>
    <w:p>
      <w:pPr>
        <w:spacing w:after="0" w:line="40" w:lineRule="exact"/>
        <w:rPr>
          <w:sz w:val="20"/>
          <w:szCs w:val="20"/>
          <w:color w:val="auto"/>
        </w:rPr>
      </w:pPr>
    </w:p>
    <w:p>
      <w:pPr>
        <w:ind w:left="1289" w:hanging="1289"/>
        <w:spacing w:after="0"/>
        <w:tabs>
          <w:tab w:leader="none" w:pos="1289" w:val="left"/>
        </w:tabs>
        <w:numPr>
          <w:ilvl w:val="0"/>
          <w:numId w:val="9"/>
        </w:numPr>
        <w:rPr>
          <w:rFonts w:ascii="Arial" w:cs="Arial" w:eastAsia="Arial" w:hAnsi="Arial"/>
          <w:sz w:val="15"/>
          <w:szCs w:val="15"/>
          <w:color w:val="auto"/>
        </w:rPr>
      </w:pPr>
      <w:r>
        <w:rPr>
          <w:rFonts w:ascii="Arial" w:cs="Arial" w:eastAsia="Arial" w:hAnsi="Arial"/>
          <w:sz w:val="15"/>
          <w:szCs w:val="15"/>
          <w:color w:val="auto"/>
        </w:rPr>
        <w:t>51,544,077</w:t>
      </w:r>
    </w:p>
    <w:p>
      <w:pPr>
        <w:spacing w:after="0" w:line="57" w:lineRule="exact"/>
        <w:rPr>
          <w:rFonts w:ascii="Arial" w:cs="Arial" w:eastAsia="Arial" w:hAnsi="Arial"/>
          <w:sz w:val="15"/>
          <w:szCs w:val="15"/>
          <w:color w:val="auto"/>
        </w:rPr>
      </w:pPr>
    </w:p>
    <w:p>
      <w:pPr>
        <w:ind w:left="1289"/>
        <w:spacing w:after="0"/>
        <w:rPr>
          <w:rFonts w:ascii="Arial" w:cs="Arial" w:eastAsia="Arial" w:hAnsi="Arial"/>
          <w:sz w:val="15"/>
          <w:szCs w:val="15"/>
          <w:color w:val="auto"/>
        </w:rPr>
      </w:pPr>
      <w:r>
        <w:rPr>
          <w:rFonts w:ascii="Arial" w:cs="Arial" w:eastAsia="Arial" w:hAnsi="Arial"/>
          <w:sz w:val="15"/>
          <w:szCs w:val="15"/>
          <w:color w:val="auto"/>
        </w:rPr>
        <w:t>16,806,108</w:t>
      </w:r>
    </w:p>
    <w:p>
      <w:pPr>
        <w:spacing w:after="0" w:line="57" w:lineRule="exact"/>
        <w:rPr>
          <w:rFonts w:ascii="Arial" w:cs="Arial" w:eastAsia="Arial" w:hAnsi="Arial"/>
          <w:sz w:val="15"/>
          <w:szCs w:val="15"/>
          <w:color w:val="auto"/>
        </w:rPr>
      </w:pPr>
    </w:p>
    <w:p>
      <w:pPr>
        <w:ind w:left="1369"/>
        <w:spacing w:after="0"/>
        <w:rPr>
          <w:rFonts w:ascii="Arial" w:cs="Arial" w:eastAsia="Arial" w:hAnsi="Arial"/>
          <w:sz w:val="15"/>
          <w:szCs w:val="15"/>
          <w:color w:val="auto"/>
        </w:rPr>
      </w:pPr>
      <w:r>
        <w:rPr>
          <w:rFonts w:ascii="Arial" w:cs="Arial" w:eastAsia="Arial" w:hAnsi="Arial"/>
          <w:sz w:val="16"/>
          <w:szCs w:val="16"/>
          <w:color w:val="auto"/>
        </w:rPr>
        <w:t>8,275,758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38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38" w:lineRule="exact"/>
        <w:rPr>
          <w:sz w:val="20"/>
          <w:szCs w:val="20"/>
          <w:color w:val="auto"/>
        </w:rPr>
      </w:pPr>
    </w:p>
    <w:p>
      <w:pPr>
        <w:ind w:left="1289" w:hanging="1289"/>
        <w:spacing w:after="0"/>
        <w:tabs>
          <w:tab w:leader="none" w:pos="1289" w:val="left"/>
        </w:tabs>
        <w:numPr>
          <w:ilvl w:val="0"/>
          <w:numId w:val="10"/>
        </w:numPr>
        <w:rPr>
          <w:rFonts w:ascii="Arial" w:cs="Arial" w:eastAsia="Arial" w:hAnsi="Arial"/>
          <w:sz w:val="15"/>
          <w:szCs w:val="15"/>
          <w:color w:val="auto"/>
        </w:rPr>
      </w:pPr>
      <w:r>
        <w:rPr>
          <w:rFonts w:ascii="Arial" w:cs="Arial" w:eastAsia="Arial" w:hAnsi="Arial"/>
          <w:sz w:val="15"/>
          <w:szCs w:val="15"/>
          <w:color w:val="auto"/>
        </w:rPr>
        <w:t>26,462,211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13887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874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62230</wp:posOffset>
            </wp:positionV>
            <wp:extent cx="138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351" w:space="720"/>
            <w:col w:w="2169"/>
          </w:cols>
          <w:pgMar w:left="320" w:top="1421" w:right="339" w:bottom="1440" w:gutter="0" w:footer="0" w:header="0"/>
          <w:type w:val="continuous"/>
        </w:sectPr>
      </w:pPr>
    </w:p>
    <w:p>
      <w:pPr>
        <w:spacing w:after="0" w:line="49"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Net revenue includes a $1,000,000 payment to Cumberland related to a settlement agreement of milestone payments.</w:t>
      </w:r>
    </w:p>
    <w:p>
      <w:pPr>
        <w:spacing w:after="0" w:line="59"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The Vibativ inventory included in the costs of product sold during the period was acquired and paid for by Cumberland as part of the acquisition of the brand during 2018.</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Sancuso:</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Sancuso</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5,736,981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11,106,411</w:t>
            </w:r>
          </w:p>
        </w:tc>
      </w:tr>
      <w:tr>
        <w:trPr>
          <w:trHeight w:val="230"/>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886,041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1,134,670</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2,183,209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3,135,140</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Sancuso contribution</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2,667,731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6,836,601</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Sancuso inventory included in the costs of product sold during the period was acquired and paid for by Cumberland as part of the acquisition of the brand during 2022.</w:t>
      </w:r>
    </w:p>
    <w:p>
      <w:pPr>
        <w:sectPr>
          <w:pgSz w:w="11900" w:h="16838" w:orient="portrait"/>
          <w:cols w:equalWidth="0" w:num="1">
            <w:col w:w="11240"/>
          </w:cols>
          <w:pgMar w:left="320" w:top="1421" w:right="339" w:bottom="1440" w:gutter="0" w:footer="0" w:header="0"/>
        </w:sect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Impact of Sancuso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Royalty and operating expenses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Sancuso contribution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409"/>
        <w:spacing w:after="0"/>
        <w:rPr>
          <w:sz w:val="20"/>
          <w:szCs w:val="20"/>
          <w:color w:val="auto"/>
        </w:rPr>
      </w:pPr>
      <w:r>
        <w:rPr>
          <w:rFonts w:ascii="Arial" w:cs="Arial" w:eastAsia="Arial" w:hAnsi="Arial"/>
          <w:sz w:val="18"/>
          <w:szCs w:val="18"/>
          <w:b w:val="1"/>
          <w:bCs w:val="1"/>
          <w:color w:val="auto"/>
        </w:rPr>
        <w:t>Since Acquisition</w:t>
      </w:r>
    </w:p>
    <w:p>
      <w:pPr>
        <w:spacing w:after="0" w:line="40" w:lineRule="exact"/>
        <w:rPr>
          <w:sz w:val="20"/>
          <w:szCs w:val="20"/>
          <w:color w:val="auto"/>
        </w:rPr>
      </w:pPr>
    </w:p>
    <w:p>
      <w:pPr>
        <w:ind w:left="1289" w:hanging="1289"/>
        <w:spacing w:after="0"/>
        <w:tabs>
          <w:tab w:leader="none" w:pos="1289" w:val="left"/>
        </w:tabs>
        <w:numPr>
          <w:ilvl w:val="0"/>
          <w:numId w:val="13"/>
        </w:numPr>
        <w:rPr>
          <w:rFonts w:ascii="Arial" w:cs="Arial" w:eastAsia="Arial" w:hAnsi="Arial"/>
          <w:sz w:val="15"/>
          <w:szCs w:val="15"/>
          <w:color w:val="auto"/>
        </w:rPr>
      </w:pPr>
      <w:r>
        <w:rPr>
          <w:rFonts w:ascii="Arial" w:cs="Arial" w:eastAsia="Arial" w:hAnsi="Arial"/>
          <w:sz w:val="15"/>
          <w:szCs w:val="15"/>
          <w:color w:val="auto"/>
        </w:rPr>
        <w:t>19,292,584</w:t>
      </w:r>
    </w:p>
    <w:p>
      <w:pPr>
        <w:spacing w:after="0" w:line="57" w:lineRule="exact"/>
        <w:rPr>
          <w:rFonts w:ascii="Arial" w:cs="Arial" w:eastAsia="Arial" w:hAnsi="Arial"/>
          <w:sz w:val="15"/>
          <w:szCs w:val="15"/>
          <w:color w:val="auto"/>
        </w:rPr>
      </w:pPr>
    </w:p>
    <w:p>
      <w:pPr>
        <w:ind w:left="1369"/>
        <w:spacing w:after="0"/>
        <w:rPr>
          <w:rFonts w:ascii="Arial" w:cs="Arial" w:eastAsia="Arial" w:hAnsi="Arial"/>
          <w:sz w:val="15"/>
          <w:szCs w:val="15"/>
          <w:color w:val="auto"/>
        </w:rPr>
      </w:pPr>
      <w:r>
        <w:rPr>
          <w:rFonts w:ascii="Arial" w:cs="Arial" w:eastAsia="Arial" w:hAnsi="Arial"/>
          <w:sz w:val="16"/>
          <w:szCs w:val="16"/>
          <w:color w:val="auto"/>
        </w:rPr>
        <w:t>2,429,641</w:t>
      </w:r>
    </w:p>
    <w:p>
      <w:pPr>
        <w:spacing w:after="0" w:line="45" w:lineRule="exact"/>
        <w:rPr>
          <w:rFonts w:ascii="Arial" w:cs="Arial" w:eastAsia="Arial" w:hAnsi="Arial"/>
          <w:sz w:val="15"/>
          <w:szCs w:val="15"/>
          <w:color w:val="auto"/>
        </w:rPr>
      </w:pPr>
    </w:p>
    <w:p>
      <w:pPr>
        <w:ind w:left="1369"/>
        <w:spacing w:after="0"/>
        <w:rPr>
          <w:rFonts w:ascii="Arial" w:cs="Arial" w:eastAsia="Arial" w:hAnsi="Arial"/>
          <w:sz w:val="15"/>
          <w:szCs w:val="15"/>
          <w:color w:val="auto"/>
        </w:rPr>
      </w:pPr>
      <w:r>
        <w:rPr>
          <w:rFonts w:ascii="Arial" w:cs="Arial" w:eastAsia="Arial" w:hAnsi="Arial"/>
          <w:sz w:val="16"/>
          <w:szCs w:val="16"/>
          <w:color w:val="auto"/>
        </w:rPr>
        <w:t>6,385,235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3887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38" w:lineRule="exact"/>
        <w:rPr>
          <w:sz w:val="20"/>
          <w:szCs w:val="20"/>
          <w:color w:val="auto"/>
        </w:rPr>
      </w:pPr>
    </w:p>
    <w:p>
      <w:pPr>
        <w:ind w:left="1289" w:hanging="1289"/>
        <w:spacing w:after="0"/>
        <w:tabs>
          <w:tab w:leader="none" w:pos="1289" w:val="left"/>
        </w:tabs>
        <w:numPr>
          <w:ilvl w:val="0"/>
          <w:numId w:val="14"/>
        </w:numPr>
        <w:rPr>
          <w:rFonts w:ascii="Arial" w:cs="Arial" w:eastAsia="Arial" w:hAnsi="Arial"/>
          <w:sz w:val="15"/>
          <w:szCs w:val="15"/>
          <w:color w:val="auto"/>
        </w:rPr>
      </w:pPr>
      <w:r>
        <w:rPr>
          <w:rFonts w:ascii="Arial" w:cs="Arial" w:eastAsia="Arial" w:hAnsi="Arial"/>
          <w:sz w:val="15"/>
          <w:szCs w:val="15"/>
          <w:color w:val="auto"/>
        </w:rPr>
        <w:t>10,477,708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13887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62230</wp:posOffset>
            </wp:positionV>
            <wp:extent cx="13887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351" w:space="720"/>
            <w:col w:w="2169"/>
          </w:cols>
          <w:pgMar w:left="320" w:top="1421" w:right="339" w:bottom="1440" w:gutter="0" w:footer="0" w:header="0"/>
          <w:type w:val="continuous"/>
        </w:sectPr>
      </w:pPr>
    </w:p>
    <w:p>
      <w:pPr>
        <w:spacing w:after="0" w:line="76"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Sancuso inventory included in the costs of product sold during the period was acquired and paid for by Cumberland as part of the acquisition of the brand during 2022.</w:t>
      </w:r>
    </w:p>
    <w:p>
      <w:pPr>
        <w:spacing w:after="0" w:line="10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Amortization. </w:t>
      </w:r>
      <w:r>
        <w:rPr>
          <w:rFonts w:ascii="Arial" w:cs="Arial" w:eastAsia="Arial" w:hAnsi="Arial"/>
          <w:sz w:val="16"/>
          <w:szCs w:val="16"/>
          <w:color w:val="auto"/>
        </w:rPr>
        <w:t>Amortization expense is the ratable use of our capitalized intangible assets including product and license rights, patents, trademarks and</w:t>
      </w:r>
      <w:r>
        <w:rPr>
          <w:rFonts w:ascii="Arial" w:cs="Arial" w:eastAsia="Arial" w:hAnsi="Arial"/>
          <w:sz w:val="16"/>
          <w:szCs w:val="16"/>
          <w:i w:val="1"/>
          <w:iCs w:val="1"/>
          <w:color w:val="auto"/>
        </w:rPr>
        <w:t xml:space="preserve"> </w:t>
      </w:r>
      <w:r>
        <w:rPr>
          <w:rFonts w:ascii="Arial" w:cs="Arial" w:eastAsia="Arial" w:hAnsi="Arial"/>
          <w:sz w:val="16"/>
          <w:szCs w:val="16"/>
          <w:color w:val="auto"/>
        </w:rPr>
        <w:t>patent defense costs. Amortization for the nine months ended September 30, 2023, and nine months ended September 30, 2022, totaled approximately $3.6 million and $4.6 million, respectively. The decrease was attributable to the valuation of the Sancuso acquisition completed in December 2022.</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for the nine months ended September 30, 2023, was $0.02 million, similar to the income tax expense recognized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2022.</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In 2023, we recognized a $2.8 million refund of FDA fees for the periods of 2022 and 2023 to further the development of our new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We recognized a gain of $0.5 million in the third quarter of 2023 associated with a manufacturing dispute settlement as well as expected proceeds of $0.3 million for a payout associated with a company owned insurance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9" w:name="page30"/>
    <w:bookmarkEnd w:id="29"/>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liquidity and working capital as of September 30, 2023 and December 31,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2022</w:t>
            </w:r>
          </w:p>
        </w:tc>
      </w:tr>
      <w:tr>
        <w:trPr>
          <w:trHeight w:val="102"/>
        </w:trPr>
        <w:tc>
          <w:tcPr>
            <w:tcW w:w="66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9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18,507,965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19,757,970</w:t>
            </w:r>
          </w:p>
        </w:tc>
      </w:tr>
      <w:tr>
        <w:trPr>
          <w:trHeight w:val="209"/>
        </w:trPr>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(current assets less current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14,441,527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17,290,378</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Current ratio (multiple of current assets to current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62"/>
        </w:trPr>
        <w:tc>
          <w:tcPr>
            <w:tcW w:w="6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Revolving line of credit availability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7,076,875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3,800,000</w:t>
            </w:r>
          </w:p>
        </w:tc>
      </w:tr>
      <w:tr>
        <w:trPr>
          <w:trHeight w:val="21"/>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net changes in cash and cash equivalents for the nine months ended September 30, 2023 and September 30, 2022: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4520" w:type="dxa"/>
            <w:vAlign w:val="bottom"/>
            <w:tcBorders>
              <w:bottom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6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5,053,700</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4,815,365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(13,033,684)</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(5,937,371)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719,041</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(1,250,005)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(7,499,278)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$1.3 million decrease in cash and cash equivalents for the nine months ended September 30, 2023, was primarily attributable to cash used in investing and financing activities partially offset by cash provided by operating activities.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totaled $5.1 million for the nine months ended September 30, 2023, primarily the result of the add backs of non-cash expenses including depreciation, amortization and share-based compensation expense totaling $4.0 million. It also resulted from a decrease of accounts receivable of $0.9 million, a decrease in inventory of $0.4 million and an increase of net accounts payable and other current liabilities of $1.9 million. It was partially offset by a decrease in non-cash contingent consideration of $1.0 million, an increase in other assets of $0.4 million and a decrease of $0.3 million in other long-term liabilities.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of $0.4 million for the nine months ended September 30, 2023, was the result of additions to property and equipment and intangibles.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Financing activities use of cash totaled $5.9 million for the nine months ended September 30, 2023, and included the repayments on our line of credit of $3.3 million, the $0.6 million in cash used to repurchase shares of our common stock and the $2.1 million used for the payment of a Sancuso milestone, plus royalties on sales of Vibativ and Sancuso.</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$7.5 million decrease in cash and cash equivalents for the nine months ending September 30, 2022, was primarily attributable to cash used in investing and partially offset by cash provided by operating and financing activities.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provided by operating activities totaled $4.8 million for the nine months ending September 30, 2022, primarily the result of the add back of non-cash expenses of depreciation, amortization and share-based compensation expense totaling $5.1 million. It also resulted from decreases in inventory of $1.3 million, decrease in other assets of $4.4 million and increases in accounts payable and other liabilities of $8.8 million. This was partially offset by accounts receivable increasing by $8.2 million, mainly from the addition of Sancuso sales, and the decrease in long-term liabilities of $2.5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for the nine months ending September 30, 2022, was the result of the acquisition of Sancuso.</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financing activities for the nine months ending September 30, 2022, included the increase in our line of credit of $2.7 million partially offset by the $0.9 million in cash used to repurchase shares of our common stock as well as the $1.1 million used for the payment of royalties for sales of Vibativ and Sancuso.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Agreement</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5, 2023, the Company entered into a new Revolving Credit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and 2022, we did not engage in any off-balance 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September 30, 2023.</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risk related to borrowings under our line of credit was based on Term SOFR plus an interest rate spread. The pricing under the Pinnacle Agreement provides for an interest rate spread of 1.75% to 2.75% above Term SOFR with a minimum Term SOFR of 0.90%. The applicable interest rate under the Pinnacle Agreement was 8.25% at September 30, 2023. As of September 30, 2023, we had $12.9 million in borrowings outstanding under our revolving credit facility.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nine months ended September 30, 2023 and 2022. Neither a five percent increase nor decrease from current exchange rates would have a material effect on our operating results or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September 30, 2023, there has not been any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Please see discussion of </w:t>
      </w:r>
      <w:r>
        <w:rPr>
          <w:rFonts w:ascii="Arial" w:cs="Arial" w:eastAsia="Arial" w:hAnsi="Arial"/>
          <w:sz w:val="18"/>
          <w:szCs w:val="18"/>
          <w:i w:val="1"/>
          <w:iCs w:val="1"/>
          <w:color w:val="auto"/>
        </w:rPr>
        <w:t>SEC Settlement</w:t>
      </w:r>
      <w:r>
        <w:rPr>
          <w:rFonts w:ascii="Arial" w:cs="Arial" w:eastAsia="Arial" w:hAnsi="Arial"/>
          <w:sz w:val="18"/>
          <w:szCs w:val="18"/>
          <w:color w:val="auto"/>
        </w:rPr>
        <w:t xml:space="preserve"> in Part I, Item. 2. Management's Discussion and Analysis of Financial Condition and Results of Operations, which is incorporated herein by reference.</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the information required by this item is incorporated by reference from Part I, Item 1. Financial Statements, Notes to Unaudited Condensed Consolidated Financial Statements, Note 10.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other information set forth in this quarterly report, an investor should consider the risk factors included in the Company's Annual Report on Form 10-K for the year ended December 31,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subject to the effects of a rising rate of inflation.</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Inflation rates have increased recently to levels not seen in decades. If our costs, in particular costs related to clinical trial expenses and/or employee-related expenses, were to become subject to significant inflationary pressures, it may adversely impact our business, operating results and financial condition. In addition, the United States Federal Reserve has raised, and is expected to continue to raise, interest rates in response to concerns about inflation. Increases in interest rates, especially if coupled with reduced government spending and volatility in financial markets, may further increase economic uncertainty and heighten these risks.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COVID-19, the ongoing conflicts in Eastern Europe and the Middle East, and employee availability and wage increases.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by month, during the three months ended September 30, 2023:</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jc w:val="center"/>
              <w:ind w:right="163"/>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39"/>
        </w:trPr>
        <w:tc>
          <w:tcPr>
            <w:tcW w:w="42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ind w:right="163"/>
              <w:spacing w:after="0" w:line="13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2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Total Number of</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3"/>
                <w:szCs w:val="13"/>
                <w:color w:val="auto"/>
              </w:rPr>
            </w:pPr>
          </w:p>
        </w:tc>
        <w:tc>
          <w:tcPr>
            <w:tcW w:w="1940" w:type="dxa"/>
            <w:vAlign w:val="bottom"/>
          </w:tcPr>
          <w:p>
            <w:pPr>
              <w:jc w:val="center"/>
              <w:ind w:right="163"/>
              <w:spacing w:after="0" w:line="158"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or Units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tcPr>
          <w:p>
            <w:pPr>
              <w:jc w:val="center"/>
              <w:ind w:right="143"/>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which were also Part</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40" w:type="dxa"/>
            <w:vAlign w:val="bottom"/>
          </w:tcPr>
          <w:p>
            <w:pPr>
              <w:spacing w:after="0"/>
              <w:rPr>
                <w:sz w:val="12"/>
                <w:szCs w:val="12"/>
                <w:color w:val="auto"/>
              </w:rPr>
            </w:pPr>
          </w:p>
        </w:tc>
        <w:tc>
          <w:tcPr>
            <w:tcW w:w="19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Period</w:t>
            </w: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the Publicly Announced Plans</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per Share</w:t>
            </w:r>
          </w:p>
        </w:tc>
        <w:tc>
          <w:tcPr>
            <w:tcW w:w="240" w:type="dxa"/>
            <w:vAlign w:val="bottom"/>
          </w:tcPr>
          <w:p>
            <w:pPr>
              <w:spacing w:after="0"/>
              <w:rPr>
                <w:sz w:val="12"/>
                <w:szCs w:val="12"/>
                <w:color w:val="auto"/>
              </w:rPr>
            </w:pPr>
          </w:p>
        </w:tc>
        <w:tc>
          <w:tcPr>
            <w:tcW w:w="19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202"/>
        </w:trPr>
        <w:tc>
          <w:tcPr>
            <w:tcW w:w="4280" w:type="dxa"/>
            <w:vAlign w:val="bottom"/>
            <w:vMerge w:val="continue"/>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(or Unit)</w:t>
            </w:r>
          </w:p>
        </w:tc>
        <w:tc>
          <w:tcPr>
            <w:tcW w:w="240" w:type="dxa"/>
            <w:vAlign w:val="bottom"/>
          </w:tcPr>
          <w:p>
            <w:pPr>
              <w:spacing w:after="0"/>
              <w:rPr>
                <w:sz w:val="17"/>
                <w:szCs w:val="17"/>
                <w:color w:val="auto"/>
              </w:rPr>
            </w:pPr>
          </w:p>
        </w:tc>
        <w:tc>
          <w:tcPr>
            <w:tcW w:w="1940" w:type="dxa"/>
            <w:vAlign w:val="bottom"/>
          </w:tcPr>
          <w:p>
            <w:pPr>
              <w:jc w:val="center"/>
              <w:ind w:right="163"/>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29,132</w:t>
            </w:r>
          </w:p>
        </w:tc>
        <w:tc>
          <w:tcPr>
            <w:tcW w:w="4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3,348,711</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August</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53,518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3,258,885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w:t>
            </w:r>
          </w:p>
        </w:tc>
        <w:tc>
          <w:tcPr>
            <w:tcW w:w="2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33,914</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3,192,982</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116,564</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324"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185" w:lineRule="exact"/>
        <w:rPr>
          <w:sz w:val="20"/>
          <w:szCs w:val="20"/>
          <w:color w:val="auto"/>
        </w:rPr>
      </w:pPr>
    </w:p>
    <w:p>
      <w:pPr>
        <w:jc w:val="right"/>
        <w:ind w:left="20" w:right="1479"/>
        <w:spacing w:after="0" w:line="220"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51">
        <w:r>
          <w:rPr>
            <w:rFonts w:ascii="Arial" w:cs="Arial" w:eastAsia="Arial" w:hAnsi="Arial"/>
            <w:sz w:val="18"/>
            <w:szCs w:val="18"/>
            <w:u w:val="single" w:color="auto"/>
            <w:color w:val="0000FF"/>
          </w:rPr>
          <w:t>Revolving Credit Loan Agreement, dated as of September 5, 2023, by and between Cumberland</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FF"/>
          </w:rPr>
          <w:t>Pharmaceuticals Inc. and Pinnacle Bank, incorporated herein by reference to Exhibit 10.1 of the</w:t>
        </w:r>
      </w:hyperlink>
    </w:p>
    <w:p>
      <w:pPr>
        <w:spacing w:after="0" w:line="1" w:lineRule="exact"/>
        <w:rPr>
          <w:sz w:val="20"/>
          <w:szCs w:val="20"/>
          <w:color w:val="auto"/>
        </w:rPr>
      </w:pPr>
    </w:p>
    <w:p>
      <w:pPr>
        <w:ind w:left="1240"/>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Company’s Form 8-K (File No.: 001-33637) as filed with the SEC on September 6, 2023.</w:t>
        </w:r>
      </w:hyperlink>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7460" w:type="dxa"/>
            <w:vAlign w:val="bottom"/>
            <w:gridSpan w:val="7"/>
          </w:tcPr>
          <w:p>
            <w:pPr>
              <w:spacing w:after="0"/>
              <w:rPr>
                <w:sz w:val="20"/>
                <w:szCs w:val="20"/>
                <w:color w:val="auto"/>
              </w:rPr>
            </w:pPr>
            <w:r>
              <w:rPr>
                <w:rFonts w:ascii="Arial" w:cs="Arial" w:eastAsia="Arial" w:hAnsi="Arial"/>
                <w:sz w:val="18"/>
                <w:szCs w:val="18"/>
                <w:color w:val="0000FF"/>
                <w:w w:val="94"/>
              </w:rPr>
              <w:t>Certification of Chief Executive Officer Pursuant to Rule 13-14(a) of the Securities Exchange Act of</w:t>
            </w:r>
          </w:p>
        </w:tc>
      </w:tr>
      <w:tr>
        <w:trPr>
          <w:trHeight w:val="155"/>
        </w:trPr>
        <w:tc>
          <w:tcPr>
            <w:tcW w:w="122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1934 as Adopted Pursuant to Section 302 of the Sarbanes-Oxley Act of 2002.</w:t>
            </w:r>
          </w:p>
        </w:tc>
        <w:tc>
          <w:tcPr>
            <w:tcW w:w="18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7460" w:type="dxa"/>
            <w:vAlign w:val="bottom"/>
            <w:gridSpan w:val="7"/>
          </w:tcPr>
          <w:p>
            <w:pPr>
              <w:spacing w:after="0"/>
              <w:rPr>
                <w:sz w:val="20"/>
                <w:szCs w:val="20"/>
                <w:color w:val="auto"/>
              </w:rPr>
            </w:pPr>
            <w:r>
              <w:rPr>
                <w:rFonts w:ascii="Arial" w:cs="Arial" w:eastAsia="Arial" w:hAnsi="Arial"/>
                <w:sz w:val="18"/>
                <w:szCs w:val="18"/>
                <w:color w:val="0000FF"/>
                <w:w w:val="95"/>
              </w:rPr>
              <w:t>Certification of Chief Financial Officer Pursuant to Rule 13-14(a) of the Securities Exchange Act of</w:t>
            </w:r>
          </w:p>
        </w:tc>
      </w:tr>
      <w:tr>
        <w:trPr>
          <w:trHeight w:val="156"/>
        </w:trPr>
        <w:tc>
          <w:tcPr>
            <w:tcW w:w="1220" w:type="dxa"/>
            <w:vAlign w:val="bottom"/>
          </w:tcPr>
          <w:p>
            <w:pPr>
              <w:spacing w:after="0"/>
              <w:rPr>
                <w:sz w:val="13"/>
                <w:szCs w:val="13"/>
                <w:color w:val="auto"/>
              </w:rPr>
            </w:pPr>
          </w:p>
        </w:tc>
        <w:tc>
          <w:tcPr>
            <w:tcW w:w="740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7460" w:type="dxa"/>
            <w:vAlign w:val="bottom"/>
            <w:gridSpan w:val="7"/>
          </w:tcPr>
          <w:p>
            <w:pPr>
              <w:spacing w:after="0"/>
              <w:rPr>
                <w:sz w:val="20"/>
                <w:szCs w:val="20"/>
                <w:color w:val="auto"/>
              </w:rPr>
            </w:pPr>
            <w:r>
              <w:rPr>
                <w:rFonts w:ascii="Arial" w:cs="Arial" w:eastAsia="Arial" w:hAnsi="Arial"/>
                <w:sz w:val="18"/>
                <w:szCs w:val="18"/>
                <w:color w:val="0000FF"/>
                <w:w w:val="94"/>
              </w:rPr>
              <w:t>Certification of Chief Executive and Principal Financial Officer Pursuant to 18 U.S.C. Section 1350,</w:t>
            </w:r>
          </w:p>
        </w:tc>
      </w:tr>
      <w:tr>
        <w:trPr>
          <w:trHeight w:val="156"/>
        </w:trPr>
        <w:tc>
          <w:tcPr>
            <w:tcW w:w="1220" w:type="dxa"/>
            <w:vAlign w:val="bottom"/>
          </w:tcPr>
          <w:p>
            <w:pPr>
              <w:spacing w:after="0"/>
              <w:rPr>
                <w:sz w:val="13"/>
                <w:szCs w:val="13"/>
                <w:color w:val="auto"/>
              </w:rPr>
            </w:pPr>
          </w:p>
        </w:tc>
        <w:tc>
          <w:tcPr>
            <w:tcW w:w="51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9"/>
              </w:rPr>
              <w:t>as Adopted Pursuant to Section 906 of the Sarbanes-Oxley Act of 2002.</w:t>
            </w:r>
          </w:p>
        </w:tc>
        <w:tc>
          <w:tcPr>
            <w:tcW w:w="224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7460" w:type="dxa"/>
            <w:vAlign w:val="bottom"/>
            <w:gridSpan w:val="7"/>
          </w:tcPr>
          <w:p>
            <w:pPr>
              <w:spacing w:after="0"/>
              <w:rPr>
                <w:sz w:val="20"/>
                <w:szCs w:val="20"/>
                <w:color w:val="auto"/>
              </w:rPr>
            </w:pPr>
            <w:r>
              <w:rPr>
                <w:rFonts w:ascii="Arial" w:cs="Arial" w:eastAsia="Arial" w:hAnsi="Arial"/>
                <w:sz w:val="18"/>
                <w:szCs w:val="18"/>
                <w:color w:val="auto"/>
                <w:w w:val="99"/>
              </w:rPr>
              <w:t>INLINE XBRL INSTANCE DOCUMENT - THE INSTANCE DOCUMENT DOES NOT APPEAR</w:t>
            </w:r>
          </w:p>
        </w:tc>
      </w:tr>
      <w:tr>
        <w:trPr>
          <w:trHeight w:val="188"/>
        </w:trPr>
        <w:tc>
          <w:tcPr>
            <w:tcW w:w="1220" w:type="dxa"/>
            <w:vAlign w:val="bottom"/>
          </w:tcPr>
          <w:p>
            <w:pPr>
              <w:spacing w:after="0"/>
              <w:rPr>
                <w:sz w:val="16"/>
                <w:szCs w:val="16"/>
                <w:color w:val="auto"/>
              </w:rPr>
            </w:pPr>
          </w:p>
        </w:tc>
        <w:tc>
          <w:tcPr>
            <w:tcW w:w="7460" w:type="dxa"/>
            <w:vAlign w:val="bottom"/>
            <w:gridSpan w:val="7"/>
          </w:tcPr>
          <w:p>
            <w:pPr>
              <w:spacing w:after="0" w:line="189" w:lineRule="exact"/>
              <w:rPr>
                <w:sz w:val="20"/>
                <w:szCs w:val="20"/>
                <w:color w:val="auto"/>
              </w:rPr>
            </w:pPr>
            <w:r>
              <w:rPr>
                <w:rFonts w:ascii="Arial" w:cs="Arial" w:eastAsia="Arial" w:hAnsi="Arial"/>
                <w:sz w:val="18"/>
                <w:szCs w:val="18"/>
                <w:color w:val="auto"/>
              </w:rPr>
              <w:t>IN THE INTERACTIVE DATA FILE BECAUSE ITS XBRL TAGS ARE EMBEDDED WITHIN</w:t>
            </w:r>
          </w:p>
        </w:tc>
      </w:tr>
      <w:tr>
        <w:trPr>
          <w:trHeight w:val="230"/>
        </w:trPr>
        <w:tc>
          <w:tcPr>
            <w:tcW w:w="1220" w:type="dxa"/>
            <w:vAlign w:val="bottom"/>
          </w:tcPr>
          <w:p>
            <w:pPr>
              <w:spacing w:after="0"/>
              <w:rPr>
                <w:sz w:val="20"/>
                <w:szCs w:val="20"/>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THE INLINE XBRL DOCUMENT.</w:t>
            </w: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74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74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74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1"/>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74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74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53"/>
        </w:trPr>
        <w:tc>
          <w:tcPr>
            <w:tcW w:w="1220" w:type="dxa"/>
            <w:vAlign w:val="bottom"/>
          </w:tcPr>
          <w:p>
            <w:pPr>
              <w:spacing w:after="0"/>
              <w:rPr>
                <w:sz w:val="24"/>
                <w:szCs w:val="24"/>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w:t>
            </w:r>
          </w:p>
        </w:tc>
      </w:tr>
    </w:tbl>
    <w:p>
      <w:pPr>
        <w:ind w:left="900" w:right="6479" w:hanging="874"/>
        <w:spacing w:after="0" w:line="398" w:lineRule="auto"/>
        <w:tabs>
          <w:tab w:leader="none" w:pos="12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CONTAINED IN EXHIBIT 101) * Filed herewith.</w:t>
      </w:r>
    </w:p>
    <w:p>
      <w:pPr>
        <w:ind w:left="1240" w:hanging="350"/>
        <w:spacing w:after="0"/>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63" w:right="1440"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6640" w:type="dxa"/>
            <w:vAlign w:val="bottom"/>
            <w:gridSpan w:val="2"/>
          </w:tcPr>
          <w:p>
            <w:pPr>
              <w:ind w:left="190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3760" w:type="dxa"/>
            <w:vAlign w:val="bottom"/>
          </w:tcPr>
          <w:p>
            <w:pPr>
              <w:spacing w:after="0"/>
              <w:rPr>
                <w:sz w:val="20"/>
                <w:szCs w:val="20"/>
                <w:color w:val="auto"/>
              </w:rPr>
            </w:pPr>
            <w:r>
              <w:rPr>
                <w:rFonts w:ascii="Arial" w:cs="Arial" w:eastAsia="Arial" w:hAnsi="Arial"/>
                <w:sz w:val="18"/>
                <w:szCs w:val="18"/>
                <w:color w:val="auto"/>
              </w:rPr>
              <w:t>Date: November 13, 2023</w:t>
            </w:r>
          </w:p>
        </w:tc>
        <w:tc>
          <w:tcPr>
            <w:tcW w:w="2360" w:type="dxa"/>
            <w:vAlign w:val="bottom"/>
          </w:tcPr>
          <w:p>
            <w:pPr>
              <w:ind w:left="19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John Hamm</w:t>
            </w:r>
          </w:p>
        </w:tc>
      </w:tr>
      <w:tr>
        <w:trPr>
          <w:trHeight w:val="222"/>
        </w:trPr>
        <w:tc>
          <w:tcPr>
            <w:tcW w:w="37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280" w:type="dxa"/>
            <w:vAlign w:val="bottom"/>
          </w:tcPr>
          <w:p>
            <w:pPr>
              <w:ind w:left="300"/>
              <w:spacing w:after="0"/>
              <w:rPr>
                <w:sz w:val="20"/>
                <w:szCs w:val="20"/>
                <w:color w:val="auto"/>
              </w:rPr>
            </w:pPr>
            <w:r>
              <w:rPr>
                <w:rFonts w:ascii="Arial" w:cs="Arial" w:eastAsia="Arial" w:hAnsi="Arial"/>
                <w:sz w:val="18"/>
                <w:szCs w:val="18"/>
                <w:color w:val="auto"/>
              </w:rPr>
              <w:t>John Hamm</w:t>
            </w:r>
          </w:p>
        </w:tc>
      </w:tr>
      <w:tr>
        <w:trPr>
          <w:trHeight w:val="230"/>
        </w:trPr>
        <w:tc>
          <w:tcPr>
            <w:tcW w:w="3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80" w:type="dxa"/>
            <w:vAlign w:val="bottom"/>
          </w:tcPr>
          <w:p>
            <w:pPr>
              <w:ind w:left="300"/>
              <w:spacing w:after="0"/>
              <w:rPr>
                <w:sz w:val="20"/>
                <w:szCs w:val="20"/>
                <w:color w:val="auto"/>
              </w:rPr>
            </w:pPr>
            <w:r>
              <w:rPr>
                <w:rFonts w:ascii="Arial" w:cs="Arial" w:eastAsia="Arial" w:hAnsi="Arial"/>
                <w:sz w:val="18"/>
                <w:szCs w:val="18"/>
                <w:color w:val="auto"/>
                <w:w w:val="98"/>
              </w:rPr>
              <w:t>Chief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255"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A.J. Kazimi, certify that:</w:t>
      </w:r>
    </w:p>
    <w:p>
      <w:pPr>
        <w:spacing w:after="0" w:line="50" w:lineRule="exact"/>
        <w:rPr>
          <w:sz w:val="20"/>
          <w:szCs w:val="20"/>
          <w:color w:val="auto"/>
        </w:rPr>
      </w:pPr>
    </w:p>
    <w:p>
      <w:pPr>
        <w:ind w:left="680" w:hanging="654"/>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144"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80" w:right="60" w:hanging="654"/>
        <w:spacing w:after="0" w:line="274" w:lineRule="auto"/>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680" w:right="100" w:hanging="654"/>
        <w:spacing w:after="0" w:line="229"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540" w:right="500" w:hanging="316"/>
        <w:spacing w:after="0" w:line="255" w:lineRule="auto"/>
        <w:tabs>
          <w:tab w:leader="none" w:pos="5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3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540" w:right="400" w:hanging="316"/>
        <w:spacing w:after="0" w:line="258" w:lineRule="auto"/>
        <w:tabs>
          <w:tab w:leader="none" w:pos="5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540"/>
        <w:spacing w:after="0"/>
        <w:tabs>
          <w:tab w:leader="none" w:pos="6800" w:val="left"/>
        </w:tabs>
        <w:rPr>
          <w:sz w:val="20"/>
          <w:szCs w:val="20"/>
          <w:color w:val="auto"/>
        </w:rPr>
      </w:pPr>
      <w:r>
        <w:rPr>
          <w:rFonts w:ascii="Arial" w:cs="Arial" w:eastAsia="Arial" w:hAnsi="Arial"/>
          <w:sz w:val="18"/>
          <w:szCs w:val="18"/>
          <w:color w:val="auto"/>
        </w:rPr>
        <w:t>November 13, 2023 By:</w:t>
      </w:r>
      <w:r>
        <w:rPr>
          <w:sz w:val="20"/>
          <w:szCs w:val="20"/>
          <w:color w:val="auto"/>
        </w:rPr>
        <w:tab/>
      </w:r>
      <w:r>
        <w:rPr>
          <w:rFonts w:ascii="Arial" w:cs="Arial" w:eastAsia="Arial" w:hAnsi="Arial"/>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857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3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Hamm, certify that:</w:t>
      </w:r>
    </w:p>
    <w:p>
      <w:pPr>
        <w:spacing w:after="0" w:line="50" w:lineRule="exact"/>
        <w:rPr>
          <w:sz w:val="20"/>
          <w:szCs w:val="20"/>
          <w:color w:val="auto"/>
        </w:rPr>
      </w:pPr>
    </w:p>
    <w:p>
      <w:pPr>
        <w:ind w:left="680" w:hanging="654"/>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144"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80" w:right="60" w:hanging="654"/>
        <w:spacing w:after="0" w:line="274" w:lineRule="auto"/>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680" w:right="100" w:hanging="654"/>
        <w:spacing w:after="0" w:line="229"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540" w:right="500" w:hanging="316"/>
        <w:spacing w:after="0" w:line="255" w:lineRule="auto"/>
        <w:tabs>
          <w:tab w:leader="none" w:pos="5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3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540" w:right="400" w:hanging="316"/>
        <w:spacing w:after="0" w:line="258" w:lineRule="auto"/>
        <w:tabs>
          <w:tab w:leader="none" w:pos="5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600"/>
        <w:spacing w:after="0"/>
        <w:tabs>
          <w:tab w:leader="none" w:pos="6800" w:val="left"/>
        </w:tabs>
        <w:rPr>
          <w:sz w:val="20"/>
          <w:szCs w:val="20"/>
          <w:color w:val="auto"/>
        </w:rPr>
      </w:pPr>
      <w:r>
        <w:rPr>
          <w:rFonts w:ascii="Arial" w:cs="Arial" w:eastAsia="Arial" w:hAnsi="Arial"/>
          <w:sz w:val="18"/>
          <w:szCs w:val="18"/>
          <w:color w:val="auto"/>
        </w:rPr>
        <w:t>November 13, 2023 By:</w:t>
      </w:r>
      <w:r>
        <w:rPr>
          <w:sz w:val="20"/>
          <w:szCs w:val="20"/>
          <w:color w:val="auto"/>
        </w:rPr>
        <w:tab/>
      </w:r>
      <w:r>
        <w:rPr>
          <w:rFonts w:ascii="Arial" w:cs="Arial" w:eastAsia="Arial" w:hAnsi="Arial"/>
          <w:sz w:val="16"/>
          <w:szCs w:val="16"/>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857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John Hamm</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3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In connection with the Quarterly Report on Form 10-Q for the fiscal quarter ended September 30, 2023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p>
      <w:pPr>
        <w:spacing w:after="0" w:line="1" w:lineRule="exact"/>
        <w:rPr>
          <w:sz w:val="20"/>
          <w:szCs w:val="20"/>
          <w:color w:val="auto"/>
        </w:rPr>
      </w:pPr>
    </w:p>
    <w:p>
      <w:pPr>
        <w:ind w:left="680" w:hanging="654"/>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80" w:hanging="654"/>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27686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November 13, 2023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27686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Hamm</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November 13, 2023</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04"/>
    </w:lvl>
    <w:lvl w:ilvl="1">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1" Type="http://schemas.openxmlformats.org/officeDocument/2006/relationships/hyperlink" Target="https://www.sec.gov/Archives/edgar/data/1087294/000162828023031458/cumberlandpharm-arloan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2023-11-13T07:55:02Z</dcterms:created>
  <dcterms:modified xsi:type="dcterms:W3CDTF">2023-11-13T07:55:02Z</dcterms:modified>
</cp:coreProperties>
</file>