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March 17, 2022 (March 17, 2022)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89"/>
        </w:trPr>
        <w:tc>
          <w:tcPr>
            <w:tcW w:w="370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(e) Compensatory Arrangements of Certain Officers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7, 2022, Cumberland Pharmaceuticals Inc.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new employment agreements with each of A.J. Kazimi, the Company’s Chief Executive Officer (the “</w:t>
      </w:r>
      <w:r>
        <w:rPr>
          <w:rFonts w:ascii="Arial" w:cs="Arial" w:eastAsia="Arial" w:hAnsi="Arial"/>
          <w:sz w:val="16"/>
          <w:szCs w:val="16"/>
          <w:u w:val="single" w:color="auto"/>
          <w:color w:val="auto"/>
        </w:rPr>
        <w:t>Kazimi Employment Agreement</w:t>
      </w:r>
      <w:r>
        <w:rPr>
          <w:rFonts w:ascii="Arial" w:cs="Arial" w:eastAsia="Arial" w:hAnsi="Arial"/>
          <w:sz w:val="16"/>
          <w:szCs w:val="16"/>
          <w:color w:val="auto"/>
        </w:rPr>
        <w:t>”), Martin Cearnal, the Company’s Executive Vice President, Chief Commercial Officer and President (the “</w:t>
      </w:r>
      <w:r>
        <w:rPr>
          <w:rFonts w:ascii="Arial" w:cs="Arial" w:eastAsia="Arial" w:hAnsi="Arial"/>
          <w:sz w:val="16"/>
          <w:szCs w:val="16"/>
          <w:u w:val="single" w:color="auto"/>
          <w:color w:val="auto"/>
        </w:rPr>
        <w:t>Cearnal Employment Agreement</w:t>
      </w:r>
      <w:r>
        <w:rPr>
          <w:rFonts w:ascii="Arial" w:cs="Arial" w:eastAsia="Arial" w:hAnsi="Arial"/>
          <w:sz w:val="16"/>
          <w:szCs w:val="16"/>
          <w:color w:val="auto"/>
        </w:rPr>
        <w:t>”), Leo Pavliv, the Company’s Executive Vice President, Chief Development and Operations Officer (the “</w:t>
      </w:r>
      <w:r>
        <w:rPr>
          <w:rFonts w:ascii="Arial" w:cs="Arial" w:eastAsia="Arial" w:hAnsi="Arial"/>
          <w:sz w:val="16"/>
          <w:szCs w:val="16"/>
          <w:u w:val="single" w:color="auto"/>
          <w:color w:val="auto"/>
        </w:rPr>
        <w:t>Pavliv Employment Agreement</w:t>
      </w:r>
      <w:r>
        <w:rPr>
          <w:rFonts w:ascii="Arial" w:cs="Arial" w:eastAsia="Arial" w:hAnsi="Arial"/>
          <w:sz w:val="16"/>
          <w:szCs w:val="16"/>
          <w:color w:val="auto"/>
        </w:rPr>
        <w:t>”), James Herman, the Company’s Executive Vice President, National Accounts and Chief Compliance Officer (the “</w:t>
      </w:r>
      <w:r>
        <w:rPr>
          <w:rFonts w:ascii="Arial" w:cs="Arial" w:eastAsia="Arial" w:hAnsi="Arial"/>
          <w:sz w:val="16"/>
          <w:szCs w:val="16"/>
          <w:u w:val="single" w:color="auto"/>
          <w:color w:val="auto"/>
        </w:rPr>
        <w:t>Herman Employment Agreement</w:t>
      </w:r>
      <w:r>
        <w:rPr>
          <w:rFonts w:ascii="Arial" w:cs="Arial" w:eastAsia="Arial" w:hAnsi="Arial"/>
          <w:sz w:val="16"/>
          <w:szCs w:val="16"/>
          <w:color w:val="auto"/>
        </w:rPr>
        <w:t>,”) and John Hamm, the Company’s Senior Director of Finance and Accounting and Chief Financial Officer (the “</w:t>
      </w:r>
      <w:r>
        <w:rPr>
          <w:rFonts w:ascii="Arial" w:cs="Arial" w:eastAsia="Arial" w:hAnsi="Arial"/>
          <w:sz w:val="16"/>
          <w:szCs w:val="16"/>
          <w:u w:val="single" w:color="auto"/>
          <w:color w:val="auto"/>
        </w:rPr>
        <w:t>Hamm</w:t>
      </w:r>
      <w:r>
        <w:rPr>
          <w:rFonts w:ascii="Arial" w:cs="Arial" w:eastAsia="Arial" w:hAnsi="Arial"/>
          <w:sz w:val="16"/>
          <w:szCs w:val="16"/>
          <w:color w:val="auto"/>
        </w:rPr>
        <w:t xml:space="preserv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and together with the Kazimi Employment Agreement, the Cearnal Employment Agreement, the Pavliv Employment Agreement, and the Herman Employment Agreement, the “</w:t>
      </w:r>
      <w:r>
        <w:rPr>
          <w:rFonts w:ascii="Arial" w:cs="Arial" w:eastAsia="Arial" w:hAnsi="Arial"/>
          <w:sz w:val="16"/>
          <w:szCs w:val="16"/>
          <w:u w:val="single" w:color="auto"/>
          <w:color w:val="auto"/>
        </w:rPr>
        <w:t>Employment Agreements</w:t>
      </w:r>
      <w:r>
        <w:rPr>
          <w:rFonts w:ascii="Arial" w:cs="Arial" w:eastAsia="Arial" w:hAnsi="Arial"/>
          <w:sz w:val="16"/>
          <w:szCs w:val="16"/>
          <w:color w:val="auto"/>
        </w:rPr>
        <w:t>”). The Employment Agreements were effective as of January 1,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Employment Agreement provides for a salary for services performed, a potential annual bonus and an equity award pursuant to a stock option agreement. Under the terms of each Employment Agreement, employment is at-will and may be terminated by the employee or the Company at any time, with or without notice and with or without cause. Similarly, each of Mr. Kazimi, Mr. Cearnal, Mr. Pavliv, Mr. Herman, and Mr. Hamm may terminate his respective employment with the Company at any time, with or without notice. The Employment Agreements do not provide for any severance payments in the event employment is terminated for cause nor any severance benefits in the event employment is terminated as a result of death or permanent disability. The Employment Agreements include non-competition, non-solicitation and non-disclosure covenants on the part of employees. The Employment Agreements impose obligations regarding confidential information and state that any discoveries or improvements conceived, developed or otherwise made by the employees, or with others, that relate in any way to the Company’s present or planned business or products, are deemed the Company’s sole property. The Employment Agreements do not contain any termination or change in control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Kazimi Employment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Kazimi Employment Agreement, Mr. Kazimi will serve as the Company’s Chief Executive Officer and will receive a base salary of $635,000.</w:t>
      </w:r>
    </w:p>
    <w:p>
      <w:pPr>
        <w:spacing w:after="0" w:line="8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foregoing descriptions of the Kazimi Employment Agreement are qualified in their entirety by reference to the Kazimi Employment Agreement, which is included as Exhibit 10.11 to the Company’s Annual Report on Form 10-K and is incorporated by reference into this Item. The foregoing description of the Kazimi Employment Agreement does not purport to be complete and is qualified in its entirety by reference to such exhibit.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Cearnal Employment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Cearnal Employment Agreement, Mr. Cearnal will serve as the Company’s Executive Vice President, Chief Commercial Officer and President and will receive a base salary of $350,000.</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foregoing descriptions of the Cearnal Employment Agreement are qualified in their entirety by reference to the Cearnal Employment Agreement, which is included as Exhibit 10.12 to the Company’s Annual Report on Form 10-K and is incorporated by reference into this Item. The foregoing description of the Cearnal Employment Agreement does not purport to be complete and is qualified in its entirety by reference to such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Pavliv Employment Agreement</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Pavliv Employment Agreement, Mr. Pavliv will serve as the Company’s Executive Vice President, Chief Development and Operations Officer and will receive a base salary of $455,000.</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foregoing descriptions of the Pavliv Employment Agreement are qualified in their entirety by reference to the Pavliv Employment Agreement, which is included as Exhibit 10.13 to the Company’s Annual Report on Form 10-K and is incorporated by reference into this Item. The foregoing description of the Pavliv Employment Agreement does not purport to be complete and is qualified in its entirety by reference to such exhibit.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Hamm Employment Agreement</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Hamm Employment Agreement, Mr. Hamm will serve as the Company’s Senior Director of Finance and Accounting and Chief Financial Officer and will receive a base salary of $192,000.</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foregoing descriptions of the Hamm Employment Agreement are qualified in their entirety by reference to the Hamm Employment Agreement, which is included as Exhibit 10.14 to the Company’s Annual Report on Form 10-K and is incorporated by reference into this Item. The foregoing description of the Hamm Employment Agreement does not purport to be complete and is qualified in its entirety by reference to such exhibit.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Herman Employment Agreement</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Herman Employment Agreement, Mr. Herman will serve as the Company’s Executive Vice President, National Accounts and Chief Compliance Officer and will receive a base salary of $292,000.</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foregoing descriptions of the Herman Employment Agreement are qualified in their entirety by reference to the Herman Employment Agreement, which is included as Exhibit 10.15 to the Company’s Annual Report on Form 10-K and is incorporated by reference into this Item. The foregoing description of the Herman Employment Agreement does not purport to be complete and is qualified in its entirety by reference to such exhibit.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50"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515100" cy="2151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0" cy="2151380"/>
                    </a:xfrm>
                    <a:prstGeom prst="rect">
                      <a:avLst/>
                    </a:prstGeom>
                    <a:noFill/>
                  </pic:spPr>
                </pic:pic>
              </a:graphicData>
            </a:graphic>
          </wp:anchor>
        </w:drawing>
      </w:r>
    </w:p>
    <w:p>
      <w:pPr>
        <w:spacing w:after="0" w:line="236" w:lineRule="exact"/>
        <w:rPr>
          <w:sz w:val="20"/>
          <w:szCs w:val="20"/>
          <w:color w:val="auto"/>
        </w:rPr>
      </w:pPr>
    </w:p>
    <w:p>
      <w:pPr>
        <w:ind w:left="1540" w:right="1020" w:hanging="689"/>
        <w:spacing w:after="0" w:line="253" w:lineRule="auto"/>
        <w:tabs>
          <w:tab w:leader="none" w:pos="1520" w:val="left"/>
        </w:tabs>
        <w:rPr>
          <w:rFonts w:ascii="Arial" w:cs="Arial" w:eastAsia="Arial" w:hAnsi="Arial"/>
          <w:sz w:val="17"/>
          <w:szCs w:val="17"/>
          <w:color w:val="0000FF"/>
        </w:rPr>
      </w:pPr>
      <w:r>
        <w:rPr>
          <w:rFonts w:ascii="Arial" w:cs="Arial" w:eastAsia="Arial" w:hAnsi="Arial"/>
          <w:sz w:val="18"/>
          <w:szCs w:val="18"/>
          <w:color w:val="auto"/>
        </w:rPr>
        <w:t>10.11</w:t>
      </w:r>
      <w:r>
        <w:rPr>
          <w:sz w:val="20"/>
          <w:szCs w:val="20"/>
          <w:color w:val="auto"/>
        </w:rPr>
        <w:tab/>
      </w:r>
      <w:hyperlink r:id="rId12">
        <w:r>
          <w:rPr>
            <w:rFonts w:ascii="Arial" w:cs="Arial" w:eastAsia="Arial" w:hAnsi="Arial"/>
            <w:sz w:val="17"/>
            <w:szCs w:val="17"/>
            <w:u w:val="single" w:color="auto"/>
            <w:color w:val="0000FF"/>
          </w:rPr>
          <w:t>Employment Agreement dated March 7, 2022, effective as of January 1, 2022, by and between A.J. Kazimi and</w:t>
        </w:r>
      </w:hyperlink>
      <w:r>
        <w:rPr>
          <w:rFonts w:ascii="Arial" w:cs="Arial" w:eastAsia="Arial" w:hAnsi="Arial"/>
          <w:sz w:val="17"/>
          <w:szCs w:val="17"/>
          <w:u w:val="single" w:color="auto"/>
          <w:color w:val="0000FF"/>
        </w:rPr>
        <w:t xml:space="preserve"> </w:t>
      </w:r>
      <w:hyperlink r:id="rId12">
        <w:r>
          <w:rPr>
            <w:rFonts w:ascii="Arial" w:cs="Arial" w:eastAsia="Arial" w:hAnsi="Arial"/>
            <w:sz w:val="17"/>
            <w:szCs w:val="17"/>
            <w:u w:val="single" w:color="auto"/>
            <w:color w:val="0000FF"/>
          </w:rPr>
          <w:t>Cumberland Pharmaceuticals Inc.</w:t>
        </w:r>
        <w:r>
          <w:rPr>
            <w:rFonts w:ascii="Arial" w:cs="Arial" w:eastAsia="Arial" w:hAnsi="Arial"/>
            <w:sz w:val="17"/>
            <w:szCs w:val="17"/>
            <w:color w:val="0000FF"/>
          </w:rPr>
          <w:t xml:space="preserve"> </w:t>
        </w:r>
        <w:r>
          <w:rPr>
            <w:rFonts w:ascii="Arial" w:cs="Arial" w:eastAsia="Arial" w:hAnsi="Arial"/>
            <w:sz w:val="17"/>
            <w:szCs w:val="17"/>
            <w:color w:val="000000"/>
          </w:rPr>
          <w:t xml:space="preserve">(incorporated by reference to Exhibit 10.11 of the Company’s Annual Report </w:t>
        </w:r>
      </w:hyperlink>
      <w:r>
        <w:rPr>
          <w:rFonts w:ascii="Arial" w:cs="Arial" w:eastAsia="Arial" w:hAnsi="Arial"/>
          <w:sz w:val="17"/>
          <w:szCs w:val="17"/>
          <w:color w:val="0000FF"/>
        </w:rPr>
        <w:t xml:space="preserve">on </w:t>
      </w:r>
      <w:r>
        <w:rPr>
          <w:rFonts w:ascii="Arial" w:cs="Arial" w:eastAsia="Arial" w:hAnsi="Arial"/>
          <w:sz w:val="17"/>
          <w:szCs w:val="17"/>
          <w:color w:val="000000"/>
        </w:rPr>
        <w:t>Form</w:t>
      </w:r>
      <w:r>
        <w:rPr>
          <w:rFonts w:ascii="Arial" w:cs="Arial" w:eastAsia="Arial" w:hAnsi="Arial"/>
          <w:sz w:val="17"/>
          <w:szCs w:val="17"/>
          <w:color w:val="0000FF"/>
        </w:rPr>
        <w:t xml:space="preserve"> </w:t>
      </w:r>
      <w:r>
        <w:rPr>
          <w:rFonts w:ascii="Arial" w:cs="Arial" w:eastAsia="Arial" w:hAnsi="Arial"/>
          <w:sz w:val="17"/>
          <w:szCs w:val="17"/>
          <w:color w:val="000000"/>
        </w:rPr>
        <w:t>10-K, File No. 001-33637, filed with the Securities and Exchange Commission on March 11, 2022).</w:t>
      </w:r>
    </w:p>
    <w:p>
      <w:pPr>
        <w:spacing w:after="0" w:line="16" w:lineRule="exact"/>
        <w:rPr>
          <w:sz w:val="20"/>
          <w:szCs w:val="20"/>
          <w:color w:val="auto"/>
        </w:rPr>
      </w:pPr>
    </w:p>
    <w:p>
      <w:pPr>
        <w:ind w:left="1540" w:right="1020" w:hanging="696"/>
        <w:spacing w:after="0" w:line="253" w:lineRule="auto"/>
        <w:tabs>
          <w:tab w:leader="none" w:pos="1520" w:val="left"/>
        </w:tabs>
        <w:rPr>
          <w:rFonts w:ascii="Arial" w:cs="Arial" w:eastAsia="Arial" w:hAnsi="Arial"/>
          <w:sz w:val="17"/>
          <w:szCs w:val="17"/>
          <w:color w:val="0000FF"/>
        </w:rPr>
      </w:pPr>
      <w:r>
        <w:rPr>
          <w:rFonts w:ascii="Arial" w:cs="Arial" w:eastAsia="Arial" w:hAnsi="Arial"/>
          <w:sz w:val="18"/>
          <w:szCs w:val="18"/>
          <w:color w:val="auto"/>
        </w:rPr>
        <w:t>10.12</w:t>
      </w:r>
      <w:r>
        <w:rPr>
          <w:sz w:val="20"/>
          <w:szCs w:val="20"/>
          <w:color w:val="auto"/>
        </w:rPr>
        <w:tab/>
      </w:r>
      <w:hyperlink r:id="rId13">
        <w:r>
          <w:rPr>
            <w:rFonts w:ascii="Arial" w:cs="Arial" w:eastAsia="Arial" w:hAnsi="Arial"/>
            <w:sz w:val="17"/>
            <w:szCs w:val="17"/>
            <w:u w:val="single" w:color="auto"/>
            <w:color w:val="0000FF"/>
          </w:rPr>
          <w:t>Employment Agreement dated March 7, 2022, effective as of January 1, 2022, by and between Martin E. Cearnal and</w:t>
        </w:r>
      </w:hyperlink>
      <w:r>
        <w:rPr>
          <w:rFonts w:ascii="Arial" w:cs="Arial" w:eastAsia="Arial" w:hAnsi="Arial"/>
          <w:sz w:val="17"/>
          <w:szCs w:val="17"/>
          <w:u w:val="single" w:color="auto"/>
          <w:color w:val="0000FF"/>
        </w:rPr>
        <w:t xml:space="preserve"> </w:t>
      </w:r>
      <w:hyperlink r:id="rId13">
        <w:r>
          <w:rPr>
            <w:rFonts w:ascii="Arial" w:cs="Arial" w:eastAsia="Arial" w:hAnsi="Arial"/>
            <w:sz w:val="17"/>
            <w:szCs w:val="17"/>
            <w:u w:val="single" w:color="auto"/>
            <w:color w:val="0000FF"/>
          </w:rPr>
          <w:t>Cumberland Pharmaceuticals Inc</w:t>
        </w:r>
        <w:r>
          <w:rPr>
            <w:rFonts w:ascii="Arial" w:cs="Arial" w:eastAsia="Arial" w:hAnsi="Arial"/>
            <w:sz w:val="17"/>
            <w:szCs w:val="17"/>
            <w:color w:val="0000FF"/>
          </w:rPr>
          <w:t xml:space="preserve">. </w:t>
        </w:r>
        <w:r>
          <w:rPr>
            <w:rFonts w:ascii="Arial" w:cs="Arial" w:eastAsia="Arial" w:hAnsi="Arial"/>
            <w:sz w:val="17"/>
            <w:szCs w:val="17"/>
            <w:color w:val="000000"/>
          </w:rPr>
          <w:t xml:space="preserve">(incorporated by reference to Exhibit 10.12 of the Company’s Annual Report on </w:t>
        </w:r>
      </w:hyperlink>
      <w:r>
        <w:rPr>
          <w:rFonts w:ascii="Arial" w:cs="Arial" w:eastAsia="Arial" w:hAnsi="Arial"/>
          <w:sz w:val="17"/>
          <w:szCs w:val="17"/>
          <w:color w:val="0000FF"/>
        </w:rPr>
        <w:t xml:space="preserve">Form </w:t>
      </w:r>
      <w:r>
        <w:rPr>
          <w:rFonts w:ascii="Arial" w:cs="Arial" w:eastAsia="Arial" w:hAnsi="Arial"/>
          <w:sz w:val="17"/>
          <w:szCs w:val="17"/>
          <w:color w:val="000000"/>
        </w:rPr>
        <w:t>10-K, File No. 001-33637, filed with the Securities and Exchange Commission on March 11, 2022).</w:t>
      </w:r>
    </w:p>
    <w:p>
      <w:pPr>
        <w:spacing w:after="0" w:line="16" w:lineRule="exact"/>
        <w:rPr>
          <w:sz w:val="20"/>
          <w:szCs w:val="20"/>
          <w:color w:val="auto"/>
        </w:rPr>
      </w:pPr>
    </w:p>
    <w:p>
      <w:pPr>
        <w:ind w:left="1540" w:right="1020" w:hanging="696"/>
        <w:spacing w:after="0" w:line="253" w:lineRule="auto"/>
        <w:tabs>
          <w:tab w:leader="none" w:pos="1520" w:val="left"/>
        </w:tabs>
        <w:rPr>
          <w:rFonts w:ascii="Arial" w:cs="Arial" w:eastAsia="Arial" w:hAnsi="Arial"/>
          <w:sz w:val="17"/>
          <w:szCs w:val="17"/>
          <w:color w:val="0000FF"/>
        </w:rPr>
      </w:pPr>
      <w:r>
        <w:rPr>
          <w:rFonts w:ascii="Arial" w:cs="Arial" w:eastAsia="Arial" w:hAnsi="Arial"/>
          <w:sz w:val="18"/>
          <w:szCs w:val="18"/>
          <w:color w:val="auto"/>
        </w:rPr>
        <w:t>10.13</w:t>
      </w:r>
      <w:r>
        <w:rPr>
          <w:sz w:val="20"/>
          <w:szCs w:val="20"/>
          <w:color w:val="auto"/>
        </w:rPr>
        <w:tab/>
      </w:r>
      <w:hyperlink r:id="rId14">
        <w:r>
          <w:rPr>
            <w:rFonts w:ascii="Arial" w:cs="Arial" w:eastAsia="Arial" w:hAnsi="Arial"/>
            <w:sz w:val="17"/>
            <w:szCs w:val="17"/>
            <w:u w:val="single" w:color="auto"/>
            <w:color w:val="0000FF"/>
          </w:rPr>
          <w:t>Employment Agreement dated March 7, 2022, effective as of January 1, 2022, by and between Leo B. Pavliv and</w:t>
        </w:r>
      </w:hyperlink>
      <w:r>
        <w:rPr>
          <w:rFonts w:ascii="Arial" w:cs="Arial" w:eastAsia="Arial" w:hAnsi="Arial"/>
          <w:sz w:val="17"/>
          <w:szCs w:val="17"/>
          <w:u w:val="single" w:color="auto"/>
          <w:color w:val="0000FF"/>
        </w:rPr>
        <w:t xml:space="preserve"> </w:t>
      </w:r>
      <w:hyperlink r:id="rId14">
        <w:r>
          <w:rPr>
            <w:rFonts w:ascii="Arial" w:cs="Arial" w:eastAsia="Arial" w:hAnsi="Arial"/>
            <w:sz w:val="17"/>
            <w:szCs w:val="17"/>
            <w:u w:val="single" w:color="auto"/>
            <w:color w:val="0000FF"/>
          </w:rPr>
          <w:t>Cumberland Pharmaceuticals Inc.</w:t>
        </w:r>
        <w:r>
          <w:rPr>
            <w:rFonts w:ascii="Arial" w:cs="Arial" w:eastAsia="Arial" w:hAnsi="Arial"/>
            <w:sz w:val="17"/>
            <w:szCs w:val="17"/>
            <w:color w:val="0000FF"/>
          </w:rPr>
          <w:t xml:space="preserve"> </w:t>
        </w:r>
        <w:r>
          <w:rPr>
            <w:rFonts w:ascii="Arial" w:cs="Arial" w:eastAsia="Arial" w:hAnsi="Arial"/>
            <w:sz w:val="17"/>
            <w:szCs w:val="17"/>
            <w:color w:val="000000"/>
          </w:rPr>
          <w:t xml:space="preserve">(incorporated by reference to Exhibit 10.13 of the Company’s Annual Report </w:t>
        </w:r>
      </w:hyperlink>
      <w:r>
        <w:rPr>
          <w:rFonts w:ascii="Arial" w:cs="Arial" w:eastAsia="Arial" w:hAnsi="Arial"/>
          <w:sz w:val="17"/>
          <w:szCs w:val="17"/>
          <w:color w:val="0000FF"/>
        </w:rPr>
        <w:t xml:space="preserve">on </w:t>
      </w:r>
      <w:r>
        <w:rPr>
          <w:rFonts w:ascii="Arial" w:cs="Arial" w:eastAsia="Arial" w:hAnsi="Arial"/>
          <w:sz w:val="17"/>
          <w:szCs w:val="17"/>
          <w:color w:val="000000"/>
        </w:rPr>
        <w:t>Form</w:t>
      </w:r>
      <w:r>
        <w:rPr>
          <w:rFonts w:ascii="Arial" w:cs="Arial" w:eastAsia="Arial" w:hAnsi="Arial"/>
          <w:sz w:val="17"/>
          <w:szCs w:val="17"/>
          <w:color w:val="0000FF"/>
        </w:rPr>
        <w:t xml:space="preserve"> </w:t>
      </w:r>
      <w:r>
        <w:rPr>
          <w:rFonts w:ascii="Arial" w:cs="Arial" w:eastAsia="Arial" w:hAnsi="Arial"/>
          <w:sz w:val="17"/>
          <w:szCs w:val="17"/>
          <w:color w:val="000000"/>
        </w:rPr>
        <w:t>10-K, File No. 001-33637, filed with the Securities and Exchange Commission on March 11, 2022).</w:t>
      </w:r>
    </w:p>
    <w:p>
      <w:pPr>
        <w:spacing w:after="0" w:line="16" w:lineRule="exact"/>
        <w:rPr>
          <w:sz w:val="20"/>
          <w:szCs w:val="20"/>
          <w:color w:val="auto"/>
        </w:rPr>
      </w:pPr>
    </w:p>
    <w:p>
      <w:pPr>
        <w:ind w:left="1540" w:right="1020" w:hanging="696"/>
        <w:spacing w:after="0" w:line="253" w:lineRule="auto"/>
        <w:tabs>
          <w:tab w:leader="none" w:pos="1520" w:val="left"/>
        </w:tabs>
        <w:rPr>
          <w:rFonts w:ascii="Arial" w:cs="Arial" w:eastAsia="Arial" w:hAnsi="Arial"/>
          <w:sz w:val="17"/>
          <w:szCs w:val="17"/>
          <w:color w:val="0000FF"/>
        </w:rPr>
      </w:pPr>
      <w:r>
        <w:rPr>
          <w:rFonts w:ascii="Arial" w:cs="Arial" w:eastAsia="Arial" w:hAnsi="Arial"/>
          <w:sz w:val="18"/>
          <w:szCs w:val="18"/>
          <w:color w:val="auto"/>
        </w:rPr>
        <w:t>10.14</w:t>
      </w:r>
      <w:r>
        <w:rPr>
          <w:sz w:val="20"/>
          <w:szCs w:val="20"/>
          <w:color w:val="auto"/>
        </w:rPr>
        <w:tab/>
      </w:r>
      <w:hyperlink r:id="rId15">
        <w:r>
          <w:rPr>
            <w:rFonts w:ascii="Arial" w:cs="Arial" w:eastAsia="Arial" w:hAnsi="Arial"/>
            <w:sz w:val="17"/>
            <w:szCs w:val="17"/>
            <w:u w:val="single" w:color="auto"/>
            <w:color w:val="0000FF"/>
          </w:rPr>
          <w:t>Employment Agreement dated March 7, 2022, effective as of January 1, 2022, by and between John M. Hamm and</w:t>
        </w:r>
      </w:hyperlink>
      <w:r>
        <w:rPr>
          <w:rFonts w:ascii="Arial" w:cs="Arial" w:eastAsia="Arial" w:hAnsi="Arial"/>
          <w:sz w:val="17"/>
          <w:szCs w:val="17"/>
          <w:u w:val="single" w:color="auto"/>
          <w:color w:val="0000FF"/>
        </w:rPr>
        <w:t xml:space="preserve"> </w:t>
      </w:r>
      <w:hyperlink r:id="rId15">
        <w:r>
          <w:rPr>
            <w:rFonts w:ascii="Arial" w:cs="Arial" w:eastAsia="Arial" w:hAnsi="Arial"/>
            <w:sz w:val="17"/>
            <w:szCs w:val="17"/>
            <w:u w:val="single" w:color="auto"/>
            <w:color w:val="0000FF"/>
          </w:rPr>
          <w:t>Cumberland Pharmaceuticals Inc.</w:t>
        </w:r>
        <w:r>
          <w:rPr>
            <w:rFonts w:ascii="Arial" w:cs="Arial" w:eastAsia="Arial" w:hAnsi="Arial"/>
            <w:sz w:val="17"/>
            <w:szCs w:val="17"/>
            <w:color w:val="0000FF"/>
          </w:rPr>
          <w:t xml:space="preserve"> </w:t>
        </w:r>
        <w:r>
          <w:rPr>
            <w:rFonts w:ascii="Arial" w:cs="Arial" w:eastAsia="Arial" w:hAnsi="Arial"/>
            <w:sz w:val="17"/>
            <w:szCs w:val="17"/>
            <w:color w:val="000000"/>
          </w:rPr>
          <w:t xml:space="preserve">(incorporated by reference to Exhibit 10.14 of the Company’s Annual Report on </w:t>
        </w:r>
      </w:hyperlink>
      <w:r>
        <w:rPr>
          <w:rFonts w:ascii="Arial" w:cs="Arial" w:eastAsia="Arial" w:hAnsi="Arial"/>
          <w:sz w:val="17"/>
          <w:szCs w:val="17"/>
          <w:color w:val="0000FF"/>
        </w:rPr>
        <w:t xml:space="preserve">Form </w:t>
      </w:r>
      <w:r>
        <w:rPr>
          <w:rFonts w:ascii="Arial" w:cs="Arial" w:eastAsia="Arial" w:hAnsi="Arial"/>
          <w:sz w:val="17"/>
          <w:szCs w:val="17"/>
          <w:color w:val="000000"/>
        </w:rPr>
        <w:t>10-K, File No. 001-33637, filed with the Securities and Exchange Commission on March 11, 2022).</w:t>
      </w:r>
    </w:p>
    <w:p>
      <w:pPr>
        <w:spacing w:after="0" w:line="16" w:lineRule="exact"/>
        <w:rPr>
          <w:sz w:val="20"/>
          <w:szCs w:val="20"/>
          <w:color w:val="auto"/>
        </w:rPr>
      </w:pPr>
    </w:p>
    <w:p>
      <w:pPr>
        <w:ind w:left="1540" w:right="1020" w:hanging="696"/>
        <w:spacing w:after="0" w:line="253" w:lineRule="auto"/>
        <w:tabs>
          <w:tab w:leader="none" w:pos="1520" w:val="left"/>
        </w:tabs>
        <w:rPr>
          <w:rFonts w:ascii="Arial" w:cs="Arial" w:eastAsia="Arial" w:hAnsi="Arial"/>
          <w:sz w:val="17"/>
          <w:szCs w:val="17"/>
          <w:color w:val="0000FF"/>
        </w:rPr>
      </w:pPr>
      <w:r>
        <w:rPr>
          <w:rFonts w:ascii="Arial" w:cs="Arial" w:eastAsia="Arial" w:hAnsi="Arial"/>
          <w:sz w:val="18"/>
          <w:szCs w:val="18"/>
          <w:color w:val="auto"/>
        </w:rPr>
        <w:t>10.15</w:t>
      </w:r>
      <w:r>
        <w:rPr>
          <w:sz w:val="20"/>
          <w:szCs w:val="20"/>
          <w:color w:val="auto"/>
        </w:rPr>
        <w:tab/>
      </w:r>
      <w:hyperlink r:id="rId16">
        <w:r>
          <w:rPr>
            <w:rFonts w:ascii="Arial" w:cs="Arial" w:eastAsia="Arial" w:hAnsi="Arial"/>
            <w:sz w:val="17"/>
            <w:szCs w:val="17"/>
            <w:u w:val="single" w:color="auto"/>
            <w:color w:val="0000FF"/>
          </w:rPr>
          <w:t>Employment Agreement dated March 7, 2022, effective as of January 1, 2022, by and between James L. Herman and</w:t>
        </w:r>
      </w:hyperlink>
      <w:r>
        <w:rPr>
          <w:rFonts w:ascii="Arial" w:cs="Arial" w:eastAsia="Arial" w:hAnsi="Arial"/>
          <w:sz w:val="17"/>
          <w:szCs w:val="17"/>
          <w:u w:val="single" w:color="auto"/>
          <w:color w:val="0000FF"/>
        </w:rPr>
        <w:t xml:space="preserve"> </w:t>
      </w:r>
      <w:hyperlink r:id="rId16">
        <w:r>
          <w:rPr>
            <w:rFonts w:ascii="Arial" w:cs="Arial" w:eastAsia="Arial" w:hAnsi="Arial"/>
            <w:sz w:val="17"/>
            <w:szCs w:val="17"/>
            <w:u w:val="single" w:color="auto"/>
            <w:color w:val="0000FF"/>
          </w:rPr>
          <w:t>Cumberland Pharmaceuticals Inc.</w:t>
        </w:r>
        <w:r>
          <w:rPr>
            <w:rFonts w:ascii="Arial" w:cs="Arial" w:eastAsia="Arial" w:hAnsi="Arial"/>
            <w:sz w:val="17"/>
            <w:szCs w:val="17"/>
            <w:color w:val="0000FF"/>
          </w:rPr>
          <w:t xml:space="preserve"> </w:t>
        </w:r>
        <w:r>
          <w:rPr>
            <w:rFonts w:ascii="Arial" w:cs="Arial" w:eastAsia="Arial" w:hAnsi="Arial"/>
            <w:sz w:val="17"/>
            <w:szCs w:val="17"/>
            <w:color w:val="000000"/>
          </w:rPr>
          <w:t xml:space="preserve">(incorporated by reference to Exhibit 10.15 of the Company’s Annual Report on </w:t>
        </w:r>
      </w:hyperlink>
      <w:r>
        <w:rPr>
          <w:rFonts w:ascii="Arial" w:cs="Arial" w:eastAsia="Arial" w:hAnsi="Arial"/>
          <w:sz w:val="17"/>
          <w:szCs w:val="17"/>
          <w:color w:val="0000FF"/>
        </w:rPr>
        <w:t xml:space="preserve">Form </w:t>
      </w:r>
      <w:r>
        <w:rPr>
          <w:rFonts w:ascii="Arial" w:cs="Arial" w:eastAsia="Arial" w:hAnsi="Arial"/>
          <w:sz w:val="17"/>
          <w:szCs w:val="17"/>
          <w:color w:val="000000"/>
        </w:rPr>
        <w:t>10-K, File No. 001-33637, filed with the Securities and Exchange Commission on March 11,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1459230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 w:name="page4"/>
    <w:bookmarkEnd w:id="3"/>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6840" w:type="dxa"/>
            <w:vAlign w:val="bottom"/>
            <w:gridSpan w:val="2"/>
          </w:tcPr>
          <w:p>
            <w:pPr>
              <w:ind w:left="266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320" w:type="dxa"/>
            <w:vAlign w:val="bottom"/>
          </w:tcPr>
          <w:p>
            <w:pPr>
              <w:spacing w:after="0"/>
              <w:rPr>
                <w:sz w:val="20"/>
                <w:szCs w:val="20"/>
                <w:color w:val="auto"/>
              </w:rPr>
            </w:pPr>
            <w:r>
              <w:rPr>
                <w:rFonts w:ascii="Arial" w:cs="Arial" w:eastAsia="Arial" w:hAnsi="Arial"/>
                <w:sz w:val="18"/>
                <w:szCs w:val="18"/>
                <w:color w:val="auto"/>
              </w:rPr>
              <w:t>Dated: March 17, 2022</w:t>
            </w:r>
          </w:p>
        </w:tc>
        <w:tc>
          <w:tcPr>
            <w:tcW w:w="4020" w:type="dxa"/>
            <w:vAlign w:val="bottom"/>
          </w:tcPr>
          <w:p>
            <w:pPr>
              <w:ind w:left="266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3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3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s://www.sec.gov/Archives/edgar/data/1087294/000162828022005942/a2021-10kxex1011ajkazimi.htm" TargetMode="External"/><Relationship Id="rId13" Type="http://schemas.openxmlformats.org/officeDocument/2006/relationships/hyperlink" Target="https://www.sec.gov/Archives/edgar/data/1087294/000162828022005942/a2021-xex1012martincearnal.htm" TargetMode="External"/><Relationship Id="rId14" Type="http://schemas.openxmlformats.org/officeDocument/2006/relationships/hyperlink" Target="https://www.sec.gov/Archives/edgar/data/1087294/000162828022005942/a2021-10kxex1013leopavliv.htm" TargetMode="External"/><Relationship Id="rId15" Type="http://schemas.openxmlformats.org/officeDocument/2006/relationships/hyperlink" Target="https://www.sec.gov/Archives/edgar/data/1087294/000162828022005942/a2021-10kxex1014johnhamm.htm" TargetMode="External"/><Relationship Id="rId16" Type="http://schemas.openxmlformats.org/officeDocument/2006/relationships/hyperlink" Target="https://www.sec.gov/Archives/edgar/data/1087294/000162828022005942/a2021-10kxex1015jimherm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2022-03-17T16:08:56Z</dcterms:created>
  <dcterms:modified xsi:type="dcterms:W3CDTF">2022-03-17T16:08:56Z</dcterms:modified>
</cp:coreProperties>
</file>