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June 21, 2023 (June 16, 2023)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CUMBERLAND PHARMACEUTICALS INC.</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20" w:type="dxa"/>
            <w:vAlign w:val="bottom"/>
          </w:tcPr>
          <w:p>
            <w:pPr>
              <w:jc w:val="center"/>
              <w:ind w:right="350"/>
              <w:spacing w:after="0"/>
              <w:rPr>
                <w:sz w:val="20"/>
                <w:szCs w:val="20"/>
                <w:color w:val="auto"/>
              </w:rPr>
            </w:pPr>
            <w:r>
              <w:rPr>
                <w:rFonts w:ascii="Arial" w:cs="Arial" w:eastAsia="Arial" w:hAnsi="Arial"/>
                <w:sz w:val="18"/>
                <w:szCs w:val="18"/>
                <w:b w:val="1"/>
                <w:bCs w:val="1"/>
                <w:color w:val="auto"/>
                <w:w w:val="81"/>
              </w:rPr>
              <w:t>Tennessee</w:t>
            </w:r>
          </w:p>
        </w:tc>
        <w:tc>
          <w:tcPr>
            <w:tcW w:w="2980" w:type="dxa"/>
            <w:vAlign w:val="bottom"/>
          </w:tcPr>
          <w:p>
            <w:pPr>
              <w:jc w:val="right"/>
              <w:ind w:right="109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70"/>
              <w:spacing w:after="0"/>
              <w:rPr>
                <w:sz w:val="20"/>
                <w:szCs w:val="20"/>
                <w:color w:val="auto"/>
              </w:rPr>
            </w:pPr>
            <w:r>
              <w:rPr>
                <w:rFonts w:ascii="Arial" w:cs="Arial" w:eastAsia="Arial" w:hAnsi="Arial"/>
                <w:sz w:val="18"/>
                <w:szCs w:val="18"/>
                <w:b w:val="1"/>
                <w:bCs w:val="1"/>
                <w:color w:val="auto"/>
              </w:rPr>
              <w:t>62-1765329</w:t>
            </w:r>
          </w:p>
        </w:tc>
      </w:tr>
      <w:tr>
        <w:trPr>
          <w:trHeight w:val="202"/>
        </w:trPr>
        <w:tc>
          <w:tcPr>
            <w:tcW w:w="3720" w:type="dxa"/>
            <w:vAlign w:val="bottom"/>
          </w:tcPr>
          <w:p>
            <w:pPr>
              <w:jc w:val="center"/>
              <w:ind w:right="330"/>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2980" w:type="dxa"/>
            <w:vAlign w:val="bottom"/>
          </w:tcPr>
          <w:p>
            <w:pPr>
              <w:spacing w:after="0"/>
              <w:rPr>
                <w:sz w:val="17"/>
                <w:szCs w:val="17"/>
                <w:color w:val="auto"/>
              </w:rPr>
            </w:pPr>
          </w:p>
        </w:tc>
        <w:tc>
          <w:tcPr>
            <w:tcW w:w="3200" w:type="dxa"/>
            <w:vAlign w:val="bottom"/>
          </w:tcPr>
          <w:p>
            <w:pPr>
              <w:jc w:val="center"/>
              <w:ind w:left="510"/>
              <w:spacing w:after="0" w:line="201"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3720" w:type="dxa"/>
            <w:vAlign w:val="bottom"/>
          </w:tcPr>
          <w:p>
            <w:pPr>
              <w:jc w:val="center"/>
              <w:ind w:right="350"/>
              <w:spacing w:after="0"/>
              <w:rPr>
                <w:sz w:val="20"/>
                <w:szCs w:val="20"/>
                <w:color w:val="auto"/>
              </w:rPr>
            </w:pPr>
            <w:r>
              <w:rPr>
                <w:rFonts w:ascii="Arial" w:cs="Arial" w:eastAsia="Arial" w:hAnsi="Arial"/>
                <w:sz w:val="18"/>
                <w:szCs w:val="18"/>
                <w:color w:val="auto"/>
                <w:w w:val="92"/>
              </w:rPr>
              <w:t>organization)</w:t>
            </w:r>
          </w:p>
        </w:tc>
        <w:tc>
          <w:tcPr>
            <w:tcW w:w="298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 Number)</w:t>
            </w:r>
          </w:p>
        </w:tc>
        <w:tc>
          <w:tcPr>
            <w:tcW w:w="3200" w:type="dxa"/>
            <w:vAlign w:val="bottom"/>
          </w:tcPr>
          <w:p>
            <w:pPr>
              <w:spacing w:after="0"/>
              <w:rPr>
                <w:sz w:val="20"/>
                <w:szCs w:val="20"/>
                <w:color w:val="auto"/>
              </w:rPr>
            </w:pPr>
          </w:p>
        </w:tc>
      </w:tr>
    </w:tbl>
    <w:p>
      <w:pPr>
        <w:spacing w:after="0" w:line="117"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1600 West End Avenue, Suite 1300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8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2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30" w:type="dxa"/>
        <w:tblCellMar>
          <w:top w:w="0" w:type="dxa"/>
          <w:left w:w="0" w:type="dxa"/>
          <w:bottom w:w="0" w:type="dxa"/>
          <w:right w:w="0" w:type="dxa"/>
        </w:tblCellMar>
      </w:tblPr>
      <w:tr>
        <w:trPr>
          <w:trHeight w:val="225"/>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3"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97" w:lineRule="exact"/>
        <w:rPr>
          <w:sz w:val="24"/>
          <w:szCs w:val="24"/>
          <w:color w:val="auto"/>
        </w:rPr>
      </w:pPr>
    </w:p>
    <w:p>
      <w:pPr>
        <w:ind w:right="1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16, 2023, Cumberland Pharmaceuticals Inc. (the "Company") received consideration related to the breach of contract action with Melinta Therapeutics, LLC and Targanta Therapeutics Corporation (collectively, the “Defendants”) that finalized a settlement agreement that was entered into by the Company and the Defendants to close the case.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On February 2, 2022, the Company filed an action for breach of contract against the Defendants in the United States District Court for the Southern District</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New York (Case No. 1:22-cv-00915-VM). The Company and the Defendants are parties to an agreement (the “Agreement”), pursuant to which the Defendants have a license to develop and commercialize products under certain Company patents, in exchange for the Defendants paying the Company certain milestone payments and royalties on net sales of the licensed products.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Specifically, the Agreement requires the Defendants to, among other things, make a $500,000 payment to the Company within 30 days following the first filing of an sNDA in relation to the Product (as defined the Agreement) and a $500,000 payment to the Company following the approval of the first sNDA in relation to the Product.</w:t>
      </w:r>
    </w:p>
    <w:p>
      <w:pPr>
        <w:spacing w:after="0" w:line="1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After Defendants disclosed the domiciles of its limited partners to the Company, as required by the Court, on October 24, 2022, the action for breach of contract was refiled in the Supreme Court of the State of New York, County of New York (Index No. 654234/2022) on November 7, 2022.</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complaint alleged that, despite the Defendants filing an NDA and sNDA for the Product and receiving FDA approval for both applications, the</w:t>
      </w:r>
    </w:p>
    <w:p>
      <w:pPr>
        <w:spacing w:after="0" w:line="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Defendants failed to make the required total of $1 million in milestone payments to the Company. The Company sought damages in the amount of no less than $1 million, pre- and post-judgment interest under N.Y. C.P.L.R. § 5001, costs, and such further relief as the court deems just and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6900" w:type="dxa"/>
            <w:vAlign w:val="bottom"/>
            <w:gridSpan w:val="2"/>
          </w:tcPr>
          <w:p>
            <w:pPr>
              <w:ind w:left="2720"/>
              <w:spacing w:after="0"/>
              <w:rPr>
                <w:sz w:val="20"/>
                <w:szCs w:val="20"/>
                <w:color w:val="auto"/>
              </w:rPr>
            </w:pPr>
            <w:r>
              <w:rPr>
                <w:rFonts w:ascii="Arial" w:cs="Arial" w:eastAsia="Arial" w:hAnsi="Arial"/>
                <w:sz w:val="18"/>
                <w:szCs w:val="18"/>
                <w:color w:val="auto"/>
              </w:rPr>
              <w:t>Cumberland Pharmaceuticals Inc.</w:t>
            </w:r>
          </w:p>
        </w:tc>
      </w:tr>
      <w:tr>
        <w:trPr>
          <w:trHeight w:val="513"/>
        </w:trPr>
        <w:tc>
          <w:tcPr>
            <w:tcW w:w="4260" w:type="dxa"/>
            <w:vAlign w:val="bottom"/>
          </w:tcPr>
          <w:p>
            <w:pPr>
              <w:spacing w:after="0"/>
              <w:rPr>
                <w:sz w:val="20"/>
                <w:szCs w:val="20"/>
                <w:color w:val="auto"/>
              </w:rPr>
            </w:pPr>
            <w:r>
              <w:rPr>
                <w:rFonts w:ascii="Arial" w:cs="Arial" w:eastAsia="Arial" w:hAnsi="Arial"/>
                <w:sz w:val="18"/>
                <w:szCs w:val="18"/>
                <w:color w:val="auto"/>
              </w:rPr>
              <w:t>Dated: June 21, 2023</w:t>
            </w:r>
          </w:p>
        </w:tc>
        <w:tc>
          <w:tcPr>
            <w:tcW w:w="4080" w:type="dxa"/>
            <w:vAlign w:val="bottom"/>
          </w:tcPr>
          <w:p>
            <w:pPr>
              <w:ind w:left="272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2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2023-06-22T05:18:05Z</dcterms:created>
  <dcterms:modified xsi:type="dcterms:W3CDTF">2023-06-22T05:18:05Z</dcterms:modified>
</cp:coreProperties>
</file>