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0"/>
          <w:szCs w:val="20"/>
          <w:color w:val="auto"/>
        </w:rPr>
        <w:t>UNITED STATES</w:t>
      </w:r>
    </w:p>
    <w:p>
      <w:pPr>
        <w:spacing w:after="0" w:line="15"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SECURITIES AND EXCHANGE COMMISSION</w:t>
      </w:r>
    </w:p>
    <w:p>
      <w:pPr>
        <w:jc w:val="center"/>
        <w:ind w:right="-179"/>
        <w:spacing w:after="0"/>
        <w:rPr>
          <w:sz w:val="20"/>
          <w:szCs w:val="20"/>
          <w:color w:val="auto"/>
        </w:rPr>
      </w:pPr>
      <w:r>
        <w:rPr>
          <w:rFonts w:ascii="Arial" w:cs="Arial" w:eastAsia="Arial" w:hAnsi="Arial"/>
          <w:sz w:val="20"/>
          <w:szCs w:val="20"/>
          <w:color w:val="auto"/>
        </w:rPr>
        <w:t>WASHINGTON, D.C. 20549</w:t>
      </w:r>
    </w:p>
    <w:p>
      <w:pPr>
        <w:spacing w:after="0" w:line="2"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________________________________</w:t>
      </w:r>
    </w:p>
    <w:p>
      <w:pPr>
        <w:spacing w:after="0" w:line="206" w:lineRule="exact"/>
        <w:rPr>
          <w:sz w:val="24"/>
          <w:szCs w:val="24"/>
          <w:color w:val="auto"/>
        </w:rPr>
      </w:pPr>
    </w:p>
    <w:p>
      <w:pPr>
        <w:jc w:val="center"/>
        <w:ind w:right="-179"/>
        <w:spacing w:after="0"/>
        <w:rPr>
          <w:sz w:val="20"/>
          <w:szCs w:val="20"/>
          <w:color w:val="auto"/>
        </w:rPr>
      </w:pPr>
      <w:r>
        <w:rPr>
          <w:rFonts w:ascii="Arial" w:cs="Arial" w:eastAsia="Arial" w:hAnsi="Arial"/>
          <w:sz w:val="25"/>
          <w:szCs w:val="25"/>
          <w:color w:val="auto"/>
        </w:rPr>
        <w:t>FORM 8-K</w:t>
      </w:r>
    </w:p>
    <w:p>
      <w:pPr>
        <w:spacing w:after="0" w:line="28"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________________________________</w:t>
      </w:r>
    </w:p>
    <w:p>
      <w:pPr>
        <w:spacing w:after="0" w:line="201"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PURSUANT TO SECTION 13 OR 15(D)</w:t>
      </w:r>
    </w:p>
    <w:p>
      <w:pPr>
        <w:jc w:val="center"/>
        <w:ind w:right="-17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36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Date of Report (Date of Earliest Event Reported): May 8, 2020 (May 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1"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CUMBERLAND PHARMACEUTICALS INC.</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104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3"/>
              </w:rPr>
              <w:t>Tennessee</w:t>
            </w:r>
          </w:p>
        </w:tc>
        <w:tc>
          <w:tcPr>
            <w:tcW w:w="1700" w:type="dxa"/>
            <w:vAlign w:val="bottom"/>
          </w:tcPr>
          <w:p>
            <w:pPr>
              <w:spacing w:after="0"/>
              <w:rPr>
                <w:sz w:val="17"/>
                <w:szCs w:val="17"/>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001-33637</w:t>
            </w:r>
          </w:p>
        </w:tc>
        <w:tc>
          <w:tcPr>
            <w:tcW w:w="1160" w:type="dxa"/>
            <w:vAlign w:val="bottom"/>
          </w:tcPr>
          <w:p>
            <w:pPr>
              <w:spacing w:after="0"/>
              <w:rPr>
                <w:sz w:val="17"/>
                <w:szCs w:val="17"/>
                <w:color w:val="auto"/>
              </w:rPr>
            </w:pPr>
          </w:p>
        </w:tc>
        <w:tc>
          <w:tcPr>
            <w:tcW w:w="2840" w:type="dxa"/>
            <w:vAlign w:val="bottom"/>
            <w:gridSpan w:val="3"/>
          </w:tcPr>
          <w:p>
            <w:pPr>
              <w:jc w:val="right"/>
              <w:ind w:right="600"/>
              <w:spacing w:after="0"/>
              <w:rPr>
                <w:sz w:val="20"/>
                <w:szCs w:val="20"/>
                <w:color w:val="auto"/>
              </w:rPr>
            </w:pPr>
            <w:r>
              <w:rPr>
                <w:rFonts w:ascii="Arial" w:cs="Arial" w:eastAsia="Arial" w:hAnsi="Arial"/>
                <w:sz w:val="18"/>
                <w:szCs w:val="18"/>
                <w:color w:val="auto"/>
              </w:rPr>
              <w:t>62-1765329</w:t>
            </w:r>
          </w:p>
        </w:tc>
      </w:tr>
      <w:tr>
        <w:trPr>
          <w:trHeight w:val="20"/>
        </w:trPr>
        <w:tc>
          <w:tcPr>
            <w:tcW w:w="9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68"/>
        </w:trPr>
        <w:tc>
          <w:tcPr>
            <w:tcW w:w="3340" w:type="dxa"/>
            <w:vAlign w:val="bottom"/>
            <w:gridSpan w:val="3"/>
          </w:tcPr>
          <w:p>
            <w:pPr>
              <w:jc w:val="center"/>
              <w:ind w:right="820"/>
              <w:spacing w:after="0"/>
              <w:rPr>
                <w:sz w:val="20"/>
                <w:szCs w:val="20"/>
                <w:color w:val="auto"/>
              </w:rPr>
            </w:pPr>
            <w:r>
              <w:rPr>
                <w:rFonts w:ascii="Arial" w:cs="Arial" w:eastAsia="Arial" w:hAnsi="Arial"/>
                <w:sz w:val="14"/>
                <w:szCs w:val="14"/>
                <w:color w:val="auto"/>
                <w:w w:val="95"/>
              </w:rPr>
              <w:t>(State or other jurisdiction of incorporation)</w:t>
            </w:r>
          </w:p>
        </w:tc>
        <w:tc>
          <w:tcPr>
            <w:tcW w:w="3140" w:type="dxa"/>
            <w:vAlign w:val="bottom"/>
            <w:gridSpan w:val="3"/>
          </w:tcPr>
          <w:p>
            <w:pPr>
              <w:jc w:val="center"/>
              <w:spacing w:after="0"/>
              <w:rPr>
                <w:sz w:val="20"/>
                <w:szCs w:val="20"/>
                <w:color w:val="auto"/>
              </w:rPr>
            </w:pPr>
            <w:r>
              <w:rPr>
                <w:rFonts w:ascii="Arial" w:cs="Arial" w:eastAsia="Arial" w:hAnsi="Arial"/>
                <w:sz w:val="14"/>
                <w:szCs w:val="14"/>
                <w:color w:val="auto"/>
                <w:w w:val="94"/>
              </w:rPr>
              <w:t>(Commission File Number)</w:t>
            </w:r>
          </w:p>
        </w:tc>
        <w:tc>
          <w:tcPr>
            <w:tcW w:w="2840" w:type="dxa"/>
            <w:vAlign w:val="bottom"/>
            <w:gridSpan w:val="3"/>
          </w:tcPr>
          <w:p>
            <w:pPr>
              <w:jc w:val="center"/>
              <w:ind w:left="679"/>
              <w:spacing w:after="0"/>
              <w:rPr>
                <w:sz w:val="20"/>
                <w:szCs w:val="20"/>
                <w:color w:val="auto"/>
              </w:rPr>
            </w:pPr>
            <w:r>
              <w:rPr>
                <w:rFonts w:ascii="Arial" w:cs="Arial" w:eastAsia="Arial" w:hAnsi="Arial"/>
                <w:sz w:val="14"/>
                <w:szCs w:val="14"/>
                <w:color w:val="auto"/>
                <w:w w:val="96"/>
              </w:rPr>
              <w:t>(I.R.S. Employer Identification No.)</w:t>
            </w:r>
          </w:p>
        </w:tc>
      </w:tr>
    </w:tbl>
    <w:p>
      <w:pPr>
        <w:spacing w:after="0" w:line="200" w:lineRule="exact"/>
        <w:rPr>
          <w:sz w:val="24"/>
          <w:szCs w:val="24"/>
          <w:color w:val="auto"/>
        </w:rPr>
      </w:pPr>
    </w:p>
    <w:p>
      <w:pPr>
        <w:spacing w:after="0" w:line="30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2525 West End Avenue, Suite 950, Nashville, Tennessee 37203</w:t>
      </w:r>
    </w:p>
    <w:p>
      <w:pPr>
        <w:spacing w:after="0" w:line="63"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(Address of principal executive offices) (Zip Code)</w:t>
      </w:r>
    </w:p>
    <w:p>
      <w:pPr>
        <w:spacing w:after="0" w:line="32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(615) 255-0068</w:t>
      </w:r>
    </w:p>
    <w:p>
      <w:pPr>
        <w:spacing w:after="0" w:line="76"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(Registrant’s telephone number, including area code)</w:t>
      </w:r>
    </w:p>
    <w:p>
      <w:pPr>
        <w:spacing w:after="0" w:line="27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Not Applicable</w:t>
      </w:r>
    </w:p>
    <w:p>
      <w:pPr>
        <w:spacing w:after="0" w:line="76"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1"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____________________________________________</w:t>
      </w:r>
    </w:p>
    <w:p>
      <w:pPr>
        <w:spacing w:after="0" w:line="21" w:lineRule="exact"/>
        <w:rPr>
          <w:sz w:val="24"/>
          <w:szCs w:val="24"/>
          <w:color w:val="auto"/>
        </w:rPr>
      </w:pPr>
    </w:p>
    <w:p>
      <w:pPr>
        <w:jc w:val="center"/>
        <w:ind w:left="500" w:right="180"/>
        <w:spacing w:after="0" w:line="26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53" w:lineRule="exact"/>
        <w:rPr>
          <w:sz w:val="24"/>
          <w:szCs w:val="24"/>
          <w:color w:val="auto"/>
        </w:rPr>
      </w:pPr>
    </w:p>
    <w:p>
      <w:pPr>
        <w:ind w:left="1020" w:hanging="452"/>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19" w:lineRule="exact"/>
        <w:rPr>
          <w:rFonts w:ascii="Arial" w:cs="Arial" w:eastAsia="Arial" w:hAnsi="Arial"/>
          <w:sz w:val="18"/>
          <w:szCs w:val="18"/>
          <w:color w:val="auto"/>
        </w:rPr>
      </w:pPr>
    </w:p>
    <w:p>
      <w:pPr>
        <w:ind w:left="1020" w:hanging="452"/>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19" w:lineRule="exact"/>
        <w:rPr>
          <w:rFonts w:ascii="Arial" w:cs="Arial" w:eastAsia="Arial" w:hAnsi="Arial"/>
          <w:sz w:val="18"/>
          <w:szCs w:val="18"/>
          <w:color w:val="auto"/>
        </w:rPr>
      </w:pPr>
    </w:p>
    <w:p>
      <w:pPr>
        <w:ind w:left="1020" w:hanging="452"/>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19" w:lineRule="exact"/>
        <w:rPr>
          <w:rFonts w:ascii="Arial" w:cs="Arial" w:eastAsia="Arial" w:hAnsi="Arial"/>
          <w:sz w:val="18"/>
          <w:szCs w:val="18"/>
          <w:color w:val="auto"/>
        </w:rPr>
      </w:pPr>
    </w:p>
    <w:p>
      <w:pPr>
        <w:ind w:right="2020" w:firstLine="568"/>
        <w:spacing w:after="0" w:line="434" w:lineRule="auto"/>
        <w:tabs>
          <w:tab w:leader="none" w:pos="1006"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96" w:lineRule="exact"/>
        <w:rPr>
          <w:sz w:val="24"/>
          <w:szCs w:val="24"/>
          <w:color w:val="auto"/>
        </w:rPr>
      </w:pPr>
    </w:p>
    <w:tbl>
      <w:tblPr>
        <w:tblLayout w:type="fixed"/>
        <w:tblInd w:w="380" w:type="dxa"/>
        <w:tblCellMar>
          <w:top w:w="0" w:type="dxa"/>
          <w:left w:w="0" w:type="dxa"/>
          <w:bottom w:w="0" w:type="dxa"/>
          <w:right w:w="0" w:type="dxa"/>
        </w:tblCellMar>
      </w:tblPr>
      <w:tr>
        <w:trPr>
          <w:trHeight w:val="230"/>
        </w:trPr>
        <w:tc>
          <w:tcPr>
            <w:tcW w:w="3680" w:type="dxa"/>
            <w:vAlign w:val="bottom"/>
            <w:gridSpan w:val="2"/>
          </w:tcPr>
          <w:p>
            <w:pPr>
              <w:ind w:left="1580"/>
              <w:spacing w:after="0"/>
              <w:rPr>
                <w:sz w:val="20"/>
                <w:szCs w:val="20"/>
                <w:color w:val="auto"/>
              </w:rPr>
            </w:pPr>
            <w:r>
              <w:rPr>
                <w:rFonts w:ascii="Arial" w:cs="Arial" w:eastAsia="Arial" w:hAnsi="Arial"/>
                <w:sz w:val="18"/>
                <w:szCs w:val="18"/>
                <w:color w:val="auto"/>
              </w:rPr>
              <w:t>Class</w:t>
            </w: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Trading Symbol</w:t>
            </w:r>
          </w:p>
        </w:tc>
        <w:tc>
          <w:tcPr>
            <w:tcW w:w="4820" w:type="dxa"/>
            <w:vAlign w:val="bottom"/>
          </w:tcPr>
          <w:p>
            <w:pPr>
              <w:jc w:val="center"/>
              <w:spacing w:after="0"/>
              <w:rPr>
                <w:sz w:val="20"/>
                <w:szCs w:val="20"/>
                <w:color w:val="auto"/>
              </w:rPr>
            </w:pPr>
            <w:r>
              <w:rPr>
                <w:rFonts w:ascii="Arial" w:cs="Arial" w:eastAsia="Arial" w:hAnsi="Arial"/>
                <w:sz w:val="18"/>
                <w:szCs w:val="18"/>
                <w:color w:val="auto"/>
                <w:w w:val="90"/>
              </w:rPr>
              <w:t>Name of exchanged on which registered</w:t>
            </w:r>
          </w:p>
        </w:tc>
      </w:tr>
      <w:tr>
        <w:trPr>
          <w:trHeight w:val="27"/>
        </w:trPr>
        <w:tc>
          <w:tcPr>
            <w:tcW w:w="3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r>
      <w:tr>
        <w:trPr>
          <w:trHeight w:val="236"/>
        </w:trPr>
        <w:tc>
          <w:tcPr>
            <w:tcW w:w="3680" w:type="dxa"/>
            <w:vAlign w:val="bottom"/>
            <w:gridSpan w:val="2"/>
          </w:tcPr>
          <w:p>
            <w:pPr>
              <w:ind w:left="20"/>
              <w:spacing w:after="0"/>
              <w:rPr>
                <w:sz w:val="20"/>
                <w:szCs w:val="20"/>
                <w:color w:val="auto"/>
              </w:rPr>
            </w:pPr>
            <w:r>
              <w:rPr>
                <w:rFonts w:ascii="Arial" w:cs="Arial" w:eastAsia="Arial" w:hAnsi="Arial"/>
                <w:sz w:val="18"/>
                <w:szCs w:val="18"/>
                <w:color w:val="auto"/>
              </w:rPr>
              <w:t>Common stock, no par value</w:t>
            </w: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CPIX</w:t>
            </w:r>
          </w:p>
        </w:tc>
        <w:tc>
          <w:tcPr>
            <w:tcW w:w="482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229"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080"/>
          </w:cols>
          <w:pgMar w:left="320" w:top="663"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4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March 4, 2020, the U.S. Securities and Exchange Commission (the “SEC”) issued an order (Release No. 34-88318) under Section 36 of the Securities Exchange Act of 1934, as amended (the “Exchange Act”), granting exemptions from specified provisions of the Exchange Act and certain rules thereunder. On March 25, 2020, the order was modified and superseded by a new SEC order (Release No. 34-88465) that provides conditional relief to public companies with respect to their filing requirements as a result of the recent coronavirus (“COVID-19”) outbreak (the “SEC Order”). Cumberland Pharmaceuticals Inc. (“Cumberland,” “Company,” "we" or "our" ), will be relying on the SEC Order related to the timing of the filing of its Quarterly Report on Form 10-Q for the quarter ended March 31, 2020 (the "Quarterly Report") due to circumstances related to the COVID-19 outbreak.</w:t>
      </w:r>
    </w:p>
    <w:p>
      <w:pPr>
        <w:spacing w:after="0" w:line="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COVID-19, Cumberland has been following the recommendations of health authorities to minimize exposure risk for the Company's employees for the past several weeks, including allowing employees to work remotely to the extent possible. This has impacted the normal interactions and collaborations among Cumberland's accounting and financial reporting personnel involved with the completion of the quarterly review and preparation of the Quarterly Report. This is impacting the timing of the review, preparation and completion of the Company's financial statements for the first quarter of 2020.</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the Company can provide no assurance, Cumberland does plan to file the Quarterly Report on May 22, 2020, but, in any event, no later than June 29, 2020, which is 45 days from the Quarterly Report’s original filing deadline of May 15, 2020. If the Quarterly Report is filed by June 29, 2020, the filing will be deemed timely by the SEC.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updating its risk factor previously disclosed in the Company’s 10-K filed on March 22, 2020 with the following: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be adversely affected by natural disasters, public health epidemics, and other events beyond our control.</w:t>
      </w:r>
    </w:p>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business has been adversely impacted by the recent coronavirus (“COVID-19”) outbreak which has affected more than 200 countries and has significantly disrupted the day-to-day activities of both individuals and companies. For example, we have been following the recommendations of health authorities to minimize exposure risk for our employees for the past several weeks, including allowing employees to work remotely to the extent possible. This has included our home office employees and our hospital and field based sales representatives. We rely on individuals and third-party organizations around the world to supply components, manufacture and distribute our products and execute our clinical trials. We may experience revenue loss, supply interruptions, time delays and incur unplanned expenses as a result of the impact of the ongoing COVID-19 pandemic.</w:t>
      </w:r>
    </w:p>
    <w:p>
      <w:pPr>
        <w:sectPr>
          <w:pgSz w:w="11900" w:h="16838" w:orient="portrait"/>
          <w:cols w:equalWidth="0" w:num="1">
            <w:col w:w="11240"/>
          </w:cols>
          <w:pgMar w:left="320" w:top="553"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9"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Cumberland Pharmaceuticals Inc.</w:t>
      </w:r>
    </w:p>
    <w:p>
      <w:pPr>
        <w:spacing w:after="0" w:line="387" w:lineRule="exact"/>
        <w:rPr>
          <w:sz w:val="20"/>
          <w:szCs w:val="20"/>
          <w:color w:val="auto"/>
        </w:rPr>
      </w:pPr>
    </w:p>
    <w:p>
      <w:pPr>
        <w:ind w:left="40"/>
        <w:spacing w:after="0"/>
        <w:tabs>
          <w:tab w:leader="none" w:pos="7000" w:val="left"/>
          <w:tab w:leader="none" w:pos="8340" w:val="left"/>
        </w:tabs>
        <w:rPr>
          <w:sz w:val="20"/>
          <w:szCs w:val="20"/>
          <w:color w:val="auto"/>
        </w:rPr>
      </w:pPr>
      <w:r>
        <w:rPr>
          <w:rFonts w:ascii="Arial" w:cs="Arial" w:eastAsia="Arial" w:hAnsi="Arial"/>
          <w:sz w:val="18"/>
          <w:szCs w:val="18"/>
          <w:color w:val="auto"/>
        </w:rPr>
        <w:t>Dated: May 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Michael Bonner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31750</wp:posOffset>
            </wp:positionV>
            <wp:extent cx="1851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57"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Michael Bonner</w:t>
      </w:r>
    </w:p>
    <w:p>
      <w:pPr>
        <w:spacing w:after="0" w:line="63"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00"/>
      </w:cols>
      <w:pgMar w:left="320" w:top="75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2020-05-08T16:27:41Z</dcterms:created>
  <dcterms:modified xsi:type="dcterms:W3CDTF">2020-05-08T16:27:41Z</dcterms:modified>
</cp:coreProperties>
</file>