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21590</wp:posOffset>
            </wp:positionH>
            <wp:positionV relativeFrom="paragraph">
              <wp:posOffset>3175</wp:posOffset>
            </wp:positionV>
            <wp:extent cx="139700" cy="1885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8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340" w:right="340" w:hanging="260"/>
        <w:spacing w:after="0" w:line="180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4525" cy="5029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02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4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Pavliv Leo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1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Chief Development Off.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129,618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7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7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-2188210</wp:posOffset>
            </wp:positionV>
            <wp:extent cx="29210" cy="2193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Retired from position as Executive Vice President, Chief Development &amp; Operations Officer on May 31, 2022. All unvested equity awards forfeited upon retirement.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Leo Pavliv by /s/ John Hamm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-9525</wp:posOffset>
            </wp:positionV>
            <wp:extent cx="1262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773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8593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2022-07-01T14:15:15Z</dcterms:created>
  <dcterms:modified xsi:type="dcterms:W3CDTF">2022-07-01T14:15:15Z</dcterms:modified>
</cp:coreProperties>
</file>