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August 8, 2023 (August 8, 2023)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CUMBERLAND PHARMACEUTICALS INC.</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500" w:type="dxa"/>
        <w:tblCellMar>
          <w:top w:w="0" w:type="dxa"/>
          <w:left w:w="0" w:type="dxa"/>
          <w:bottom w:w="0" w:type="dxa"/>
          <w:right w:w="0" w:type="dxa"/>
        </w:tblCellMar>
      </w:tblPr>
      <w:tr>
        <w:trPr>
          <w:trHeight w:val="261"/>
        </w:trPr>
        <w:tc>
          <w:tcPr>
            <w:tcW w:w="3720" w:type="dxa"/>
            <w:vAlign w:val="bottom"/>
          </w:tcPr>
          <w:p>
            <w:pPr>
              <w:jc w:val="center"/>
              <w:ind w:right="350"/>
              <w:spacing w:after="0"/>
              <w:rPr>
                <w:sz w:val="20"/>
                <w:szCs w:val="20"/>
                <w:color w:val="auto"/>
              </w:rPr>
            </w:pPr>
            <w:r>
              <w:rPr>
                <w:rFonts w:ascii="Arial" w:cs="Arial" w:eastAsia="Arial" w:hAnsi="Arial"/>
                <w:sz w:val="18"/>
                <w:szCs w:val="18"/>
                <w:b w:val="1"/>
                <w:bCs w:val="1"/>
                <w:color w:val="auto"/>
                <w:w w:val="81"/>
              </w:rPr>
              <w:t>Tennessee</w:t>
            </w:r>
          </w:p>
        </w:tc>
        <w:tc>
          <w:tcPr>
            <w:tcW w:w="2980" w:type="dxa"/>
            <w:vAlign w:val="bottom"/>
          </w:tcPr>
          <w:p>
            <w:pPr>
              <w:jc w:val="right"/>
              <w:ind w:right="1090"/>
              <w:spacing w:after="0"/>
              <w:rPr>
                <w:sz w:val="20"/>
                <w:szCs w:val="20"/>
                <w:color w:val="auto"/>
              </w:rPr>
            </w:pPr>
            <w:r>
              <w:rPr>
                <w:rFonts w:ascii="Arial" w:cs="Arial" w:eastAsia="Arial" w:hAnsi="Arial"/>
                <w:sz w:val="18"/>
                <w:szCs w:val="18"/>
                <w:b w:val="1"/>
                <w:bCs w:val="1"/>
                <w:color w:val="auto"/>
              </w:rPr>
              <w:t>001-33637</w:t>
            </w:r>
          </w:p>
        </w:tc>
        <w:tc>
          <w:tcPr>
            <w:tcW w:w="3200" w:type="dxa"/>
            <w:vAlign w:val="bottom"/>
          </w:tcPr>
          <w:p>
            <w:pPr>
              <w:jc w:val="right"/>
              <w:ind w:right="770"/>
              <w:spacing w:after="0"/>
              <w:rPr>
                <w:sz w:val="20"/>
                <w:szCs w:val="20"/>
                <w:color w:val="auto"/>
              </w:rPr>
            </w:pPr>
            <w:r>
              <w:rPr>
                <w:rFonts w:ascii="Arial" w:cs="Arial" w:eastAsia="Arial" w:hAnsi="Arial"/>
                <w:sz w:val="18"/>
                <w:szCs w:val="18"/>
                <w:b w:val="1"/>
                <w:bCs w:val="1"/>
                <w:color w:val="auto"/>
              </w:rPr>
              <w:t>62-1765329</w:t>
            </w:r>
          </w:p>
        </w:tc>
      </w:tr>
      <w:tr>
        <w:trPr>
          <w:trHeight w:val="202"/>
        </w:trPr>
        <w:tc>
          <w:tcPr>
            <w:tcW w:w="3720" w:type="dxa"/>
            <w:vAlign w:val="bottom"/>
          </w:tcPr>
          <w:p>
            <w:pPr>
              <w:jc w:val="center"/>
              <w:ind w:right="330"/>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2980" w:type="dxa"/>
            <w:vAlign w:val="bottom"/>
          </w:tcPr>
          <w:p>
            <w:pPr>
              <w:spacing w:after="0"/>
              <w:rPr>
                <w:sz w:val="17"/>
                <w:szCs w:val="17"/>
                <w:color w:val="auto"/>
              </w:rPr>
            </w:pPr>
          </w:p>
        </w:tc>
        <w:tc>
          <w:tcPr>
            <w:tcW w:w="3200" w:type="dxa"/>
            <w:vAlign w:val="bottom"/>
          </w:tcPr>
          <w:p>
            <w:pPr>
              <w:jc w:val="center"/>
              <w:ind w:left="510"/>
              <w:spacing w:after="0" w:line="201" w:lineRule="exact"/>
              <w:rPr>
                <w:sz w:val="20"/>
                <w:szCs w:val="20"/>
                <w:color w:val="auto"/>
              </w:rPr>
            </w:pPr>
            <w:r>
              <w:rPr>
                <w:rFonts w:ascii="Arial" w:cs="Arial" w:eastAsia="Arial" w:hAnsi="Arial"/>
                <w:sz w:val="18"/>
                <w:szCs w:val="18"/>
                <w:color w:val="auto"/>
                <w:w w:val="93"/>
              </w:rPr>
              <w:t>(I.R.S. Employer Identification No.)</w:t>
            </w:r>
          </w:p>
        </w:tc>
      </w:tr>
      <w:tr>
        <w:trPr>
          <w:trHeight w:val="230"/>
        </w:trPr>
        <w:tc>
          <w:tcPr>
            <w:tcW w:w="3720" w:type="dxa"/>
            <w:vAlign w:val="bottom"/>
          </w:tcPr>
          <w:p>
            <w:pPr>
              <w:jc w:val="center"/>
              <w:ind w:right="350"/>
              <w:spacing w:after="0"/>
              <w:rPr>
                <w:sz w:val="20"/>
                <w:szCs w:val="20"/>
                <w:color w:val="auto"/>
              </w:rPr>
            </w:pPr>
            <w:r>
              <w:rPr>
                <w:rFonts w:ascii="Arial" w:cs="Arial" w:eastAsia="Arial" w:hAnsi="Arial"/>
                <w:sz w:val="18"/>
                <w:szCs w:val="18"/>
                <w:color w:val="auto"/>
                <w:w w:val="92"/>
              </w:rPr>
              <w:t>organization)</w:t>
            </w:r>
          </w:p>
        </w:tc>
        <w:tc>
          <w:tcPr>
            <w:tcW w:w="2980" w:type="dxa"/>
            <w:vAlign w:val="bottom"/>
          </w:tcPr>
          <w:p>
            <w:pPr>
              <w:jc w:val="center"/>
              <w:ind w:right="90"/>
              <w:spacing w:after="0"/>
              <w:rPr>
                <w:sz w:val="20"/>
                <w:szCs w:val="20"/>
                <w:color w:val="auto"/>
              </w:rPr>
            </w:pPr>
            <w:r>
              <w:rPr>
                <w:rFonts w:ascii="Arial" w:cs="Arial" w:eastAsia="Arial" w:hAnsi="Arial"/>
                <w:sz w:val="18"/>
                <w:szCs w:val="18"/>
                <w:color w:val="auto"/>
                <w:w w:val="93"/>
              </w:rPr>
              <w:t>(Commission File Number)</w:t>
            </w:r>
          </w:p>
        </w:tc>
        <w:tc>
          <w:tcPr>
            <w:tcW w:w="3200" w:type="dxa"/>
            <w:vAlign w:val="bottom"/>
          </w:tcPr>
          <w:p>
            <w:pPr>
              <w:spacing w:after="0"/>
              <w:rPr>
                <w:sz w:val="20"/>
                <w:szCs w:val="20"/>
                <w:color w:val="auto"/>
              </w:rPr>
            </w:pPr>
          </w:p>
        </w:tc>
      </w:tr>
    </w:tbl>
    <w:p>
      <w:pPr>
        <w:spacing w:after="0" w:line="117"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5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8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92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30" w:type="dxa"/>
        <w:tblCellMar>
          <w:top w:w="0" w:type="dxa"/>
          <w:left w:w="0" w:type="dxa"/>
          <w:bottom w:w="0" w:type="dxa"/>
          <w:right w:w="0" w:type="dxa"/>
        </w:tblCellMar>
      </w:tblPr>
      <w:tr>
        <w:trPr>
          <w:trHeight w:val="225"/>
        </w:trPr>
        <w:tc>
          <w:tcPr>
            <w:tcW w:w="3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23"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9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On August 8, 2023, Cumberland Pharmaceuticals Inc. (the "Company") issued a press release which provided a company update and the financial results for the three and six months ended June 30, 2023. A copy of the press release is attached as </w:t>
      </w:r>
      <w:r>
        <w:rPr>
          <w:rFonts w:ascii="Arial" w:cs="Arial" w:eastAsia="Arial" w:hAnsi="Arial"/>
          <w:sz w:val="20"/>
          <w:szCs w:val="20"/>
          <w:u w:val="single" w:color="auto"/>
          <w:color w:val="0000FF"/>
        </w:rPr>
        <w:t>Exhibit 99.1</w:t>
      </w:r>
      <w:r>
        <w:rPr>
          <w:rFonts w:ascii="Arial" w:cs="Arial" w:eastAsia="Arial" w:hAnsi="Arial"/>
          <w:sz w:val="20"/>
          <w:szCs w:val="20"/>
          <w:color w:val="auto"/>
        </w:rPr>
        <w:t xml:space="preserve"> to this Current Report on Form 8-K and is incorporated by reference into this Item 2.02.</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pacing w:after="0" w:line="1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34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40" w:type="dxa"/>
            <w:vAlign w:val="bottom"/>
            <w:gridSpan w:val="3"/>
          </w:tcPr>
          <w:p>
            <w:pPr>
              <w:spacing w:after="0"/>
              <w:rPr>
                <w:sz w:val="20"/>
                <w:szCs w:val="20"/>
                <w:color w:val="auto"/>
              </w:rPr>
            </w:pPr>
            <w:r>
              <w:rPr>
                <w:rFonts w:ascii="Arial" w:cs="Arial" w:eastAsia="Arial" w:hAnsi="Arial"/>
                <w:sz w:val="13"/>
                <w:szCs w:val="13"/>
                <w:b w:val="1"/>
                <w:bCs w:val="1"/>
                <w:color w:val="auto"/>
              </w:rPr>
              <w:t>Description</w:t>
            </w:r>
          </w:p>
        </w:tc>
      </w:tr>
      <w:tr>
        <w:trPr>
          <w:trHeight w:val="29"/>
        </w:trPr>
        <w:tc>
          <w:tcPr>
            <w:tcW w:w="1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r>
      <w:tr>
        <w:trPr>
          <w:trHeight w:val="358"/>
        </w:trPr>
        <w:tc>
          <w:tcPr>
            <w:tcW w:w="1660" w:type="dxa"/>
            <w:vAlign w:val="bottom"/>
            <w:gridSpan w:val="2"/>
          </w:tcPr>
          <w:p>
            <w:pPr>
              <w:ind w:left="1340"/>
              <w:spacing w:after="0"/>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0000FF"/>
              </w:rPr>
              <w:t>Press release dated August 8, 2023</w:t>
            </w:r>
          </w:p>
        </w:tc>
      </w:tr>
      <w:tr>
        <w:trPr>
          <w:trHeight w:val="999"/>
        </w:trPr>
        <w:tc>
          <w:tcPr>
            <w:tcW w:w="134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00" w:type="dxa"/>
            <w:vAlign w:val="bottom"/>
            <w:tcBorders>
              <w:top w:val="single" w:sz="8" w:color="0000FF"/>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Cumberland Pharmaceuticals Inc.</w:t>
      </w:r>
    </w:p>
    <w:p>
      <w:pPr>
        <w:spacing w:after="0" w:line="293" w:lineRule="exact"/>
        <w:rPr>
          <w:sz w:val="20"/>
          <w:szCs w:val="20"/>
          <w:color w:val="auto"/>
        </w:rPr>
      </w:pPr>
    </w:p>
    <w:p>
      <w:pPr>
        <w:ind w:left="60"/>
        <w:spacing w:after="0"/>
        <w:tabs>
          <w:tab w:leader="none" w:pos="7020" w:val="left"/>
          <w:tab w:leader="none" w:pos="8400" w:val="left"/>
        </w:tabs>
        <w:rPr>
          <w:sz w:val="20"/>
          <w:szCs w:val="20"/>
          <w:color w:val="auto"/>
        </w:rPr>
      </w:pPr>
      <w:r>
        <w:rPr>
          <w:rFonts w:ascii="Arial" w:cs="Arial" w:eastAsia="Arial" w:hAnsi="Arial"/>
          <w:sz w:val="18"/>
          <w:szCs w:val="18"/>
          <w:color w:val="auto"/>
        </w:rPr>
        <w:t>Dated: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14605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John Hamm</w:t>
      </w:r>
    </w:p>
    <w:p>
      <w:pPr>
        <w:spacing w:after="0" w:line="36"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093"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732155</wp:posOffset>
            </wp:positionV>
            <wp:extent cx="349758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4975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Cumberland Pharmaceuticals Reports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Revenue and Earnings Growth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Second Quarter 2023</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NASHVILLE, TENNESSEE (Tuesday, August 8, 2023) - Cumberland Pharmaceuticals Inc. (NASDAQ: CPIX)</w:t>
      </w:r>
      <w:r>
        <w:rPr>
          <w:rFonts w:ascii="Arial" w:cs="Arial" w:eastAsia="Arial" w:hAnsi="Arial"/>
          <w:sz w:val="22"/>
          <w:szCs w:val="22"/>
          <w:color w:val="auto"/>
        </w:rPr>
        <w:t>, a specialty</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 company, today announced significantly improved financial results and a favorable overall company performance for the second quarter of 2023.</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Highlights include:</w:t>
      </w:r>
    </w:p>
    <w:p>
      <w:pPr>
        <w:spacing w:after="0" w:line="152" w:lineRule="exact"/>
        <w:rPr>
          <w:sz w:val="20"/>
          <w:szCs w:val="20"/>
          <w:color w:val="auto"/>
        </w:rPr>
      </w:pPr>
    </w:p>
    <w:p>
      <w:pPr>
        <w:ind w:left="660" w:hanging="328"/>
        <w:spacing w:after="0" w:line="26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$10.9 million in revenue during the second quarter, an increase of 6% over the prior year period, and an increase of 18% sequentially from the first quarter of this year.</w:t>
      </w:r>
    </w:p>
    <w:p>
      <w:pPr>
        <w:spacing w:after="0" w:line="107"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1"/>
          <w:szCs w:val="21"/>
          <w:color w:val="auto"/>
        </w:rPr>
      </w:pPr>
      <w:r>
        <w:rPr>
          <w:rFonts w:ascii="Arial" w:cs="Arial" w:eastAsia="Arial" w:hAnsi="Arial"/>
          <w:sz w:val="21"/>
          <w:szCs w:val="21"/>
          <w:color w:val="auto"/>
        </w:rPr>
        <w:t>Positive earnings for the second consecutive quarter, with $1.1 million in net income for the first half of the year.</w:t>
      </w:r>
    </w:p>
    <w:p>
      <w:pPr>
        <w:spacing w:after="0" w:line="163" w:lineRule="exact"/>
        <w:rPr>
          <w:rFonts w:ascii="Arial" w:cs="Arial" w:eastAsia="Arial" w:hAnsi="Arial"/>
          <w:sz w:val="21"/>
          <w:szCs w:val="21"/>
          <w:color w:val="auto"/>
        </w:rPr>
      </w:pPr>
    </w:p>
    <w:p>
      <w:pPr>
        <w:ind w:left="660" w:hanging="328"/>
        <w:spacing w:after="0" w:line="26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Adjusted earnings for the first half of 2023 of $4.0 million, or $0.27 a share, which is up significantly from the same period last year.</w:t>
      </w:r>
    </w:p>
    <w:p>
      <w:pPr>
        <w:spacing w:after="0" w:line="107"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$89.4 million in total assets, $52.5 million in total liabilities, and $36.8 million of shareholders’ equity at the end of June 2023.</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Cumberland will report its full second quarter 2023 financial results and provide a company update via a conference call today at 4:30 p.m. Eastern Time.</w:t>
      </w:r>
    </w:p>
    <w:p>
      <w:pPr>
        <w:spacing w:after="0" w:line="107"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“We have had an overall successful first half of the year, with several key developments, including FDA approval for the use of our Caldolor</w:t>
      </w:r>
      <w:r>
        <w:rPr>
          <w:rFonts w:ascii="Arial" w:cs="Arial" w:eastAsia="Arial" w:hAnsi="Arial"/>
          <w:sz w:val="11"/>
          <w:szCs w:val="11"/>
          <w:b w:val="1"/>
          <w:bCs w:val="1"/>
          <w:color w:val="auto"/>
        </w:rPr>
        <w:t>®</w:t>
      </w:r>
      <w:r>
        <w:rPr>
          <w:rFonts w:ascii="Arial" w:cs="Arial" w:eastAsia="Arial" w:hAnsi="Arial"/>
          <w:sz w:val="20"/>
          <w:szCs w:val="20"/>
          <w:color w:val="auto"/>
        </w:rPr>
        <w:t xml:space="preserve"> product for treating infants,” said Cumberland’s CEO, A.J. Kazimi. “We look forward to building on this success throughout the remainder of the year, as we continue to provide innovative products to improve patients’ lives.”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Recent Company developments include</w:t>
      </w:r>
      <w:r>
        <w:rPr>
          <w:rFonts w:ascii="Arial" w:cs="Arial" w:eastAsia="Arial" w:hAnsi="Arial"/>
          <w:sz w:val="22"/>
          <w:szCs w:val="22"/>
          <w:b w:val="1"/>
          <w:bCs w:val="1"/>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Caldolor for Treating Infants &amp; Supporting Study Publication</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May 2023, Cumberland announced that the FDA approved expanded labeling for its Caldolor product, an intravenously delivered formulation of ibuprofen, to now include use in infants. The non-narcotic agent may now be administered for the treatment of pain and fever in patients 3 to 6 months of age. With this newly approved labeling, Caldolor is the only non-opioid product approved to treat pain in infants that is delivered through injection.</w:t>
      </w:r>
    </w:p>
    <w:p>
      <w:pPr>
        <w:spacing w:after="0" w:line="12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June 2023, the Company shared the positive results from a clinical study investigating the safety and pharmacokinetics of Caldolor in newborn infants. The clinical study evaluated the safety and drug exposure profile of Caldolor in 24 hospitalized infants between the ages of 1 and 6 months who required treatment for pain or fever. The results of the study support the growing body of evidence that demonstrates Caldolor is a safe therapeutic option available to practitioners for the treatment of fever and pain in infants and children.</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Clinical Development Programs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Cumberland has been evaluating its ifetroban product candidate, a selective thromboxane-prostanoid receptor antagonist, in a series of clinical studies. It has been dosed in nearly 1,400 subjects and has been found to be safe and well tolerated in healthy volunteers and various patient populations.</w:t>
      </w:r>
    </w:p>
    <w:p>
      <w:pPr>
        <w:spacing w:after="0" w:line="11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Patient enrollment is well underway in two of the company’s sponsored Phase II clinical programs to evaluate ifetroban in Systemic Sclerosis, or scleroderma, a debilitating autoimmune disorder characterized by diffuse fibrosis of the skin and internal organs; and the cardiomyopathy associated with Duchenne Muscular Dystrophy (“DMD”), a rare and fatal genetic neuromuscular disease that results in deterioration of the skeletal, heart and lung muscles.</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In June 2023, Cumberland presented results from an interim analysis for the FIGHT DMD</w:t>
      </w:r>
      <w:r>
        <w:rPr>
          <w:rFonts w:ascii="Arial" w:cs="Arial" w:eastAsia="Arial" w:hAnsi="Arial"/>
          <w:sz w:val="11"/>
          <w:szCs w:val="11"/>
          <w:color w:val="auto"/>
        </w:rPr>
        <w:t>TM</w:t>
      </w:r>
      <w:r>
        <w:rPr>
          <w:rFonts w:ascii="Arial" w:cs="Arial" w:eastAsia="Arial" w:hAnsi="Arial"/>
          <w:sz w:val="20"/>
          <w:szCs w:val="20"/>
          <w:color w:val="auto"/>
        </w:rPr>
        <w:t xml:space="preserve"> trial at the 29th annual Parent Project Muscular Dystrophy Conference in Dallas. The interim analysis was conducted on data from 25 patients with DMD who completed six of the 12 total months of treatment and assessments. Both doses of ifetroban were reported well tolerated in DMD participants ages 7 years of age or older. The FDA Orphan Product Division previously awarded Cumberland $1.0 million in funding under its Orphan Products Grants Program to support this trial. This was the first DMD trial awarded such funding.</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In May 2023, Cumberland announced that the FDA had cleared the Investigational New Drug Application for a Phase II study in patients with Idiopathic Pulmonary Fibrosis (“IPF”), the most common form of progressive fibrosing interstitial lung disease. As a result, the company will launch its FIGHTING FIBROSIS trial designed to enroll 128 patients in over 20 medical centers of excellence across the U.S. This Phase II clinical trial will study the safety, tolerability and efficacy of oral ifetroban in patients with IPF. Recent studies have shown ifetroban can both prevent and enhance resolution of lung fibrosis in multiple preclinical models.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Cumberland has also completed Phase II clinical programs with ifetroban in patients with Hepatorenal Syndrome, Portal Hypertension and Aspirin Exasperated Respiratory Disease. Additional preclinical and pilot clinical studies of ifetroban are underway, including several investigator-initiated trials.</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company plans to complete each of its company-sponsored studies, analyze their final data and announce top-line results before deciding on the best development path for the registration of ifetroban.</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FDA Fee Waivers</w:t>
      </w:r>
    </w:p>
    <w:p>
      <w:pPr>
        <w:spacing w:after="0" w:line="158"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During the second quarter of 2023, the FDA informed Cumberland that it had granted two barrier-to-innovation waivers that would result in refunds totaling approximately $2.8 million that the company previously paid for prescription drug program fees.</w:t>
      </w:r>
    </w:p>
    <w:p>
      <w:pPr>
        <w:spacing w:after="0" w:line="37"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The FDA granted each waiver after concluding that Cumberland met the statutory criteria based on the innovation associated with its ifetroban clinical development programs, as the funds could be better used to advance those studies, which are designed to address a series of unmet medical needs. Cumberland received both refunds in June 2023.</w:t>
      </w:r>
    </w:p>
    <w:p>
      <w:pPr>
        <w:sectPr>
          <w:pgSz w:w="11900" w:h="16838" w:orient="portrait"/>
          <w:cols w:equalWidth="0" w:num="1">
            <w:col w:w="11240"/>
          </w:cols>
          <w:pgMar w:left="320" w:top="1044"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Sancuso</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Acquisition and Approval of New Manufacturing Plant</w:t>
      </w:r>
    </w:p>
    <w:p>
      <w:pPr>
        <w:spacing w:after="0" w:line="15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 early 2022, Cumberland announced its acquisition of the U.S. rights to oncology-supportive drug Sancuso from the U.S. subsidiary of Kyowa Kirin, Inc., a Japan-based specialty pharmaceutical company. 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spacing w:after="0" w:line="70"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Cumberland assumed commercial responsibility for the product in the U.S. – including its marketing, promotion, distribution, manufacturing and medical support activities – early last year and largely completed the transition of Sancuso to Cumberland throughout the remainder of the year. In late 2022, the FDA approved moving the product’s manufacture to a new facility, which will be source of future product supplies. In June 2023, Cumberland launched an expanded oncology sales division to feature the product, which continues to be a significant contributor to Cumberland’s business.</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Nordic Pharma RediTrex</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Agreement Restructured</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2022, Cumberland restructured its agreement with Nordic Pharma, who previously provided Cumberland with the license for the U.S. rights associated with the RediTrex product line. Nordic has assumed responsibility for the product in the U.S. as of July 1, 2023.</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RESULTS</w:t>
      </w:r>
      <w:r>
        <w:rPr>
          <w:rFonts w:ascii="Arial" w:cs="Arial" w:eastAsia="Arial" w:hAnsi="Arial"/>
          <w:sz w:val="22"/>
          <w:szCs w:val="22"/>
          <w:b w:val="1"/>
          <w:bCs w:val="1"/>
          <w:color w:val="auto"/>
        </w:rPr>
        <w:t>:</w:t>
      </w:r>
    </w:p>
    <w:p>
      <w:pPr>
        <w:spacing w:after="0" w:line="193" w:lineRule="exact"/>
        <w:rPr>
          <w:sz w:val="20"/>
          <w:szCs w:val="20"/>
          <w:color w:val="auto"/>
        </w:rPr>
      </w:pPr>
    </w:p>
    <w:p>
      <w:pPr>
        <w:jc w:val="both"/>
        <w:ind w:right="80"/>
        <w:spacing w:after="0" w:line="234" w:lineRule="auto"/>
        <w:rPr>
          <w:sz w:val="20"/>
          <w:szCs w:val="20"/>
          <w:color w:val="auto"/>
        </w:rPr>
      </w:pPr>
      <w:r>
        <w:rPr>
          <w:rFonts w:ascii="Arial" w:cs="Arial" w:eastAsia="Arial" w:hAnsi="Arial"/>
          <w:sz w:val="22"/>
          <w:szCs w:val="22"/>
          <w:b w:val="1"/>
          <w:bCs w:val="1"/>
          <w:color w:val="auto"/>
        </w:rPr>
        <w:t xml:space="preserve">Net Revenue: </w:t>
      </w:r>
      <w:r>
        <w:rPr>
          <w:rFonts w:ascii="Arial" w:cs="Arial" w:eastAsia="Arial" w:hAnsi="Arial"/>
          <w:sz w:val="22"/>
          <w:szCs w:val="22"/>
          <w:color w:val="auto"/>
        </w:rPr>
        <w:t>For the three months ended June 30, 2023, net revenues were $10.9 million. Net revenue by product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second quarter of 2023, included $4.1 million for Kristalose</w:t>
      </w:r>
      <w:r>
        <w:rPr>
          <w:rFonts w:ascii="Arial" w:cs="Arial" w:eastAsia="Arial" w:hAnsi="Arial"/>
          <w:sz w:val="28"/>
          <w:szCs w:val="28"/>
          <w:color w:val="auto"/>
          <w:vertAlign w:val="superscript"/>
        </w:rPr>
        <w:t>®</w:t>
      </w:r>
      <w:r>
        <w:rPr>
          <w:rFonts w:ascii="Arial" w:cs="Arial" w:eastAsia="Arial" w:hAnsi="Arial"/>
          <w:sz w:val="22"/>
          <w:szCs w:val="22"/>
          <w:color w:val="auto"/>
        </w:rPr>
        <w:t>, $2.1 million for Vibativ</w:t>
      </w:r>
      <w:r>
        <w:rPr>
          <w:rFonts w:ascii="Arial" w:cs="Arial" w:eastAsia="Arial" w:hAnsi="Arial"/>
          <w:sz w:val="28"/>
          <w:szCs w:val="28"/>
          <w:color w:val="auto"/>
          <w:vertAlign w:val="superscript"/>
        </w:rPr>
        <w:t>®</w:t>
      </w:r>
      <w:r>
        <w:rPr>
          <w:rFonts w:ascii="Arial" w:cs="Arial" w:eastAsia="Arial" w:hAnsi="Arial"/>
          <w:sz w:val="22"/>
          <w:szCs w:val="22"/>
          <w:color w:val="auto"/>
        </w:rPr>
        <w:t>, $1.9 million for Sancuso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and $1.2 million for Caldolor</w:t>
      </w:r>
      <w:r>
        <w:rPr>
          <w:rFonts w:ascii="Arial" w:cs="Arial" w:eastAsia="Arial" w:hAnsi="Arial"/>
          <w:sz w:val="28"/>
          <w:szCs w:val="28"/>
          <w:color w:val="auto"/>
          <w:vertAlign w:val="superscript"/>
        </w:rPr>
        <w:t>®</w:t>
      </w:r>
      <w:r>
        <w:rPr>
          <w:rFonts w:ascii="Arial" w:cs="Arial" w:eastAsia="Arial" w:hAnsi="Arial"/>
          <w:sz w:val="22"/>
          <w:szCs w:val="22"/>
          <w:color w:val="auto"/>
        </w:rPr>
        <w:t>.</w:t>
      </w:r>
    </w:p>
    <w:p>
      <w:pPr>
        <w:spacing w:after="0" w:line="49" w:lineRule="exact"/>
        <w:rPr>
          <w:sz w:val="20"/>
          <w:szCs w:val="20"/>
          <w:color w:val="auto"/>
        </w:rPr>
      </w:pPr>
    </w:p>
    <w:p>
      <w:pPr>
        <w:jc w:val="both"/>
        <w:ind w:right="80"/>
        <w:spacing w:after="0" w:line="263" w:lineRule="auto"/>
        <w:rPr>
          <w:sz w:val="20"/>
          <w:szCs w:val="20"/>
          <w:color w:val="auto"/>
        </w:rPr>
      </w:pPr>
      <w:r>
        <w:rPr>
          <w:rFonts w:ascii="Arial" w:cs="Arial" w:eastAsia="Arial" w:hAnsi="Arial"/>
          <w:sz w:val="22"/>
          <w:szCs w:val="22"/>
          <w:color w:val="auto"/>
        </w:rPr>
        <w:t>Year-to-date 2023 net revenues were $20.1 million. Year-to-date net revenues by product were $8.4 million for Kristalose, $4.0 million for Vibativ, $3.8 million for Sancuso and $2.2 million for Caldolor.</w:t>
      </w:r>
    </w:p>
    <w:p>
      <w:pPr>
        <w:spacing w:after="0" w:line="101" w:lineRule="exact"/>
        <w:rPr>
          <w:sz w:val="20"/>
          <w:szCs w:val="20"/>
          <w:color w:val="auto"/>
        </w:rPr>
      </w:pPr>
    </w:p>
    <w:p>
      <w:pPr>
        <w:jc w:val="both"/>
        <w:ind w:right="80"/>
        <w:spacing w:after="0" w:line="269" w:lineRule="auto"/>
        <w:rPr>
          <w:sz w:val="20"/>
          <w:szCs w:val="20"/>
          <w:color w:val="auto"/>
        </w:rPr>
      </w:pPr>
      <w:r>
        <w:rPr>
          <w:rFonts w:ascii="Arial" w:cs="Arial" w:eastAsia="Arial" w:hAnsi="Arial"/>
          <w:sz w:val="22"/>
          <w:szCs w:val="22"/>
          <w:b w:val="1"/>
          <w:bCs w:val="1"/>
          <w:color w:val="auto"/>
        </w:rPr>
        <w:t xml:space="preserve">Operating Expenses: </w:t>
      </w:r>
      <w:r>
        <w:rPr>
          <w:rFonts w:ascii="Arial" w:cs="Arial" w:eastAsia="Arial" w:hAnsi="Arial"/>
          <w:sz w:val="22"/>
          <w:szCs w:val="22"/>
          <w:color w:val="auto"/>
        </w:rPr>
        <w:t>Total operating expenses were $10.9 million for the second quarter of 2023 and $21.6 million for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half of the year.</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Net Income: </w:t>
      </w:r>
      <w:r>
        <w:rPr>
          <w:rFonts w:ascii="Arial" w:cs="Arial" w:eastAsia="Arial" w:hAnsi="Arial"/>
          <w:sz w:val="22"/>
          <w:szCs w:val="22"/>
          <w:color w:val="auto"/>
        </w:rPr>
        <w:t>The Net Income for the second quarter of 2023 was $0.9 million, or $0.06 a share, and $1.1 million year to date, or</w:t>
      </w:r>
      <w:r>
        <w:rPr>
          <w:rFonts w:ascii="Arial" w:cs="Arial" w:eastAsia="Arial" w:hAnsi="Arial"/>
          <w:sz w:val="22"/>
          <w:szCs w:val="22"/>
          <w:b w:val="1"/>
          <w:bCs w:val="1"/>
          <w:color w:val="auto"/>
        </w:rPr>
        <w:t xml:space="preserve"> </w:t>
      </w:r>
      <w:r>
        <w:rPr>
          <w:rFonts w:ascii="Arial" w:cs="Arial" w:eastAsia="Arial" w:hAnsi="Arial"/>
          <w:sz w:val="22"/>
          <w:szCs w:val="22"/>
          <w:color w:val="auto"/>
        </w:rPr>
        <w:t>$0.07 a share.</w:t>
      </w:r>
    </w:p>
    <w:p>
      <w:pPr>
        <w:spacing w:after="0" w:line="94" w:lineRule="exact"/>
        <w:rPr>
          <w:sz w:val="20"/>
          <w:szCs w:val="20"/>
          <w:color w:val="auto"/>
        </w:rPr>
      </w:pPr>
    </w:p>
    <w:p>
      <w:pPr>
        <w:jc w:val="both"/>
        <w:ind w:right="80"/>
        <w:spacing w:after="0" w:line="256" w:lineRule="auto"/>
        <w:rPr>
          <w:sz w:val="20"/>
          <w:szCs w:val="20"/>
          <w:color w:val="auto"/>
        </w:rPr>
      </w:pPr>
      <w:r>
        <w:rPr>
          <w:rFonts w:ascii="Arial" w:cs="Arial" w:eastAsia="Arial" w:hAnsi="Arial"/>
          <w:sz w:val="22"/>
          <w:szCs w:val="22"/>
          <w:b w:val="1"/>
          <w:bCs w:val="1"/>
          <w:color w:val="auto"/>
        </w:rPr>
        <w:t xml:space="preserve">Adjusted earnings: </w:t>
      </w:r>
      <w:r>
        <w:rPr>
          <w:rFonts w:ascii="Arial" w:cs="Arial" w:eastAsia="Arial" w:hAnsi="Arial"/>
          <w:sz w:val="22"/>
          <w:szCs w:val="22"/>
          <w:color w:val="auto"/>
        </w:rPr>
        <w:t>Adjusted earnings for the second quarter of 2023 were $2.3 million, or $0.16 a share and $4.0 million year</w:t>
      </w:r>
      <w:r>
        <w:rPr>
          <w:rFonts w:ascii="Arial" w:cs="Arial" w:eastAsia="Arial" w:hAnsi="Arial"/>
          <w:sz w:val="22"/>
          <w:szCs w:val="22"/>
          <w:b w:val="1"/>
          <w:bCs w:val="1"/>
          <w:color w:val="auto"/>
        </w:rPr>
        <w:t xml:space="preserve"> </w:t>
      </w:r>
      <w:r>
        <w:rPr>
          <w:rFonts w:ascii="Arial" w:cs="Arial" w:eastAsia="Arial" w:hAnsi="Arial"/>
          <w:sz w:val="22"/>
          <w:szCs w:val="22"/>
          <w:color w:val="auto"/>
        </w:rPr>
        <w:t>to date, or $0.27 a share. The adjusted earnings calculation does not include the benefit of the $0.2 million of Vibativ cost of goods, which were received with the product acquisition. It also does not include the benefit of the $0.3 million of Sancuso cost of goods, which were received with that product’s acquisition.</w:t>
      </w:r>
    </w:p>
    <w:p>
      <w:pPr>
        <w:spacing w:after="0" w:line="95" w:lineRule="exact"/>
        <w:rPr>
          <w:sz w:val="20"/>
          <w:szCs w:val="20"/>
          <w:color w:val="auto"/>
        </w:rPr>
      </w:pPr>
    </w:p>
    <w:p>
      <w:pPr>
        <w:jc w:val="both"/>
        <w:ind w:right="80"/>
        <w:spacing w:after="0" w:line="282" w:lineRule="auto"/>
        <w:rPr>
          <w:sz w:val="20"/>
          <w:szCs w:val="20"/>
          <w:color w:val="auto"/>
        </w:rPr>
      </w:pPr>
      <w:r>
        <w:rPr>
          <w:rFonts w:ascii="Arial" w:cs="Arial" w:eastAsia="Arial" w:hAnsi="Arial"/>
          <w:sz w:val="22"/>
          <w:szCs w:val="22"/>
          <w:b w:val="1"/>
          <w:bCs w:val="1"/>
          <w:color w:val="auto"/>
        </w:rPr>
        <w:t xml:space="preserve">Balance Sheet: </w:t>
      </w:r>
      <w:r>
        <w:rPr>
          <w:rFonts w:ascii="Arial" w:cs="Arial" w:eastAsia="Arial" w:hAnsi="Arial"/>
          <w:sz w:val="22"/>
          <w:szCs w:val="22"/>
          <w:color w:val="auto"/>
        </w:rPr>
        <w:t>At June 30, 2023, Cumberland had $89.4 million in total assets, including $18.2 million in cash and cash</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w:t>
      </w:r>
    </w:p>
    <w:p>
      <w:pPr>
        <w:spacing w:after="0" w:line="73" w:lineRule="exact"/>
        <w:rPr>
          <w:sz w:val="20"/>
          <w:szCs w:val="20"/>
          <w:color w:val="auto"/>
        </w:rPr>
      </w:pPr>
    </w:p>
    <w:p>
      <w:pPr>
        <w:jc w:val="both"/>
        <w:ind w:right="80"/>
        <w:spacing w:after="0" w:line="276" w:lineRule="auto"/>
        <w:rPr>
          <w:sz w:val="20"/>
          <w:szCs w:val="20"/>
          <w:color w:val="auto"/>
        </w:rPr>
      </w:pPr>
      <w:r>
        <w:rPr>
          <w:rFonts w:ascii="Arial" w:cs="Arial" w:eastAsia="Arial" w:hAnsi="Arial"/>
          <w:sz w:val="22"/>
          <w:szCs w:val="22"/>
          <w:color w:val="auto"/>
        </w:rPr>
        <w:t>Total liabilities were $52.5 million, including $13.1 million outstanding on the Company's revolving line of credit. Total shareholders' equity was $36.8 million.</w:t>
      </w:r>
    </w:p>
    <w:p>
      <w:pPr>
        <w:sectPr>
          <w:pgSz w:w="11900" w:h="16838" w:orient="portrait"/>
          <w:cols w:equalWidth="0" w:num="1">
            <w:col w:w="11240"/>
          </w:cols>
          <w:pgMar w:left="320" w:top="1044"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EARNINGS REPORT CALL:</w:t>
      </w:r>
    </w:p>
    <w:p>
      <w:pPr>
        <w:spacing w:after="0" w:line="226" w:lineRule="exact"/>
        <w:rPr>
          <w:sz w:val="20"/>
          <w:szCs w:val="20"/>
          <w:color w:val="auto"/>
        </w:rPr>
      </w:pPr>
    </w:p>
    <w:p>
      <w:pPr>
        <w:ind w:right="520"/>
        <w:spacing w:after="0" w:line="263" w:lineRule="auto"/>
        <w:rPr>
          <w:sz w:val="20"/>
          <w:szCs w:val="20"/>
          <w:color w:val="auto"/>
        </w:rPr>
      </w:pPr>
      <w:r>
        <w:rPr>
          <w:rFonts w:ascii="Arial" w:cs="Arial" w:eastAsia="Arial" w:hAnsi="Arial"/>
          <w:sz w:val="22"/>
          <w:szCs w:val="22"/>
          <w:color w:val="auto"/>
        </w:rPr>
        <w:t>A conference call will be held on August 8 at 4:30 p.m. Eastern Time, to discuss the results. To participate in the call, please register at: https://register.vevent.com/register/BIeb03c2e461914b7d94f99de2f7535170.</w:t>
      </w:r>
    </w:p>
    <w:p>
      <w:pPr>
        <w:spacing w:after="0" w:line="175"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Registered participants can dial in from their phone using a dial-in and PIN number that will be provided to them. Alternatively, they can choose a “Call Me” option to have the system automatically call them at the start of the conference.</w:t>
      </w:r>
    </w:p>
    <w:p>
      <w:pPr>
        <w:spacing w:after="0" w:line="11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 replay of the call will be available for one year and can be accessed via Cumberland’s website or by visiting https://edge.media-server.com/mmc/p/rzi8z7sm.</w:t>
      </w:r>
    </w:p>
    <w:p>
      <w:pPr>
        <w:sectPr>
          <w:pgSz w:w="11900" w:h="16838" w:orient="portrait"/>
          <w:cols w:equalWidth="0" w:num="1">
            <w:col w:w="11240"/>
          </w:cols>
          <w:pgMar w:left="320" w:top="1044"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ABOUT CUMBERLAND PHARMACEUTICALS:</w:t>
      </w:r>
    </w:p>
    <w:p>
      <w:pPr>
        <w:spacing w:after="0" w:line="152"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Cumberland Pharmaceuticals Inc. </w:t>
      </w:r>
      <w:r>
        <w:rPr>
          <w:rFonts w:ascii="Arial" w:cs="Arial" w:eastAsia="Arial" w:hAnsi="Arial"/>
          <w:sz w:val="19"/>
          <w:szCs w:val="19"/>
          <w:color w:val="auto"/>
        </w:rPr>
        <w:t>is the largest biopharmaceutical company founded and headquartered in Tennessee and is</w:t>
      </w:r>
      <w:r>
        <w:rPr>
          <w:rFonts w:ascii="Arial" w:cs="Arial" w:eastAsia="Arial" w:hAnsi="Arial"/>
          <w:sz w:val="19"/>
          <w:szCs w:val="19"/>
          <w:b w:val="1"/>
          <w:bCs w:val="1"/>
          <w:color w:val="auto"/>
        </w:rPr>
        <w:t xml:space="preserve"> </w:t>
      </w:r>
      <w:r>
        <w:rPr>
          <w:rFonts w:ascii="Arial" w:cs="Arial" w:eastAsia="Arial" w:hAnsi="Arial"/>
          <w:sz w:val="19"/>
          <w:szCs w:val="19"/>
          <w:color w:val="auto"/>
        </w:rPr>
        <w:t>focused on the delivery of high-quality, prescription brands designed to improve patient care. The company develops, acquires, and commercializes products for the hospital acute care, gastroenterology and oncology market segments.</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The Company’s portfolio of FDA-approved brands includes:</w:t>
      </w:r>
    </w:p>
    <w:p>
      <w:pPr>
        <w:spacing w:after="0" w:line="140" w:lineRule="exact"/>
        <w:rPr>
          <w:sz w:val="20"/>
          <w:szCs w:val="20"/>
          <w:color w:val="auto"/>
        </w:rPr>
      </w:pPr>
    </w:p>
    <w:p>
      <w:pPr>
        <w:ind w:left="580" w:hanging="329"/>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22"/>
          <w:szCs w:val="22"/>
          <w:b w:val="1"/>
          <w:bCs w:val="1"/>
          <w:color w:val="auto"/>
        </w:rPr>
        <w:t>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acetylcysteine</w:t>
      </w:r>
      <w:r>
        <w:rPr>
          <w:rFonts w:ascii="Arial" w:cs="Arial" w:eastAsia="Arial" w:hAnsi="Arial"/>
          <w:sz w:val="22"/>
          <w:szCs w:val="22"/>
          <w:color w:val="auto"/>
        </w:rPr>
        <w:t>) injection, for the treatment of acetaminophen poisoning;</w:t>
      </w:r>
    </w:p>
    <w:p>
      <w:pPr>
        <w:spacing w:after="0" w:line="83" w:lineRule="exact"/>
        <w:rPr>
          <w:rFonts w:ascii="Arial" w:cs="Arial" w:eastAsia="Arial" w:hAnsi="Arial"/>
          <w:sz w:val="18"/>
          <w:szCs w:val="18"/>
          <w:b w:val="1"/>
          <w:bCs w:val="1"/>
          <w:color w:val="auto"/>
        </w:rPr>
      </w:pPr>
    </w:p>
    <w:p>
      <w:pPr>
        <w:ind w:left="580" w:hanging="329"/>
        <w:spacing w:after="0"/>
        <w:tabs>
          <w:tab w:leader="none" w:pos="5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ibuprofen</w:t>
      </w:r>
      <w:r>
        <w:rPr>
          <w:rFonts w:ascii="Arial" w:cs="Arial" w:eastAsia="Arial" w:hAnsi="Arial"/>
          <w:sz w:val="22"/>
          <w:szCs w:val="22"/>
          <w:color w:val="auto"/>
        </w:rPr>
        <w:t>) injection, for the treatment of pain and fever;</w:t>
      </w:r>
    </w:p>
    <w:p>
      <w:pPr>
        <w:spacing w:after="0" w:line="83" w:lineRule="exact"/>
        <w:rPr>
          <w:rFonts w:ascii="Arial" w:cs="Arial" w:eastAsia="Arial" w:hAnsi="Arial"/>
          <w:sz w:val="22"/>
          <w:szCs w:val="22"/>
          <w:b w:val="1"/>
          <w:bCs w:val="1"/>
          <w:color w:val="auto"/>
        </w:rPr>
      </w:pPr>
    </w:p>
    <w:p>
      <w:pPr>
        <w:ind w:left="580" w:hanging="329"/>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22"/>
          <w:szCs w:val="22"/>
          <w:b w:val="1"/>
          <w:bCs w:val="1"/>
          <w:color w:val="auto"/>
        </w:rPr>
        <w:t>Kristalose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lactulose</w:t>
      </w:r>
      <w:r>
        <w:rPr>
          <w:rFonts w:ascii="Arial" w:cs="Arial" w:eastAsia="Arial" w:hAnsi="Arial"/>
          <w:sz w:val="22"/>
          <w:szCs w:val="22"/>
          <w:color w:val="auto"/>
        </w:rPr>
        <w:t>) oral, a prescription laxative, for the treatment of constipation;</w:t>
      </w:r>
    </w:p>
    <w:p>
      <w:pPr>
        <w:spacing w:after="0" w:line="75" w:lineRule="exact"/>
        <w:rPr>
          <w:rFonts w:ascii="Arial" w:cs="Arial" w:eastAsia="Arial" w:hAnsi="Arial"/>
          <w:sz w:val="18"/>
          <w:szCs w:val="18"/>
          <w:b w:val="1"/>
          <w:bCs w:val="1"/>
          <w:color w:val="auto"/>
        </w:rPr>
      </w:pPr>
    </w:p>
    <w:p>
      <w:pPr>
        <w:ind w:left="580" w:right="360" w:hanging="329"/>
        <w:spacing w:after="0" w:line="229" w:lineRule="auto"/>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22"/>
          <w:szCs w:val="22"/>
          <w:b w:val="1"/>
          <w:bCs w:val="1"/>
          <w:color w:val="auto"/>
        </w:rPr>
        <w:t>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w:t>
      </w:r>
      <w:r>
        <w:rPr>
          <w:rFonts w:ascii="Arial" w:cs="Arial" w:eastAsia="Arial" w:hAnsi="Arial"/>
          <w:sz w:val="22"/>
          <w:szCs w:val="22"/>
          <w:color w:val="auto"/>
        </w:rPr>
        <w:t>, (</w:t>
      </w:r>
      <w:r>
        <w:rPr>
          <w:rFonts w:ascii="Arial" w:cs="Arial" w:eastAsia="Arial" w:hAnsi="Arial"/>
          <w:sz w:val="22"/>
          <w:szCs w:val="22"/>
          <w:i w:val="1"/>
          <w:iCs w:val="1"/>
          <w:color w:val="auto"/>
        </w:rPr>
        <w:t>omeprazole, clarithromycin, amoxicillin</w:t>
      </w:r>
      <w:r>
        <w:rPr>
          <w:rFonts w:ascii="Arial" w:cs="Arial" w:eastAsia="Arial" w:hAnsi="Arial"/>
          <w:sz w:val="22"/>
          <w:szCs w:val="22"/>
          <w:color w:val="auto"/>
        </w:rPr>
        <w:t>) oral, for the treatment of Helicobacter pylori (</w:t>
      </w:r>
      <w:r>
        <w:rPr>
          <w:rFonts w:ascii="Arial" w:cs="Arial" w:eastAsia="Arial" w:hAnsi="Arial"/>
          <w:sz w:val="22"/>
          <w:szCs w:val="22"/>
          <w:i w:val="1"/>
          <w:iCs w:val="1"/>
          <w:color w:val="auto"/>
        </w:rPr>
        <w:t>H. pylori</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infection and related duodenal ulcer disease;</w:t>
      </w:r>
    </w:p>
    <w:p>
      <w:pPr>
        <w:spacing w:after="0" w:line="112" w:lineRule="exact"/>
        <w:rPr>
          <w:rFonts w:ascii="Arial" w:cs="Arial" w:eastAsia="Arial" w:hAnsi="Arial"/>
          <w:sz w:val="18"/>
          <w:szCs w:val="18"/>
          <w:b w:val="1"/>
          <w:bCs w:val="1"/>
          <w:color w:val="auto"/>
        </w:rPr>
      </w:pPr>
    </w:p>
    <w:p>
      <w:pPr>
        <w:ind w:left="580" w:hanging="329"/>
        <w:spacing w:after="0" w:line="282" w:lineRule="auto"/>
        <w:tabs>
          <w:tab w:leader="none" w:pos="58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Sancuso</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granisetron)</w:t>
      </w:r>
      <w:r>
        <w:rPr>
          <w:rFonts w:ascii="Arial" w:cs="Arial" w:eastAsia="Arial" w:hAnsi="Arial"/>
          <w:sz w:val="22"/>
          <w:szCs w:val="22"/>
          <w:b w:val="1"/>
          <w:bCs w:val="1"/>
          <w:color w:val="auto"/>
        </w:rPr>
        <w:t xml:space="preserve"> </w:t>
      </w:r>
      <w:r>
        <w:rPr>
          <w:rFonts w:ascii="Arial" w:cs="Arial" w:eastAsia="Arial" w:hAnsi="Arial"/>
          <w:sz w:val="22"/>
          <w:szCs w:val="22"/>
          <w:color w:val="auto"/>
        </w:rPr>
        <w:t>transdermal, for the prevention of nausea and vomiting in patients receiving certain types of</w:t>
      </w:r>
      <w:r>
        <w:rPr>
          <w:rFonts w:ascii="Arial" w:cs="Arial" w:eastAsia="Arial" w:hAnsi="Arial"/>
          <w:sz w:val="22"/>
          <w:szCs w:val="22"/>
          <w:b w:val="1"/>
          <w:bCs w:val="1"/>
          <w:color w:val="auto"/>
        </w:rPr>
        <w:t xml:space="preserve"> </w:t>
      </w:r>
      <w:r>
        <w:rPr>
          <w:rFonts w:ascii="Arial" w:cs="Arial" w:eastAsia="Arial" w:hAnsi="Arial"/>
          <w:sz w:val="22"/>
          <w:szCs w:val="22"/>
          <w:color w:val="auto"/>
        </w:rPr>
        <w:t>chemotherapy treatment;</w:t>
      </w:r>
    </w:p>
    <w:p>
      <w:pPr>
        <w:spacing w:after="0" w:line="74" w:lineRule="exact"/>
        <w:rPr>
          <w:rFonts w:ascii="Arial" w:cs="Arial" w:eastAsia="Arial" w:hAnsi="Arial"/>
          <w:sz w:val="22"/>
          <w:szCs w:val="22"/>
          <w:color w:val="auto"/>
        </w:rPr>
      </w:pPr>
    </w:p>
    <w:p>
      <w:pPr>
        <w:ind w:left="580" w:right="360" w:hanging="329"/>
        <w:spacing w:after="0" w:line="226" w:lineRule="auto"/>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22"/>
          <w:szCs w:val="22"/>
          <w:b w:val="1"/>
          <w:bCs w:val="1"/>
          <w:color w:val="auto"/>
        </w:rPr>
        <w:t>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conivaptan</w:t>
      </w:r>
      <w:r>
        <w:rPr>
          <w:rFonts w:ascii="Arial" w:cs="Arial" w:eastAsia="Arial" w:hAnsi="Arial"/>
          <w:sz w:val="22"/>
          <w:szCs w:val="22"/>
          <w:color w:val="auto"/>
        </w:rPr>
        <w:t>) injection, to raise serum sodium levels in hospitalized patients with euvolemic and</w:t>
      </w:r>
      <w:r>
        <w:rPr>
          <w:rFonts w:ascii="Arial" w:cs="Arial" w:eastAsia="Arial" w:hAnsi="Arial"/>
          <w:sz w:val="22"/>
          <w:szCs w:val="22"/>
          <w:b w:val="1"/>
          <w:bCs w:val="1"/>
          <w:color w:val="auto"/>
        </w:rPr>
        <w:t xml:space="preserve"> </w:t>
      </w:r>
      <w:r>
        <w:rPr>
          <w:rFonts w:ascii="Arial" w:cs="Arial" w:eastAsia="Arial" w:hAnsi="Arial"/>
          <w:sz w:val="22"/>
          <w:szCs w:val="22"/>
          <w:color w:val="auto"/>
        </w:rPr>
        <w:t>hypervolemic hyponatremia; and</w:t>
      </w:r>
    </w:p>
    <w:p>
      <w:pPr>
        <w:spacing w:after="0" w:line="120" w:lineRule="exact"/>
        <w:rPr>
          <w:rFonts w:ascii="Arial" w:cs="Arial" w:eastAsia="Arial" w:hAnsi="Arial"/>
          <w:sz w:val="18"/>
          <w:szCs w:val="18"/>
          <w:b w:val="1"/>
          <w:bCs w:val="1"/>
          <w:color w:val="auto"/>
        </w:rPr>
      </w:pPr>
    </w:p>
    <w:p>
      <w:pPr>
        <w:ind w:left="580" w:right="360" w:hanging="329"/>
        <w:spacing w:after="0" w:line="254" w:lineRule="auto"/>
        <w:tabs>
          <w:tab w:leader="none" w:pos="58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Vibativ</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telavancin</w:t>
      </w:r>
      <w:r>
        <w:rPr>
          <w:rFonts w:ascii="Arial" w:cs="Arial" w:eastAsia="Arial" w:hAnsi="Arial"/>
          <w:sz w:val="20"/>
          <w:szCs w:val="20"/>
          <w:color w:val="auto"/>
        </w:rPr>
        <w:t>) injection, for the treatment of certain serious bacterial infections including hospital-acquired and</w:t>
      </w:r>
      <w:r>
        <w:rPr>
          <w:rFonts w:ascii="Arial" w:cs="Arial" w:eastAsia="Arial" w:hAnsi="Arial"/>
          <w:sz w:val="20"/>
          <w:szCs w:val="20"/>
          <w:b w:val="1"/>
          <w:bCs w:val="1"/>
          <w:color w:val="auto"/>
        </w:rPr>
        <w:t xml:space="preserve"> </w:t>
      </w:r>
      <w:r>
        <w:rPr>
          <w:rFonts w:ascii="Arial" w:cs="Arial" w:eastAsia="Arial" w:hAnsi="Arial"/>
          <w:sz w:val="20"/>
          <w:szCs w:val="20"/>
          <w:color w:val="auto"/>
        </w:rPr>
        <w:t>ventilator-associated bacterial pneumonia, as well as complicated skin and skin structure infections;</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also has a series of Phase II clinical programs underway evaluating its ifetroban product candidate in patients with cardiomyopathy associated with Duchenne Muscular Dystrophy and Systemic Sclerosis. Additionally, Cumberland recently received FDA clearance to proceed directly to a Phase II study for patients with Idiopathic Pulmonary Fibrosis, the most common form of progressive fibrosing interstitial lung disease.</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more information on Cumberland’s approved products, including full prescribing information, please visit links to the individual product websites, which can be found on the company’s website at www.cumberlandpharma.com.</w:t>
      </w:r>
    </w:p>
    <w:p>
      <w:pPr>
        <w:sectPr>
          <w:pgSz w:w="11900" w:h="16838" w:orient="portrait"/>
          <w:cols w:equalWidth="0" w:num="1">
            <w:col w:w="11240"/>
          </w:cols>
          <w:pgMar w:left="320" w:top="895"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About 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(acetylcysteine) Injection</w:t>
      </w:r>
    </w:p>
    <w:p>
      <w:pPr>
        <w:spacing w:after="0" w:line="9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www.acetadote.com.</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(ibuprofen) Injection</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Caldolor is indicated in adults and pediatric patients for the management of mild to moderate pain and management of moderate to severe pain as an adjunct to opioid analgesics, as well as the reduction of fever. It was the first FDA-approved intravenous therapy for fever. Caldolor is contraindicated in patients with known hypersensitivity to ibuprofen or other NSAIDs,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www.caldolor.com.</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Kristalose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(lactulose) Oral Solution</w:t>
      </w:r>
    </w:p>
    <w:p>
      <w:pPr>
        <w:spacing w:after="0" w:line="9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www.kristalose.com</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 (omeprazole, clarithromycin, amoxicillin)</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Omeprazole is an antisecretory drug, which works by decreasing the amount of acid the stomach produces. Clarithromycin and amoxicillin are antibacterial drugs, which inhibit the growth of bacteria allowing the stomach lining to heal. Omeclamox-Pak is contraindicated in patients with a history of hypersensitivity to omeprazole, any macrolide antibiotic or penicillin. For full prescribing and safety information, visit www.omeclamox.com.</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Sancuso</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granisetron) Transdermal System</w:t>
      </w:r>
    </w:p>
    <w:p>
      <w:pPr>
        <w:spacing w:after="0" w:line="158"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Sancuso is the only skin patch approved by the FDA for the prevention of chemotherapy-induced nausea and vomiting (CINV) in patients receiving moderately and/or highly emetogenic chemotherapy. When applied 24 to 48 hours before receiving chemotherapy, the SANCUSO patch slowly and continuously releases the medicine contained in the adhesive through clean and intact skin areas into the patient’s bloodstream. It can be worn for up to seven days in a row for chemotherapy regimens of up to five consecutive days. For full prescribing and safety information, visit www.sancuso.com.</w:t>
      </w:r>
    </w:p>
    <w:p>
      <w:pPr>
        <w:sectPr>
          <w:pgSz w:w="11900" w:h="16838" w:orient="portrait"/>
          <w:cols w:equalWidth="0" w:num="1">
            <w:col w:w="11240"/>
          </w:cols>
          <w:pgMar w:left="320" w:top="1038"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About 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(conivaptan hydrochloride) Injection</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www.vaprisol.com.</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Vibativ</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(telavancin) for Injection</w:t>
      </w:r>
    </w:p>
    <w:p>
      <w:pPr>
        <w:spacing w:after="0" w:line="8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www.vibativ.com.</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CUMBERLAND EMERGING TECHNOLOGIES: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Cumberland Emerging Technologies, Inc. (</w:t>
      </w:r>
      <w:r>
        <w:rPr>
          <w:rFonts w:ascii="Arial" w:cs="Arial" w:eastAsia="Arial" w:hAnsi="Arial"/>
          <w:sz w:val="21"/>
          <w:szCs w:val="21"/>
          <w:color w:val="0563C1"/>
        </w:rPr>
        <w:t>www.cet-fund.com</w:t>
      </w:r>
      <w:r>
        <w:rPr>
          <w:rFonts w:ascii="Arial" w:cs="Arial" w:eastAsia="Arial" w:hAnsi="Arial"/>
          <w:sz w:val="21"/>
          <w:szCs w:val="21"/>
          <w:color w:val="auto"/>
        </w:rPr>
        <w:t>) is a joint initiative between Cumberland Pharmaceuticals Inc., Vanderbilt University, LaunchTN, and WinHealth. The mission of CET is to advance biomedical technologies and products conceived at Vanderbilt University and other regional research centers towards the marketplace.</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sectPr>
          <w:pgSz w:w="11900" w:h="16838" w:orient="portrait"/>
          <w:cols w:equalWidth="0" w:num="1">
            <w:col w:w="11240"/>
          </w:cols>
          <w:pgMar w:left="320" w:top="1038"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u w:val="single" w:color="auto"/>
          <w:color w:val="auto"/>
        </w:rPr>
        <w:t>FORWARD LOOKING STATEMENTS:</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“should,” “seek,” “anticipate,” “look forward” and other comparable terms or the negative thereof. As with any business, all phases of Cumberland’s operations are subject to factors outside of its control, and any one or combination of these factors could materially affect Cumberland’s operation results. These factors include market conditions, competition, an inability of manufacturers to produce Cumberland’s products on a timely basis, failure of manufacturers to comply with regulations applicable to pharmaceutical manufacturers, natural disasters, public health epidemics, maintaining an effective sales and marketing infrastructure, and other events beyond the company’s control as more fully discussed in its most recent 10-K as filed with the U.S. Securities and Exchange Commission ("SEC"), as well as the Company's other filings with the SEC from time to time.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auto"/>
        </w:rPr>
        <w:t>SOURCE: Cumberland Pharmaceuticals Inc.</w:t>
      </w:r>
    </w:p>
    <w:p>
      <w:pPr>
        <w:spacing w:after="0" w:line="200" w:lineRule="exact"/>
        <w:rPr>
          <w:sz w:val="20"/>
          <w:szCs w:val="20"/>
          <w:color w:val="auto"/>
        </w:rPr>
      </w:pPr>
    </w:p>
    <w:p>
      <w:pPr>
        <w:spacing w:after="0" w:line="399" w:lineRule="exact"/>
        <w:rPr>
          <w:sz w:val="20"/>
          <w:szCs w:val="20"/>
          <w:color w:val="auto"/>
        </w:rPr>
      </w:pPr>
    </w:p>
    <w:tbl>
      <w:tblPr>
        <w:tblLayout w:type="fixed"/>
        <w:tblInd w:w="1890" w:type="dxa"/>
        <w:tblCellMar>
          <w:top w:w="0" w:type="dxa"/>
          <w:left w:w="0" w:type="dxa"/>
          <w:bottom w:w="0" w:type="dxa"/>
          <w:right w:w="0" w:type="dxa"/>
        </w:tblCellMar>
      </w:tblPr>
      <w:tr>
        <w:trPr>
          <w:trHeight w:val="243"/>
        </w:trPr>
        <w:tc>
          <w:tcPr>
            <w:tcW w:w="288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Investor Contact:</w:t>
            </w:r>
          </w:p>
        </w:tc>
        <w:tc>
          <w:tcPr>
            <w:tcW w:w="880" w:type="dxa"/>
            <w:vAlign w:val="bottom"/>
            <w:tcBorders>
              <w:top w:val="single" w:sz="8" w:color="auto"/>
              <w:bottom w:val="single" w:sz="8" w:color="auto"/>
              <w:right w:val="single" w:sz="8" w:color="auto"/>
            </w:tcBorders>
          </w:tcPr>
          <w:p>
            <w:pPr>
              <w:spacing w:after="0"/>
              <w:rPr>
                <w:sz w:val="21"/>
                <w:szCs w:val="21"/>
                <w:color w:val="auto"/>
              </w:rPr>
            </w:pPr>
          </w:p>
        </w:tc>
        <w:tc>
          <w:tcPr>
            <w:tcW w:w="37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Media Contact:</w:t>
            </w:r>
          </w:p>
        </w:tc>
      </w:tr>
      <w:tr>
        <w:trPr>
          <w:trHeight w:val="230"/>
        </w:trPr>
        <w:tc>
          <w:tcPr>
            <w:tcW w:w="2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Shayla Simpson</w:t>
            </w:r>
          </w:p>
        </w:tc>
        <w:tc>
          <w:tcPr>
            <w:tcW w:w="880" w:type="dxa"/>
            <w:vAlign w:val="bottom"/>
            <w:tcBorders>
              <w:bottom w:val="single" w:sz="8" w:color="auto"/>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Molly Aggas</w:t>
            </w:r>
          </w:p>
        </w:tc>
      </w:tr>
      <w:tr>
        <w:trPr>
          <w:trHeight w:val="229"/>
        </w:trPr>
        <w:tc>
          <w:tcPr>
            <w:tcW w:w="2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Cumberland Pharmaceuticals Inc.</w:t>
            </w:r>
          </w:p>
        </w:tc>
        <w:tc>
          <w:tcPr>
            <w:tcW w:w="88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Dalton Agency</w:t>
            </w:r>
          </w:p>
        </w:tc>
      </w:tr>
      <w:tr>
        <w:trPr>
          <w:trHeight w:val="223"/>
        </w:trPr>
        <w:tc>
          <w:tcPr>
            <w:tcW w:w="2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(615) 255-0068</w:t>
            </w:r>
          </w:p>
        </w:tc>
        <w:tc>
          <w:tcPr>
            <w:tcW w:w="88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(704) 611-6641</w:t>
            </w:r>
          </w:p>
        </w:tc>
      </w:tr>
      <w:tr>
        <w:trPr>
          <w:trHeight w:val="598"/>
        </w:trPr>
        <w:tc>
          <w:tcPr>
            <w:tcW w:w="2880" w:type="dxa"/>
            <w:vAlign w:val="bottom"/>
          </w:tcPr>
          <w:p>
            <w:pPr>
              <w:spacing w:after="0"/>
              <w:rPr>
                <w:sz w:val="24"/>
                <w:szCs w:val="24"/>
                <w:color w:val="auto"/>
              </w:rPr>
            </w:pPr>
          </w:p>
        </w:tc>
        <w:tc>
          <w:tcPr>
            <w:tcW w:w="4600" w:type="dxa"/>
            <w:vAlign w:val="bottom"/>
            <w:gridSpan w:val="2"/>
          </w:tcPr>
          <w:p>
            <w:pPr>
              <w:ind w:left="420"/>
              <w:spacing w:after="0"/>
              <w:rPr>
                <w:sz w:val="20"/>
                <w:szCs w:val="20"/>
                <w:color w:val="auto"/>
              </w:rPr>
            </w:pPr>
            <w:r>
              <w:rPr>
                <w:rFonts w:ascii="Arial" w:cs="Arial" w:eastAsia="Arial" w:hAnsi="Arial"/>
                <w:sz w:val="22"/>
                <w:szCs w:val="22"/>
                <w:color w:val="auto"/>
              </w:rPr>
              <w:t>- MORE -</w:t>
            </w:r>
          </w:p>
        </w:tc>
      </w:tr>
    </w:tbl>
    <w:p>
      <w:pPr>
        <w:sectPr>
          <w:pgSz w:w="11900" w:h="16838" w:orient="portrait"/>
          <w:cols w:equalWidth="0" w:num="1">
            <w:col w:w="11240"/>
          </w:cols>
          <w:pgMar w:left="320" w:top="89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December 31, 2022</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18,249,086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19,757,970</w:t>
            </w:r>
          </w:p>
        </w:tc>
        <w:tc>
          <w:tcPr>
            <w:tcW w:w="0" w:type="dxa"/>
            <w:vAlign w:val="bottom"/>
          </w:tcPr>
          <w:p>
            <w:pPr>
              <w:spacing w:after="0"/>
              <w:rPr>
                <w:sz w:val="1"/>
                <w:szCs w:val="1"/>
                <w:color w:val="auto"/>
              </w:rPr>
            </w:pPr>
          </w:p>
        </w:tc>
      </w:tr>
      <w:tr>
        <w:trPr>
          <w:trHeight w:val="237"/>
        </w:trPr>
        <w:tc>
          <w:tcPr>
            <w:tcW w:w="72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12,218,756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13,163,681</w:t>
            </w:r>
          </w:p>
        </w:tc>
        <w:tc>
          <w:tcPr>
            <w:tcW w:w="0" w:type="dxa"/>
            <w:vAlign w:val="bottom"/>
          </w:tcPr>
          <w:p>
            <w:pPr>
              <w:spacing w:after="0"/>
              <w:rPr>
                <w:sz w:val="1"/>
                <w:szCs w:val="1"/>
                <w:color w:val="auto"/>
              </w:rPr>
            </w:pPr>
          </w:p>
        </w:tc>
      </w:tr>
      <w:tr>
        <w:trPr>
          <w:trHeight w:val="23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10,928,406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9,863,581</w:t>
            </w:r>
          </w:p>
        </w:tc>
        <w:tc>
          <w:tcPr>
            <w:tcW w:w="0" w:type="dxa"/>
            <w:vAlign w:val="bottom"/>
          </w:tcPr>
          <w:p>
            <w:pPr>
              <w:spacing w:after="0"/>
              <w:rPr>
                <w:sz w:val="1"/>
                <w:szCs w:val="1"/>
                <w:color w:val="auto"/>
              </w:rPr>
            </w:pPr>
          </w:p>
        </w:tc>
      </w:tr>
      <w:tr>
        <w:trPr>
          <w:trHeight w:val="229"/>
        </w:trPr>
        <w:tc>
          <w:tcPr>
            <w:tcW w:w="7200" w:type="dxa"/>
            <w:vAlign w:val="bottom"/>
          </w:tcPr>
          <w:p>
            <w:pPr>
              <w:ind w:left="36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2,277,885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3,084,978</w:t>
            </w:r>
          </w:p>
        </w:tc>
        <w:tc>
          <w:tcPr>
            <w:tcW w:w="0" w:type="dxa"/>
            <w:vAlign w:val="bottom"/>
          </w:tcPr>
          <w:p>
            <w:pPr>
              <w:spacing w:after="0"/>
              <w:rPr>
                <w:sz w:val="1"/>
                <w:szCs w:val="1"/>
                <w:color w:val="auto"/>
              </w:rPr>
            </w:pPr>
          </w:p>
        </w:tc>
      </w:tr>
      <w:tr>
        <w:trPr>
          <w:trHeight w:val="237"/>
        </w:trPr>
        <w:tc>
          <w:tcPr>
            <w:tcW w:w="7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43,674,133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45,870,210</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Non-current inventories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6,694,452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7,527,167</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284,039</w:t>
            </w: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28,269,781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30,590,678</w:t>
            </w:r>
          </w:p>
        </w:tc>
        <w:tc>
          <w:tcPr>
            <w:tcW w:w="0" w:type="dxa"/>
            <w:vAlign w:val="bottom"/>
          </w:tcPr>
          <w:p>
            <w:pPr>
              <w:spacing w:after="0"/>
              <w:rPr>
                <w:sz w:val="1"/>
                <w:szCs w:val="1"/>
                <w:color w:val="auto"/>
              </w:rPr>
            </w:pPr>
          </w:p>
        </w:tc>
      </w:tr>
      <w:tr>
        <w:trPr>
          <w:trHeight w:val="23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914,000</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6,831,502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5,218,403</w:t>
            </w:r>
          </w:p>
        </w:tc>
        <w:tc>
          <w:tcPr>
            <w:tcW w:w="0" w:type="dxa"/>
            <w:vAlign w:val="bottom"/>
          </w:tcPr>
          <w:p>
            <w:pPr>
              <w:spacing w:after="0"/>
              <w:rPr>
                <w:sz w:val="1"/>
                <w:szCs w:val="1"/>
                <w:color w:val="auto"/>
              </w:rPr>
            </w:pPr>
          </w:p>
        </w:tc>
      </w:tr>
      <w:tr>
        <w:trPr>
          <w:trHeight w:val="24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2,607,109</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2,520,661</w:t>
            </w:r>
          </w:p>
        </w:tc>
        <w:tc>
          <w:tcPr>
            <w:tcW w:w="0" w:type="dxa"/>
            <w:vAlign w:val="bottom"/>
          </w:tcPr>
          <w:p>
            <w:pPr>
              <w:spacing w:after="0"/>
              <w:rPr>
                <w:sz w:val="1"/>
                <w:szCs w:val="1"/>
                <w:color w:val="auto"/>
              </w:rPr>
            </w:pPr>
          </w:p>
        </w:tc>
      </w:tr>
      <w:tr>
        <w:trPr>
          <w:trHeight w:val="223"/>
        </w:trPr>
        <w:tc>
          <w:tcPr>
            <w:tcW w:w="720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89,375,360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92,925,158</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3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10,912,044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10,819,011</w:t>
            </w:r>
          </w:p>
        </w:tc>
        <w:tc>
          <w:tcPr>
            <w:tcW w:w="0" w:type="dxa"/>
            <w:vAlign w:val="bottom"/>
          </w:tcPr>
          <w:p>
            <w:pPr>
              <w:spacing w:after="0"/>
              <w:rPr>
                <w:sz w:val="1"/>
                <w:szCs w:val="1"/>
                <w:color w:val="auto"/>
              </w:rPr>
            </w:pPr>
          </w:p>
        </w:tc>
      </w:tr>
      <w:tr>
        <w:trPr>
          <w:trHeight w:val="229"/>
        </w:trPr>
        <w:tc>
          <w:tcPr>
            <w:tcW w:w="7200" w:type="dxa"/>
            <w:vAlign w:val="bottom"/>
          </w:tcPr>
          <w:p>
            <w:pPr>
              <w:ind w:left="360"/>
              <w:spacing w:after="0"/>
              <w:rPr>
                <w:sz w:val="20"/>
                <w:szCs w:val="20"/>
                <w:color w:val="auto"/>
              </w:rPr>
            </w:pPr>
            <w:r>
              <w:rPr>
                <w:rFonts w:ascii="Arial" w:cs="Arial" w:eastAsia="Arial" w:hAnsi="Arial"/>
                <w:sz w:val="18"/>
                <w:szCs w:val="18"/>
                <w:color w:val="auto"/>
              </w:rPr>
              <w:t>Operating lease current liabilities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320,837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172,910</w:t>
            </w:r>
          </w:p>
        </w:tc>
        <w:tc>
          <w:tcPr>
            <w:tcW w:w="0" w:type="dxa"/>
            <w:vAlign w:val="bottom"/>
          </w:tcPr>
          <w:p>
            <w:pPr>
              <w:spacing w:after="0"/>
              <w:rPr>
                <w:sz w:val="1"/>
                <w:szCs w:val="1"/>
                <w:color w:val="auto"/>
              </w:rPr>
            </w:pPr>
          </w:p>
        </w:tc>
      </w:tr>
      <w:tr>
        <w:trPr>
          <w:trHeight w:val="243"/>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15,726,206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17,587,911</w:t>
            </w:r>
          </w:p>
        </w:tc>
        <w:tc>
          <w:tcPr>
            <w:tcW w:w="0" w:type="dxa"/>
            <w:vAlign w:val="bottom"/>
          </w:tcPr>
          <w:p>
            <w:pPr>
              <w:spacing w:after="0"/>
              <w:rPr>
                <w:sz w:val="1"/>
                <w:szCs w:val="1"/>
                <w:color w:val="auto"/>
              </w:rPr>
            </w:pPr>
          </w:p>
        </w:tc>
      </w:tr>
      <w:tr>
        <w:trPr>
          <w:trHeight w:val="223"/>
        </w:trPr>
        <w:tc>
          <w:tcPr>
            <w:tcW w:w="720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26,959,087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28,579,832</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line of credit</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13,148,125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16,200,000</w:t>
            </w: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Operating lease non-current liabilities</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5,477,040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4,586,301</w:t>
            </w:r>
          </w:p>
        </w:tc>
        <w:tc>
          <w:tcPr>
            <w:tcW w:w="0" w:type="dxa"/>
            <w:vAlign w:val="bottom"/>
          </w:tcPr>
          <w:p>
            <w:pPr>
              <w:spacing w:after="0"/>
              <w:rPr>
                <w:sz w:val="1"/>
                <w:szCs w:val="1"/>
                <w:color w:val="auto"/>
              </w:rPr>
            </w:pPr>
          </w:p>
        </w:tc>
      </w:tr>
      <w:tr>
        <w:trPr>
          <w:trHeight w:val="23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6,954,206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7,585,019</w:t>
            </w:r>
          </w:p>
        </w:tc>
        <w:tc>
          <w:tcPr>
            <w:tcW w:w="0" w:type="dxa"/>
            <w:vAlign w:val="bottom"/>
          </w:tcPr>
          <w:p>
            <w:pPr>
              <w:spacing w:after="0"/>
              <w:rPr>
                <w:sz w:val="1"/>
                <w:szCs w:val="1"/>
                <w:color w:val="auto"/>
              </w:rPr>
            </w:pPr>
          </w:p>
        </w:tc>
      </w:tr>
      <w:tr>
        <w:trPr>
          <w:trHeight w:val="222"/>
        </w:trPr>
        <w:tc>
          <w:tcPr>
            <w:tcW w:w="720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52,538,458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56,951,152</w:t>
            </w: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3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200" w:type="dxa"/>
            <w:vAlign w:val="bottom"/>
          </w:tcPr>
          <w:p>
            <w:pPr>
              <w:ind w:left="340"/>
              <w:spacing w:after="0" w:line="176" w:lineRule="exact"/>
              <w:rPr>
                <w:sz w:val="20"/>
                <w:szCs w:val="20"/>
                <w:color w:val="auto"/>
              </w:rPr>
            </w:pPr>
            <w:r>
              <w:rPr>
                <w:rFonts w:ascii="Arial" w:cs="Arial" w:eastAsia="Arial" w:hAnsi="Arial"/>
                <w:sz w:val="18"/>
                <w:szCs w:val="18"/>
                <w:color w:val="auto"/>
                <w:w w:val="94"/>
              </w:rPr>
              <w:t>Common stock—no par value; 100,000,000 shares authorized; 14,330,990 and 14,366,316</w:t>
            </w:r>
          </w:p>
        </w:tc>
        <w:tc>
          <w:tcPr>
            <w:tcW w:w="30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47,303,429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47,474,973</w:t>
            </w:r>
          </w:p>
        </w:tc>
        <w:tc>
          <w:tcPr>
            <w:tcW w:w="0" w:type="dxa"/>
            <w:vAlign w:val="bottom"/>
          </w:tcPr>
          <w:p>
            <w:pPr>
              <w:spacing w:after="0"/>
              <w:rPr>
                <w:sz w:val="1"/>
                <w:szCs w:val="1"/>
                <w:color w:val="auto"/>
              </w:rPr>
            </w:pPr>
          </w:p>
        </w:tc>
      </w:tr>
      <w:tr>
        <w:trPr>
          <w:trHeight w:val="237"/>
        </w:trPr>
        <w:tc>
          <w:tcPr>
            <w:tcW w:w="7200" w:type="dxa"/>
            <w:vAlign w:val="bottom"/>
          </w:tcPr>
          <w:p>
            <w:pPr>
              <w:ind w:left="340"/>
              <w:spacing w:after="0"/>
              <w:rPr>
                <w:sz w:val="20"/>
                <w:szCs w:val="20"/>
                <w:color w:val="auto"/>
              </w:rPr>
            </w:pPr>
            <w:r>
              <w:rPr>
                <w:rFonts w:ascii="Arial" w:cs="Arial" w:eastAsia="Arial" w:hAnsi="Arial"/>
                <w:sz w:val="18"/>
                <w:szCs w:val="18"/>
                <w:color w:val="auto"/>
                <w:w w:val="96"/>
              </w:rPr>
              <w:t>shares issued and outstanding as of June 30, 2023 and December 31, 2022, respectively</w:t>
            </w:r>
          </w:p>
        </w:tc>
        <w:tc>
          <w:tcPr>
            <w:tcW w:w="300" w:type="dxa"/>
            <w:vAlign w:val="bottom"/>
          </w:tcPr>
          <w:p>
            <w:pPr>
              <w:spacing w:after="0"/>
              <w:rPr>
                <w:sz w:val="20"/>
                <w:szCs w:val="20"/>
                <w:color w:val="auto"/>
              </w:rPr>
            </w:pPr>
          </w:p>
        </w:tc>
        <w:tc>
          <w:tcPr>
            <w:tcW w:w="16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(10,144,457)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(11,208,841)</w:t>
            </w:r>
          </w:p>
        </w:tc>
        <w:tc>
          <w:tcPr>
            <w:tcW w:w="0" w:type="dxa"/>
            <w:vAlign w:val="bottom"/>
          </w:tcPr>
          <w:p>
            <w:pPr>
              <w:spacing w:after="0"/>
              <w:rPr>
                <w:sz w:val="1"/>
                <w:szCs w:val="1"/>
                <w:color w:val="auto"/>
              </w:rPr>
            </w:pPr>
          </w:p>
        </w:tc>
      </w:tr>
      <w:tr>
        <w:trPr>
          <w:trHeight w:val="223"/>
        </w:trPr>
        <w:tc>
          <w:tcPr>
            <w:tcW w:w="7200" w:type="dxa"/>
            <w:vAlign w:val="bottom"/>
          </w:tcPr>
          <w:p>
            <w:pPr>
              <w:ind w:left="660"/>
              <w:spacing w:after="0"/>
              <w:rPr>
                <w:sz w:val="20"/>
                <w:szCs w:val="20"/>
                <w:color w:val="auto"/>
              </w:rPr>
            </w:pPr>
            <w:r>
              <w:rPr>
                <w:rFonts w:ascii="Arial" w:cs="Arial" w:eastAsia="Arial" w:hAnsi="Arial"/>
                <w:sz w:val="18"/>
                <w:szCs w:val="18"/>
                <w:color w:val="auto"/>
              </w:rPr>
              <w:t>Total shareholders’ equity</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37,158,972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36,266,132</w:t>
            </w:r>
          </w:p>
        </w:tc>
        <w:tc>
          <w:tcPr>
            <w:tcW w:w="0" w:type="dxa"/>
            <w:vAlign w:val="bottom"/>
          </w:tcPr>
          <w:p>
            <w:pPr>
              <w:spacing w:after="0"/>
              <w:rPr>
                <w:sz w:val="1"/>
                <w:szCs w:val="1"/>
                <w:color w:val="auto"/>
              </w:rPr>
            </w:pPr>
          </w:p>
        </w:tc>
      </w:tr>
      <w:tr>
        <w:trPr>
          <w:trHeight w:val="24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(322,070)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(292,126)</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36,836,902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35,974,006</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89,375,360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92,925,158</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1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5"/>
              </w:rPr>
              <w:t>Three months ended June 30,</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7"/>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10,888,877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10,299,152</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20,113,515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21,474,197</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products sold</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1,520,774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2,031,884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2,771,038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4,243,769</w:t>
            </w:r>
          </w:p>
        </w:tc>
        <w:tc>
          <w:tcPr>
            <w:tcW w:w="0" w:type="dxa"/>
            <w:vAlign w:val="bottom"/>
          </w:tcPr>
          <w:p>
            <w:pPr>
              <w:spacing w:after="0"/>
              <w:rPr>
                <w:sz w:val="1"/>
                <w:szCs w:val="1"/>
                <w:color w:val="auto"/>
              </w:rPr>
            </w:pPr>
          </w:p>
        </w:tc>
      </w:tr>
      <w:tr>
        <w:trPr>
          <w:trHeight w:val="237"/>
        </w:trPr>
        <w:tc>
          <w:tcPr>
            <w:tcW w:w="468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4,672,075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4,556,685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8,949,393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9,171,114</w:t>
            </w:r>
          </w:p>
        </w:tc>
        <w:tc>
          <w:tcPr>
            <w:tcW w:w="0" w:type="dxa"/>
            <w:vAlign w:val="bottom"/>
          </w:tcPr>
          <w:p>
            <w:pPr>
              <w:spacing w:after="0"/>
              <w:rPr>
                <w:sz w:val="1"/>
                <w:szCs w:val="1"/>
                <w:color w:val="auto"/>
              </w:rPr>
            </w:pPr>
          </w:p>
        </w:tc>
      </w:tr>
      <w:tr>
        <w:trPr>
          <w:trHeight w:val="236"/>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1,145,038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1,823,693</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2,644,708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3,568,829</w:t>
            </w:r>
          </w:p>
        </w:tc>
        <w:tc>
          <w:tcPr>
            <w:tcW w:w="0" w:type="dxa"/>
            <w:vAlign w:val="bottom"/>
          </w:tcPr>
          <w:p>
            <w:pPr>
              <w:spacing w:after="0"/>
              <w:rPr>
                <w:sz w:val="1"/>
                <w:szCs w:val="1"/>
                <w:color w:val="auto"/>
              </w:rPr>
            </w:pPr>
          </w:p>
        </w:tc>
      </w:tr>
      <w:tr>
        <w:trPr>
          <w:trHeight w:val="229"/>
        </w:trPr>
        <w:tc>
          <w:tcPr>
            <w:tcW w:w="46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2,369,883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2,203,975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4,868,876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4,506,324</w:t>
            </w: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1,158,248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1,529,453</w:t>
            </w:r>
          </w:p>
        </w:tc>
        <w:tc>
          <w:tcPr>
            <w:tcW w:w="1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2,388,319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3,122,698</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10,866,018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12,145,690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21,622,334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24,612,734</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(1,846,538)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(1,508,819)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(3,138,537)</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57,061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15,066</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107,251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31,107</w:t>
            </w:r>
          </w:p>
        </w:tc>
        <w:tc>
          <w:tcPr>
            <w:tcW w:w="0" w:type="dxa"/>
            <w:vAlign w:val="bottom"/>
          </w:tcPr>
          <w:p>
            <w:pPr>
              <w:spacing w:after="0"/>
              <w:rPr>
                <w:sz w:val="1"/>
                <w:szCs w:val="1"/>
                <w:color w:val="auto"/>
              </w:rPr>
            </w:pPr>
          </w:p>
        </w:tc>
      </w:tr>
      <w:tr>
        <w:trPr>
          <w:trHeight w:val="23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981,806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2,828,871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Other income - gain on insurance proceeds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611,330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611,330</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(192,635)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(137,624)</w:t>
            </w: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(378,988)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(257,199)</w:t>
            </w:r>
          </w:p>
        </w:tc>
        <w:tc>
          <w:tcPr>
            <w:tcW w:w="0" w:type="dxa"/>
            <w:vAlign w:val="bottom"/>
          </w:tcPr>
          <w:p>
            <w:pPr>
              <w:spacing w:after="0"/>
              <w:rPr>
                <w:sz w:val="1"/>
                <w:szCs w:val="1"/>
                <w:color w:val="auto"/>
              </w:rPr>
            </w:pPr>
          </w:p>
        </w:tc>
      </w:tr>
      <w:tr>
        <w:trPr>
          <w:trHeight w:val="223"/>
        </w:trPr>
        <w:tc>
          <w:tcPr>
            <w:tcW w:w="4680" w:type="dxa"/>
            <w:vAlign w:val="bottom"/>
          </w:tcPr>
          <w:p>
            <w:pPr>
              <w:ind w:left="3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869,091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(1,357,766)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1,048,315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(2,753,299)</w:t>
            </w: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(13,800)</w:t>
            </w:r>
          </w:p>
        </w:tc>
        <w:tc>
          <w:tcPr>
            <w:tcW w:w="0" w:type="dxa"/>
            <w:vAlign w:val="bottom"/>
          </w:tcPr>
          <w:p>
            <w:pPr>
              <w:spacing w:after="0"/>
              <w:rPr>
                <w:sz w:val="1"/>
                <w:szCs w:val="1"/>
                <w:color w:val="auto"/>
              </w:rPr>
            </w:pPr>
          </w:p>
        </w:tc>
      </w:tr>
      <w:tr>
        <w:trPr>
          <w:trHeight w:val="223"/>
        </w:trPr>
        <w:tc>
          <w:tcPr>
            <w:tcW w:w="468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862,154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(1,364,666)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1,034,440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(2,767,099)</w:t>
            </w:r>
          </w:p>
        </w:tc>
        <w:tc>
          <w:tcPr>
            <w:tcW w:w="0" w:type="dxa"/>
            <w:vAlign w:val="bottom"/>
          </w:tcPr>
          <w:p>
            <w:pPr>
              <w:spacing w:after="0"/>
              <w:rPr>
                <w:sz w:val="1"/>
                <w:szCs w:val="1"/>
                <w:color w:val="auto"/>
              </w:rPr>
            </w:pPr>
          </w:p>
        </w:tc>
      </w:tr>
      <w:tr>
        <w:trPr>
          <w:trHeight w:val="176"/>
        </w:trPr>
        <w:tc>
          <w:tcPr>
            <w:tcW w:w="4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Net (income) loss at subsidiary attributable to noncontrolling</w:t>
            </w:r>
          </w:p>
        </w:tc>
        <w:tc>
          <w:tcPr>
            <w:tcW w:w="2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10,046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29,046</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29,944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46,226</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340"/>
              <w:spacing w:after="0"/>
              <w:rPr>
                <w:sz w:val="20"/>
                <w:szCs w:val="20"/>
                <w:color w:val="auto"/>
              </w:rPr>
            </w:pPr>
            <w:r>
              <w:rPr>
                <w:rFonts w:ascii="Arial" w:cs="Arial" w:eastAsia="Arial" w:hAnsi="Arial"/>
                <w:sz w:val="18"/>
                <w:szCs w:val="18"/>
                <w:color w:val="auto"/>
                <w:w w:val="98"/>
              </w:rPr>
              <w:t>Net income (loss) attributable to common shareholders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872,200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(1,335,620)</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1,064,384</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(2,720,873)</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w w:val="93"/>
              </w:rPr>
              <w:t>Earnings (loss) per share attributable to common shareholders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7"/>
        </w:trPr>
        <w:tc>
          <w:tcPr>
            <w:tcW w:w="4680" w:type="dxa"/>
            <w:vAlign w:val="bottom"/>
          </w:tcPr>
          <w:p>
            <w:pPr>
              <w:ind w:left="340"/>
              <w:spacing w:after="0"/>
              <w:rPr>
                <w:sz w:val="20"/>
                <w:szCs w:val="20"/>
                <w:color w:val="auto"/>
              </w:rPr>
            </w:pPr>
            <w:r>
              <w:rPr>
                <w:rFonts w:ascii="Arial" w:cs="Arial" w:eastAsia="Arial" w:hAnsi="Arial"/>
                <w:sz w:val="18"/>
                <w:szCs w:val="18"/>
                <w:color w:val="auto"/>
              </w:rPr>
              <w:t>-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0.06</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(0.09)</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340"/>
              <w:spacing w:after="0"/>
              <w:rPr>
                <w:sz w:val="20"/>
                <w:szCs w:val="20"/>
                <w:color w:val="auto"/>
              </w:rPr>
            </w:pPr>
            <w:r>
              <w:rPr>
                <w:rFonts w:ascii="Arial" w:cs="Arial" w:eastAsia="Arial" w:hAnsi="Arial"/>
                <w:sz w:val="18"/>
                <w:szCs w:val="18"/>
                <w:color w:val="auto"/>
              </w:rPr>
              <w:t>- basic</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14,393,711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14,688,505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14,376,260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14,689,798</w:t>
            </w: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diluted</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14,554,264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14,688,505</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14,570,798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14,689,798</w:t>
            </w:r>
          </w:p>
        </w:tc>
        <w:tc>
          <w:tcPr>
            <w:tcW w:w="0" w:type="dxa"/>
            <w:vAlign w:val="bottom"/>
          </w:tcPr>
          <w:p>
            <w:pPr>
              <w:spacing w:after="0"/>
              <w:rPr>
                <w:sz w:val="1"/>
                <w:szCs w:val="1"/>
                <w:color w:val="auto"/>
              </w:rPr>
            </w:pPr>
          </w:p>
        </w:tc>
      </w:tr>
    </w:tbl>
    <w:p>
      <w:pPr>
        <w:sectPr>
          <w:pgSz w:w="11900" w:h="16838" w:orient="portrait"/>
          <w:cols w:equalWidth="0" w:num="1">
            <w:col w:w="11120"/>
          </w:cols>
          <w:pgMar w:left="380" w:top="891" w:right="39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74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4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1,034,440</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(2,767,099)</w:t>
            </w:r>
          </w:p>
        </w:tc>
      </w:tr>
      <w:tr>
        <w:trPr>
          <w:trHeight w:val="243"/>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Adjustments to reconcile net income (loss) to net cash provided by (used in) operating activities:</w:t>
            </w: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29"/>
        </w:trPr>
        <w:tc>
          <w:tcPr>
            <w:tcW w:w="7400" w:type="dxa"/>
            <w:vAlign w:val="bottom"/>
          </w:tcPr>
          <w:p>
            <w:pPr>
              <w:ind w:left="680"/>
              <w:spacing w:after="0"/>
              <w:rPr>
                <w:sz w:val="20"/>
                <w:szCs w:val="20"/>
                <w:color w:val="auto"/>
              </w:rPr>
            </w:pPr>
            <w:r>
              <w:rPr>
                <w:rFonts w:ascii="Arial" w:cs="Arial" w:eastAsia="Arial" w:hAnsi="Arial"/>
                <w:sz w:val="18"/>
                <w:szCs w:val="18"/>
                <w:color w:val="auto"/>
              </w:rPr>
              <w:t>Depreciation and amortization expense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2,456,590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3,272,085</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compensation</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132,148</w:t>
            </w:r>
          </w:p>
        </w:tc>
      </w:tr>
      <w:tr>
        <w:trPr>
          <w:trHeight w:val="237"/>
        </w:trPr>
        <w:tc>
          <w:tcPr>
            <w:tcW w:w="7400" w:type="dxa"/>
            <w:vAlign w:val="bottom"/>
          </w:tcPr>
          <w:p>
            <w:pPr>
              <w:ind w:left="680"/>
              <w:spacing w:after="0"/>
              <w:rPr>
                <w:sz w:val="20"/>
                <w:szCs w:val="20"/>
                <w:color w:val="auto"/>
              </w:rPr>
            </w:pPr>
            <w:r>
              <w:rPr>
                <w:rFonts w:ascii="Arial" w:cs="Arial" w:eastAsia="Arial" w:hAnsi="Arial"/>
                <w:sz w:val="18"/>
                <w:szCs w:val="18"/>
                <w:color w:val="auto"/>
              </w:rPr>
              <w:t>Decrease in non-cash contingent consideration</w:t>
            </w: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(476,606)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(68,334)</w:t>
            </w:r>
          </w:p>
        </w:tc>
      </w:tr>
      <w:tr>
        <w:trPr>
          <w:trHeight w:val="236"/>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3"/>
              </w:rPr>
              <w:t>Decrease (increase) in cash surrender value of life insurance policies over premiums paid</w:t>
            </w: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598,355</w:t>
            </w: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Gain on receivable of life insurance policy proceeds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(611,330)</w:t>
            </w:r>
          </w:p>
        </w:tc>
      </w:tr>
      <w:tr>
        <w:trPr>
          <w:trHeight w:val="243"/>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Noncash interest expense</w:t>
            </w: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w:t>
            </w: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receivable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(5,527,690)</w:t>
            </w:r>
          </w:p>
        </w:tc>
      </w:tr>
      <w:tr>
        <w:trPr>
          <w:trHeight w:val="237"/>
        </w:trPr>
        <w:tc>
          <w:tcPr>
            <w:tcW w:w="7400" w:type="dxa"/>
            <w:vAlign w:val="bottom"/>
          </w:tcPr>
          <w:p>
            <w:pPr>
              <w:ind w:left="112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(232,110)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2,949,443</w:t>
            </w:r>
          </w:p>
        </w:tc>
      </w:tr>
      <w:tr>
        <w:trPr>
          <w:trHeight w:val="236"/>
        </w:trPr>
        <w:tc>
          <w:tcPr>
            <w:tcW w:w="7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Other current assets and other assets</w:t>
            </w: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(804,400)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1,227,030</w:t>
            </w:r>
          </w:p>
        </w:tc>
      </w:tr>
      <w:tr>
        <w:trPr>
          <w:trHeight w:val="230"/>
        </w:trPr>
        <w:tc>
          <w:tcPr>
            <w:tcW w:w="7400" w:type="dxa"/>
            <w:vAlign w:val="bottom"/>
          </w:tcPr>
          <w:p>
            <w:pPr>
              <w:ind w:left="1120"/>
              <w:spacing w:after="0"/>
              <w:rPr>
                <w:sz w:val="20"/>
                <w:szCs w:val="20"/>
                <w:color w:val="auto"/>
              </w:rPr>
            </w:pPr>
            <w:r>
              <w:rPr>
                <w:rFonts w:ascii="Arial" w:cs="Arial" w:eastAsia="Arial" w:hAnsi="Arial"/>
                <w:sz w:val="18"/>
                <w:szCs w:val="18"/>
                <w:color w:val="auto"/>
              </w:rPr>
              <w:t>Accounts payable and other current liabilities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534,541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4,658,782</w:t>
            </w:r>
          </w:p>
        </w:tc>
      </w:tr>
      <w:tr>
        <w:trPr>
          <w:trHeight w:val="243"/>
        </w:trPr>
        <w:tc>
          <w:tcPr>
            <w:tcW w:w="7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259,926</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(1,688,143)</w:t>
            </w:r>
          </w:p>
        </w:tc>
      </w:tr>
      <w:tr>
        <w:trPr>
          <w:trHeight w:val="223"/>
        </w:trPr>
        <w:tc>
          <w:tcPr>
            <w:tcW w:w="7400" w:type="dxa"/>
            <w:vAlign w:val="bottom"/>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3,817,152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2,180,038</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Additions to property and equipment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(179,453)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(164,241)</w:t>
            </w:r>
          </w:p>
        </w:tc>
      </w:tr>
      <w:tr>
        <w:trPr>
          <w:trHeight w:val="243"/>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paid for acquisitions</w:t>
            </w: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(13,500,000)</w:t>
            </w:r>
          </w:p>
        </w:tc>
      </w:tr>
      <w:tr>
        <w:trPr>
          <w:trHeight w:val="229"/>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Additions to intangibles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(91,808)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(50,248)</w:t>
            </w:r>
          </w:p>
        </w:tc>
      </w:tr>
      <w:tr>
        <w:trPr>
          <w:trHeight w:val="223"/>
        </w:trPr>
        <w:tc>
          <w:tcPr>
            <w:tcW w:w="7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(271,261)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(13,714,489)</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Borrowings on line of credit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39,000,000</w:t>
            </w:r>
          </w:p>
        </w:tc>
      </w:tr>
      <w:tr>
        <w:trPr>
          <w:trHeight w:val="237"/>
        </w:trPr>
        <w:tc>
          <w:tcPr>
            <w:tcW w:w="7400" w:type="dxa"/>
            <w:vAlign w:val="bottom"/>
          </w:tcPr>
          <w:p>
            <w:pPr>
              <w:ind w:left="680"/>
              <w:spacing w:after="0"/>
              <w:rPr>
                <w:sz w:val="20"/>
                <w:szCs w:val="20"/>
                <w:color w:val="auto"/>
              </w:rPr>
            </w:pPr>
            <w:r>
              <w:rPr>
                <w:rFonts w:ascii="Arial" w:cs="Arial" w:eastAsia="Arial" w:hAnsi="Arial"/>
                <w:sz w:val="18"/>
                <w:szCs w:val="18"/>
                <w:color w:val="auto"/>
              </w:rPr>
              <w:t>Repayments on line of credit</w:t>
            </w: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(19,051,875)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(35,000,000)</w:t>
            </w:r>
          </w:p>
        </w:tc>
      </w:tr>
      <w:tr>
        <w:trPr>
          <w:trHeight w:val="236"/>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payment of contingent consideration</w:t>
            </w: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(1,652,990)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(501,505)</w:t>
            </w: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Repurchase of common shares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(349,910)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(788,295)</w:t>
            </w:r>
          </w:p>
        </w:tc>
      </w:tr>
      <w:tr>
        <w:trPr>
          <w:trHeight w:val="237"/>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4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(5,054,775)</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2,710,200</w:t>
            </w:r>
          </w:p>
        </w:tc>
      </w:tr>
      <w:tr>
        <w:trPr>
          <w:trHeight w:val="223"/>
        </w:trPr>
        <w:tc>
          <w:tcPr>
            <w:tcW w:w="7400" w:type="dxa"/>
            <w:vAlign w:val="bottom"/>
          </w:tcPr>
          <w:p>
            <w:pPr>
              <w:ind w:left="360"/>
              <w:spacing w:after="0"/>
              <w:rPr>
                <w:sz w:val="20"/>
                <w:szCs w:val="20"/>
                <w:color w:val="auto"/>
              </w:rPr>
            </w:pPr>
            <w:r>
              <w:rPr>
                <w:rFonts w:ascii="Arial" w:cs="Arial" w:eastAsia="Arial" w:hAnsi="Arial"/>
                <w:sz w:val="18"/>
                <w:szCs w:val="18"/>
                <w:color w:val="auto"/>
              </w:rPr>
              <w:t>Net decrease in cash and cash equivalents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(1,508,884)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(8,824,251)</w:t>
            </w: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19,757,970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27,040,816</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18,249,086</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18,216,565</w:t>
            </w:r>
          </w:p>
        </w:tc>
      </w:tr>
      <w:tr>
        <w:trPr>
          <w:trHeight w:val="27"/>
        </w:trPr>
        <w:tc>
          <w:tcPr>
            <w:tcW w:w="740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r>
    </w:tbl>
    <w:p>
      <w:pPr>
        <w:sectPr>
          <w:pgSz w:w="11900" w:h="16838" w:orient="portrait"/>
          <w:cols w:equalWidth="0" w:num="1">
            <w:col w:w="11220"/>
          </w:cols>
          <w:pgMar w:left="320" w:top="891" w:right="359" w:bottom="1440" w:gutter="0" w:footer="0" w:header="0"/>
        </w:sectPr>
      </w:pPr>
    </w:p>
    <w:bookmarkStart w:id="14" w:name="page15"/>
    <w:bookmarkEnd w:id="14"/>
    <w:p>
      <w:pPr>
        <w:ind w:left="2400"/>
        <w:spacing w:after="0"/>
        <w:rPr>
          <w:sz w:val="20"/>
          <w:szCs w:val="20"/>
          <w:color w:val="auto"/>
        </w:rPr>
      </w:pPr>
      <w:r>
        <w:rPr>
          <w:rFonts w:ascii="Arial" w:cs="Arial" w:eastAsia="Arial" w:hAnsi="Arial"/>
          <w:sz w:val="22"/>
          <w:szCs w:val="22"/>
          <w:b w:val="1"/>
          <w:bCs w:val="1"/>
          <w:color w:val="auto"/>
        </w:rPr>
        <w:t>CUMBERLAND PHARMACEUTICALS INC. AND SUBSIDIARIES</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9"/>
          <w:szCs w:val="19"/>
          <w:color w:val="auto"/>
        </w:rPr>
        <w:t>Reconciliation of Net Income (loss) Attributable to Common Shareholders to Adjusted Earnings (loss) and Adjusted Diluted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Earnings (loss) Per Share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8"/>
                <w:szCs w:val="18"/>
                <w:b w:val="1"/>
                <w:bCs w:val="1"/>
                <w:color w:val="auto"/>
                <w:w w:val="88"/>
              </w:rPr>
              <w:t>Three months ended June 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9"/>
              </w:rPr>
              <w:t>Earnings impact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89"/>
              </w:rPr>
              <w:t>Earnings per share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8"/>
                <w:szCs w:val="18"/>
                <w:color w:val="auto"/>
              </w:rPr>
              <w:t>Earnings impact</w:t>
            </w:r>
          </w:p>
        </w:tc>
        <w:tc>
          <w:tcPr>
            <w:tcW w:w="40" w:type="dxa"/>
            <w:vAlign w:val="bottom"/>
          </w:tcPr>
          <w:p>
            <w:pPr>
              <w:spacing w:after="0"/>
              <w:rPr>
                <w:sz w:val="15"/>
                <w:szCs w:val="15"/>
                <w:color w:val="auto"/>
              </w:rPr>
            </w:pPr>
          </w:p>
        </w:tc>
        <w:tc>
          <w:tcPr>
            <w:tcW w:w="1400" w:type="dxa"/>
            <w:vAlign w:val="bottom"/>
            <w:gridSpan w:val="3"/>
          </w:tcPr>
          <w:p>
            <w:pPr>
              <w:jc w:val="center"/>
              <w:ind w:right="60"/>
              <w:spacing w:after="0" w:line="176" w:lineRule="exact"/>
              <w:rPr>
                <w:sz w:val="20"/>
                <w:szCs w:val="20"/>
                <w:color w:val="auto"/>
              </w:rPr>
            </w:pPr>
            <w:r>
              <w:rPr>
                <w:rFonts w:ascii="Arial" w:cs="Arial" w:eastAsia="Arial" w:hAnsi="Arial"/>
                <w:sz w:val="18"/>
                <w:szCs w:val="18"/>
                <w:color w:val="auto"/>
                <w:w w:val="88"/>
              </w:rPr>
              <w:t>Earnings per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impact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0"/>
              </w:rPr>
              <w:t>impact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872,200</w:t>
            </w:r>
          </w:p>
        </w:tc>
        <w:tc>
          <w:tcPr>
            <w:tcW w:w="40" w:type="dxa"/>
            <w:vAlign w:val="bottom"/>
            <w:shd w:val="clear" w:color="auto" w:fill="CCEEFF"/>
          </w:tcPr>
          <w:p>
            <w:pPr>
              <w:spacing w:after="0"/>
              <w:rPr>
                <w:sz w:val="20"/>
                <w:szCs w:val="20"/>
                <w:color w:val="auto"/>
              </w:rPr>
            </w:pPr>
          </w:p>
        </w:tc>
        <w:tc>
          <w:tcPr>
            <w:tcW w:w="3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(1,335,620)</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Arial" w:cs="Arial" w:eastAsia="Arial" w:hAnsi="Arial"/>
                <w:sz w:val="18"/>
                <w:szCs w:val="18"/>
                <w:color w:val="auto"/>
                <w:w w:val="99"/>
              </w:rPr>
              <w:t>Less: Net (income) loss at subsidiary attributable to noncontrolling</w:t>
            </w:r>
          </w:p>
        </w:tc>
        <w:tc>
          <w:tcPr>
            <w:tcW w:w="1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10,046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29,046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862,154</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(1,364,666)</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Adjustments to net income (loss)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1,200,915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1,618,339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240" w:type="dxa"/>
            <w:vAlign w:val="bottom"/>
            <w:shd w:val="clear" w:color="auto" w:fill="CCEEFF"/>
          </w:tcPr>
          <w:p>
            <w:pPr>
              <w:ind w:left="200"/>
              <w:spacing w:after="0" w:line="236" w:lineRule="exact"/>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(a)</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97,878</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tcPr>
          <w:p>
            <w:pPr>
              <w:ind w:left="200"/>
              <w:spacing w:after="0" w:line="230" w:lineRule="exact"/>
              <w:rPr>
                <w:sz w:val="20"/>
                <w:szCs w:val="20"/>
                <w:color w:val="auto"/>
              </w:rPr>
            </w:pPr>
            <w:r>
              <w:rPr>
                <w:rFonts w:ascii="Arial" w:cs="Arial" w:eastAsia="Arial" w:hAnsi="Arial"/>
                <w:sz w:val="18"/>
                <w:szCs w:val="18"/>
                <w:color w:val="auto"/>
              </w:rPr>
              <w:t xml:space="preserve">Gain on insurance proceeds </w:t>
            </w:r>
            <w:r>
              <w:rPr>
                <w:rFonts w:ascii="Arial" w:cs="Arial" w:eastAsia="Arial" w:hAnsi="Arial"/>
                <w:sz w:val="23"/>
                <w:szCs w:val="23"/>
                <w:color w:val="auto"/>
                <w:vertAlign w:val="superscript"/>
              </w:rPr>
              <w:t>(b)</w:t>
            </w:r>
          </w:p>
        </w:tc>
        <w:tc>
          <w:tcPr>
            <w:tcW w:w="1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(611,330)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(57,061)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5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192,635</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137,624</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5240" w:type="dxa"/>
            <w:vAlign w:val="bottom"/>
            <w:shd w:val="clear" w:color="auto" w:fill="CCEEFF"/>
          </w:tcPr>
          <w:p>
            <w:pPr>
              <w:spacing w:after="0" w:line="167" w:lineRule="exact"/>
              <w:rPr>
                <w:sz w:val="20"/>
                <w:szCs w:val="20"/>
                <w:color w:val="auto"/>
              </w:rPr>
            </w:pPr>
            <w:r>
              <w:rPr>
                <w:rFonts w:ascii="Arial" w:cs="Arial" w:eastAsia="Arial" w:hAnsi="Arial"/>
                <w:sz w:val="18"/>
                <w:szCs w:val="18"/>
                <w:b w:val="1"/>
                <w:bCs w:val="1"/>
                <w:color w:val="auto"/>
                <w:w w:val="98"/>
              </w:rPr>
              <w:t>Adjusted Earnings (loss) and Adjusted Diluted Earnings (loss)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2,303,458</w:t>
            </w:r>
          </w:p>
        </w:tc>
        <w:tc>
          <w:tcPr>
            <w:tcW w:w="40" w:type="dxa"/>
            <w:vAlign w:val="bottom"/>
            <w:shd w:val="clear" w:color="auto" w:fill="CCEEFF"/>
          </w:tcPr>
          <w:p>
            <w:pPr>
              <w:spacing w:after="0"/>
              <w:rPr>
                <w:sz w:val="14"/>
                <w:szCs w:val="14"/>
                <w:color w:val="auto"/>
              </w:rPr>
            </w:pPr>
          </w:p>
        </w:tc>
        <w:tc>
          <w:tcPr>
            <w:tcW w:w="380" w:type="dxa"/>
            <w:vAlign w:val="bottom"/>
            <w:gridSpan w:val="3"/>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0" w:type="dxa"/>
            <w:vAlign w:val="bottom"/>
            <w:shd w:val="clear" w:color="auto" w:fill="CCEEFF"/>
          </w:tcPr>
          <w:p>
            <w:pPr>
              <w:spacing w:after="0"/>
              <w:rPr>
                <w:sz w:val="14"/>
                <w:szCs w:val="14"/>
                <w:color w:val="auto"/>
              </w:rPr>
            </w:pPr>
          </w:p>
        </w:tc>
        <w:tc>
          <w:tcPr>
            <w:tcW w:w="34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(255,952)</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line="211" w:lineRule="exact"/>
              <w:rPr>
                <w:sz w:val="20"/>
                <w:szCs w:val="20"/>
                <w:color w:val="auto"/>
              </w:rPr>
            </w:pPr>
            <w:r>
              <w:rPr>
                <w:rFonts w:ascii="Arial" w:cs="Arial" w:eastAsia="Arial" w:hAnsi="Arial"/>
                <w:sz w:val="18"/>
                <w:szCs w:val="18"/>
                <w:b w:val="1"/>
                <w:bCs w:val="1"/>
                <w:color w:val="auto"/>
              </w:rPr>
              <w:t>Per Share</w:t>
            </w:r>
            <w:r>
              <w:rPr>
                <w:rFonts w:ascii="Arial" w:cs="Arial" w:eastAsia="Arial" w:hAnsi="Arial"/>
                <w:sz w:val="23"/>
                <w:szCs w:val="23"/>
                <w:b w:val="1"/>
                <w:bCs w:val="1"/>
                <w:color w:val="auto"/>
                <w:vertAlign w:val="superscript"/>
              </w:rPr>
              <w:t>(c)(d)</w:t>
            </w:r>
          </w:p>
        </w:tc>
        <w:tc>
          <w:tcPr>
            <w:tcW w:w="12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gridSpan w:val="3"/>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gridSpan w:val="3"/>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weighted-average common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14,554,264</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14,688,505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w w:val="99"/>
              </w:rPr>
              <w:t>Six months ended June 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8"/>
              </w:rPr>
              <w:t>Six months ended June 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40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91"/>
              </w:rPr>
              <w:t>Earnings impact</w:t>
            </w:r>
          </w:p>
        </w:tc>
        <w:tc>
          <w:tcPr>
            <w:tcW w:w="80" w:type="dxa"/>
            <w:vAlign w:val="bottom"/>
          </w:tcPr>
          <w:p>
            <w:pPr>
              <w:spacing w:after="0"/>
              <w:rPr>
                <w:sz w:val="16"/>
                <w:szCs w:val="16"/>
                <w:color w:val="auto"/>
              </w:rPr>
            </w:pPr>
          </w:p>
        </w:tc>
        <w:tc>
          <w:tcPr>
            <w:tcW w:w="1440" w:type="dxa"/>
            <w:vAlign w:val="bottom"/>
            <w:gridSpan w:val="4"/>
          </w:tcPr>
          <w:p>
            <w:pPr>
              <w:ind w:left="20"/>
              <w:spacing w:after="0" w:line="189" w:lineRule="exact"/>
              <w:rPr>
                <w:sz w:val="20"/>
                <w:szCs w:val="20"/>
                <w:color w:val="auto"/>
              </w:rPr>
            </w:pPr>
            <w:r>
              <w:rPr>
                <w:rFonts w:ascii="Arial" w:cs="Arial" w:eastAsia="Arial" w:hAnsi="Arial"/>
                <w:sz w:val="18"/>
                <w:szCs w:val="18"/>
                <w:color w:val="auto"/>
                <w:w w:val="92"/>
              </w:rPr>
              <w:t>Earnings per share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gridSpan w:val="4"/>
            <w:vMerge w:val="restart"/>
          </w:tcPr>
          <w:p>
            <w:pPr>
              <w:ind w:left="100"/>
              <w:spacing w:after="0"/>
              <w:rPr>
                <w:sz w:val="20"/>
                <w:szCs w:val="20"/>
                <w:color w:val="auto"/>
              </w:rPr>
            </w:pPr>
            <w:r>
              <w:rPr>
                <w:rFonts w:ascii="Arial" w:cs="Arial" w:eastAsia="Arial" w:hAnsi="Arial"/>
                <w:sz w:val="18"/>
                <w:szCs w:val="18"/>
                <w:color w:val="auto"/>
              </w:rPr>
              <w:t>Earnings impact</w:t>
            </w:r>
          </w:p>
        </w:tc>
        <w:tc>
          <w:tcPr>
            <w:tcW w:w="40" w:type="dxa"/>
            <w:vAlign w:val="bottom"/>
          </w:tcPr>
          <w:p>
            <w:pPr>
              <w:spacing w:after="0"/>
              <w:rPr>
                <w:sz w:val="16"/>
                <w:szCs w:val="16"/>
                <w:color w:val="auto"/>
              </w:rPr>
            </w:pPr>
          </w:p>
        </w:tc>
        <w:tc>
          <w:tcPr>
            <w:tcW w:w="1400" w:type="dxa"/>
            <w:vAlign w:val="bottom"/>
            <w:gridSpan w:val="3"/>
          </w:tcPr>
          <w:p>
            <w:pPr>
              <w:jc w:val="center"/>
              <w:ind w:right="20"/>
              <w:spacing w:after="0" w:line="189" w:lineRule="exact"/>
              <w:rPr>
                <w:sz w:val="20"/>
                <w:szCs w:val="20"/>
                <w:color w:val="auto"/>
              </w:rPr>
            </w:pPr>
            <w:r>
              <w:rPr>
                <w:rFonts w:ascii="Arial" w:cs="Arial" w:eastAsia="Arial" w:hAnsi="Arial"/>
                <w:sz w:val="18"/>
                <w:szCs w:val="18"/>
                <w:color w:val="auto"/>
                <w:w w:val="88"/>
              </w:rPr>
              <w:t>Earnings per share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8"/>
                <w:szCs w:val="18"/>
                <w:color w:val="auto"/>
              </w:rPr>
              <w:t>impact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4"/>
              </w:rPr>
              <w:t>impact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1,064,384</w:t>
            </w:r>
          </w:p>
        </w:tc>
        <w:tc>
          <w:tcPr>
            <w:tcW w:w="40" w:type="dxa"/>
            <w:vAlign w:val="bottom"/>
            <w:shd w:val="clear" w:color="auto" w:fill="CCEEFF"/>
          </w:tcPr>
          <w:p>
            <w:pPr>
              <w:spacing w:after="0"/>
              <w:rPr>
                <w:sz w:val="19"/>
                <w:szCs w:val="19"/>
                <w:color w:val="auto"/>
              </w:rPr>
            </w:pPr>
          </w:p>
        </w:tc>
        <w:tc>
          <w:tcPr>
            <w:tcW w:w="3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(2,720,873)</w:t>
            </w: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40" w:type="dxa"/>
            <w:vAlign w:val="bottom"/>
          </w:tcPr>
          <w:p>
            <w:pPr>
              <w:ind w:left="20"/>
              <w:spacing w:after="0" w:line="189" w:lineRule="exact"/>
              <w:rPr>
                <w:sz w:val="20"/>
                <w:szCs w:val="20"/>
                <w:color w:val="auto"/>
              </w:rPr>
            </w:pPr>
            <w:r>
              <w:rPr>
                <w:rFonts w:ascii="Arial" w:cs="Arial" w:eastAsia="Arial" w:hAnsi="Arial"/>
                <w:sz w:val="18"/>
                <w:szCs w:val="18"/>
                <w:color w:val="auto"/>
                <w:w w:val="98"/>
              </w:rPr>
              <w:t>Less: Net (income) loss at subsidiary attributable to noncontrolling</w:t>
            </w:r>
          </w:p>
        </w:tc>
        <w:tc>
          <w:tcPr>
            <w:tcW w:w="12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29,944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46,226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interests</w:t>
            </w: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1,034,440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(2,767,099)</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Adjustments to net income (loss) from continuing operations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2,456,590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3,272,085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40" w:type="dxa"/>
            <w:vAlign w:val="bottom"/>
            <w:shd w:val="clear" w:color="auto" w:fill="CCEEFF"/>
          </w:tcPr>
          <w:p>
            <w:pPr>
              <w:ind w:left="220"/>
              <w:spacing w:after="0" w:line="236" w:lineRule="exact"/>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(a)</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188,034</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132,148</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Gain on insurance proceeds </w:t>
            </w:r>
            <w:r>
              <w:rPr>
                <w:rFonts w:ascii="Arial" w:cs="Arial" w:eastAsia="Arial" w:hAnsi="Arial"/>
                <w:sz w:val="23"/>
                <w:szCs w:val="23"/>
                <w:color w:val="auto"/>
                <w:vertAlign w:val="superscript"/>
              </w:rPr>
              <w:t>(b)</w:t>
            </w:r>
          </w:p>
        </w:tc>
        <w:tc>
          <w:tcPr>
            <w:tcW w:w="1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(611,330)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(107,251)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(31,107)</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378,988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257,199</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Adjusted Earnings (loss) from continuing operations and</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4"/>
              </w:rPr>
              <w:t>Adjusted Diluted Earnings (loss) from continuing operations Per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3,964,676</w:t>
            </w:r>
          </w:p>
        </w:tc>
        <w:tc>
          <w:tcPr>
            <w:tcW w:w="40" w:type="dxa"/>
            <w:vAlign w:val="bottom"/>
            <w:shd w:val="clear" w:color="auto" w:fill="CCEEFF"/>
          </w:tcPr>
          <w:p>
            <w:pPr>
              <w:spacing w:after="0"/>
              <w:rPr>
                <w:sz w:val="15"/>
                <w:szCs w:val="15"/>
                <w:color w:val="auto"/>
              </w:rPr>
            </w:pPr>
          </w:p>
        </w:tc>
        <w:tc>
          <w:tcPr>
            <w:tcW w:w="380" w:type="dxa"/>
            <w:vAlign w:val="bottom"/>
            <w:gridSpan w:val="3"/>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40" w:type="dxa"/>
            <w:vAlign w:val="bottom"/>
            <w:shd w:val="clear" w:color="auto" w:fill="CCEEFF"/>
          </w:tcPr>
          <w:p>
            <w:pPr>
              <w:spacing w:after="0"/>
              <w:rPr>
                <w:sz w:val="15"/>
                <w:szCs w:val="15"/>
                <w:color w:val="auto"/>
              </w:rPr>
            </w:pPr>
          </w:p>
        </w:tc>
        <w:tc>
          <w:tcPr>
            <w:tcW w:w="34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265,696</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40" w:type="dxa"/>
            <w:vAlign w:val="bottom"/>
            <w:shd w:val="clear" w:color="auto" w:fill="CCEEFF"/>
          </w:tcPr>
          <w:p>
            <w:pPr>
              <w:ind w:left="20"/>
              <w:spacing w:after="0" w:line="216" w:lineRule="exact"/>
              <w:rPr>
                <w:sz w:val="20"/>
                <w:szCs w:val="20"/>
                <w:color w:val="auto"/>
              </w:rPr>
            </w:pPr>
            <w:r>
              <w:rPr>
                <w:rFonts w:ascii="Arial" w:cs="Arial" w:eastAsia="Arial" w:hAnsi="Arial"/>
                <w:sz w:val="25"/>
                <w:szCs w:val="25"/>
                <w:b w:val="1"/>
                <w:bCs w:val="1"/>
                <w:color w:val="auto"/>
                <w:vertAlign w:val="subscript"/>
              </w:rPr>
              <w:t>Share</w:t>
            </w:r>
            <w:r>
              <w:rPr>
                <w:rFonts w:ascii="Arial" w:cs="Arial" w:eastAsia="Arial" w:hAnsi="Arial"/>
                <w:sz w:val="10"/>
                <w:szCs w:val="10"/>
                <w:b w:val="1"/>
                <w:bCs w:val="1"/>
                <w:color w:val="auto"/>
              </w:rPr>
              <w:t xml:space="preserve"> (c)(d)</w:t>
            </w:r>
          </w:p>
        </w:tc>
        <w:tc>
          <w:tcPr>
            <w:tcW w:w="12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gridSpan w:val="3"/>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gridSpan w:val="3"/>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14,570,798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14,948,836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63" w:right="339" w:bottom="1440" w:gutter="0" w:footer="0" w:header="0"/>
        </w:sectPr>
      </w:pPr>
    </w:p>
    <w:bookmarkStart w:id="15" w:name="page16"/>
    <w:bookmarkEnd w:id="15"/>
    <w:p>
      <w:pPr>
        <w:jc w:val="both"/>
        <w:spacing w:after="0" w:line="302" w:lineRule="auto"/>
        <w:rPr>
          <w:sz w:val="20"/>
          <w:szCs w:val="20"/>
          <w:color w:val="auto"/>
        </w:rPr>
      </w:pPr>
      <w:r>
        <w:rPr>
          <w:rFonts w:ascii="Arial" w:cs="Arial" w:eastAsia="Arial" w:hAnsi="Arial"/>
          <w:sz w:val="19"/>
          <w:szCs w:val="19"/>
          <w:color w:val="auto"/>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75"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pacing w:after="0" w:line="88"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auto"/>
        </w:rPr>
        <w:t>The Company defines these supplemental financial measures as follows:</w:t>
      </w:r>
    </w:p>
    <w:p>
      <w:pPr>
        <w:spacing w:after="0" w:line="92" w:lineRule="exact"/>
        <w:rPr>
          <w:sz w:val="20"/>
          <w:szCs w:val="20"/>
          <w:color w:val="auto"/>
        </w:rPr>
      </w:pPr>
    </w:p>
    <w:p>
      <w:pPr>
        <w:ind w:left="660" w:hanging="328"/>
        <w:spacing w:after="0" w:line="293" w:lineRule="auto"/>
        <w:tabs>
          <w:tab w:leader="none" w:pos="660" w:val="left"/>
        </w:tabs>
        <w:numPr>
          <w:ilvl w:val="0"/>
          <w:numId w:val="4"/>
        </w:numPr>
        <w:rPr>
          <w:rFonts w:ascii="Arial" w:cs="Arial" w:eastAsia="Arial" w:hAnsi="Arial"/>
          <w:sz w:val="21"/>
          <w:szCs w:val="21"/>
          <w:color w:val="auto"/>
        </w:rPr>
      </w:pPr>
      <w:r>
        <w:rPr>
          <w:rFonts w:ascii="Arial" w:cs="Arial" w:eastAsia="Arial" w:hAnsi="Arial"/>
          <w:sz w:val="21"/>
          <w:szCs w:val="21"/>
          <w:b w:val="1"/>
          <w:bCs w:val="1"/>
          <w:color w:val="auto"/>
        </w:rPr>
        <w:t xml:space="preserve">Adjusted Earnings (loss): </w:t>
      </w:r>
      <w:r>
        <w:rPr>
          <w:rFonts w:ascii="Arial" w:cs="Arial" w:eastAsia="Arial" w:hAnsi="Arial"/>
          <w:sz w:val="21"/>
          <w:szCs w:val="21"/>
          <w:color w:val="auto"/>
        </w:rPr>
        <w:t>net income (loss) adjusted for the impact of income taxes, depreciation and amortization</w:t>
      </w:r>
      <w:r>
        <w:rPr>
          <w:rFonts w:ascii="Arial" w:cs="Arial" w:eastAsia="Arial" w:hAnsi="Arial"/>
          <w:sz w:val="21"/>
          <w:szCs w:val="21"/>
          <w:b w:val="1"/>
          <w:bCs w:val="1"/>
          <w:color w:val="auto"/>
        </w:rPr>
        <w:t xml:space="preserve"> </w:t>
      </w:r>
      <w:r>
        <w:rPr>
          <w:rFonts w:ascii="Arial" w:cs="Arial" w:eastAsia="Arial" w:hAnsi="Arial"/>
          <w:sz w:val="21"/>
          <w:szCs w:val="21"/>
          <w:color w:val="auto"/>
        </w:rPr>
        <w:t>expense, share-based compensation, nonrecurring gains and interest income and interest expense.</w:t>
      </w:r>
    </w:p>
    <w:p>
      <w:pPr>
        <w:spacing w:after="0" w:line="320" w:lineRule="exact"/>
        <w:rPr>
          <w:rFonts w:ascii="Arial" w:cs="Arial" w:eastAsia="Arial" w:hAnsi="Arial"/>
          <w:sz w:val="21"/>
          <w:szCs w:val="21"/>
          <w:color w:val="auto"/>
        </w:rPr>
      </w:pPr>
    </w:p>
    <w:p>
      <w:pPr>
        <w:ind w:left="1380" w:hanging="508"/>
        <w:spacing w:after="0"/>
        <w:tabs>
          <w:tab w:leader="none" w:pos="1380" w:val="left"/>
        </w:tabs>
        <w:numPr>
          <w:ilvl w:val="1"/>
          <w:numId w:val="4"/>
        </w:numPr>
        <w:rPr>
          <w:rFonts w:ascii="Arial" w:cs="Arial" w:eastAsia="Arial" w:hAnsi="Arial"/>
          <w:sz w:val="22"/>
          <w:szCs w:val="22"/>
          <w:color w:val="auto"/>
        </w:rPr>
      </w:pPr>
      <w:r>
        <w:rPr>
          <w:rFonts w:ascii="Arial" w:cs="Arial" w:eastAsia="Arial" w:hAnsi="Arial"/>
          <w:sz w:val="22"/>
          <w:szCs w:val="22"/>
          <w:color w:val="auto"/>
        </w:rPr>
        <w:t>Represents the share-based compensation of Cumberland.</w:t>
      </w:r>
    </w:p>
    <w:p>
      <w:pPr>
        <w:spacing w:after="0" w:line="138" w:lineRule="exact"/>
        <w:rPr>
          <w:rFonts w:ascii="Arial" w:cs="Arial" w:eastAsia="Arial" w:hAnsi="Arial"/>
          <w:sz w:val="22"/>
          <w:szCs w:val="22"/>
          <w:color w:val="auto"/>
        </w:rPr>
      </w:pPr>
    </w:p>
    <w:p>
      <w:pPr>
        <w:ind w:left="1780" w:hanging="476"/>
        <w:spacing w:after="0"/>
        <w:tabs>
          <w:tab w:leader="none" w:pos="1780" w:val="left"/>
        </w:tabs>
        <w:numPr>
          <w:ilvl w:val="2"/>
          <w:numId w:val="4"/>
        </w:numPr>
        <w:rPr>
          <w:rFonts w:ascii="Arial" w:cs="Arial" w:eastAsia="Arial" w:hAnsi="Arial"/>
          <w:sz w:val="22"/>
          <w:szCs w:val="22"/>
          <w:color w:val="auto"/>
        </w:rPr>
      </w:pPr>
      <w:r>
        <w:rPr>
          <w:rFonts w:ascii="Arial" w:cs="Arial" w:eastAsia="Arial" w:hAnsi="Arial"/>
          <w:sz w:val="22"/>
          <w:szCs w:val="22"/>
          <w:color w:val="auto"/>
        </w:rPr>
        <w:t>Represents the gain in insurance proceeds.</w:t>
      </w:r>
    </w:p>
    <w:p>
      <w:pPr>
        <w:spacing w:after="0" w:line="152" w:lineRule="exact"/>
        <w:rPr>
          <w:rFonts w:ascii="Arial" w:cs="Arial" w:eastAsia="Arial" w:hAnsi="Arial"/>
          <w:sz w:val="22"/>
          <w:szCs w:val="22"/>
          <w:color w:val="auto"/>
        </w:rPr>
      </w:pPr>
    </w:p>
    <w:p>
      <w:pPr>
        <w:ind w:left="1300" w:right="380" w:firstLine="4"/>
        <w:spacing w:after="0" w:line="263" w:lineRule="auto"/>
        <w:tabs>
          <w:tab w:leader="none" w:pos="1810" w:val="left"/>
        </w:tabs>
        <w:numPr>
          <w:ilvl w:val="2"/>
          <w:numId w:val="4"/>
        </w:numPr>
        <w:rPr>
          <w:rFonts w:ascii="Arial" w:cs="Arial" w:eastAsia="Arial" w:hAnsi="Arial"/>
          <w:sz w:val="22"/>
          <w:szCs w:val="22"/>
          <w:color w:val="auto"/>
        </w:rPr>
      </w:pPr>
      <w:r>
        <w:rPr>
          <w:rFonts w:ascii="Arial" w:cs="Arial" w:eastAsia="Arial" w:hAnsi="Arial"/>
          <w:sz w:val="22"/>
          <w:szCs w:val="22"/>
          <w:color w:val="auto"/>
        </w:rPr>
        <w:t>Adjusted Earnings includes a litigation settlement based on two $500,000 milestone payments due to the Company for the license associated with its Vibativ product.</w:t>
      </w:r>
    </w:p>
    <w:p>
      <w:pPr>
        <w:spacing w:after="0" w:line="107" w:lineRule="exact"/>
        <w:rPr>
          <w:rFonts w:ascii="Arial" w:cs="Arial" w:eastAsia="Arial" w:hAnsi="Arial"/>
          <w:sz w:val="22"/>
          <w:szCs w:val="22"/>
          <w:color w:val="auto"/>
        </w:rPr>
      </w:pPr>
    </w:p>
    <w:p>
      <w:pPr>
        <w:ind w:left="1300" w:right="280" w:firstLine="4"/>
        <w:spacing w:after="0" w:line="263" w:lineRule="auto"/>
        <w:tabs>
          <w:tab w:leader="none" w:pos="1768" w:val="left"/>
        </w:tabs>
        <w:numPr>
          <w:ilvl w:val="2"/>
          <w:numId w:val="4"/>
        </w:numPr>
        <w:rPr>
          <w:rFonts w:ascii="Arial" w:cs="Arial" w:eastAsia="Arial" w:hAnsi="Arial"/>
          <w:sz w:val="22"/>
          <w:szCs w:val="22"/>
          <w:color w:val="auto"/>
        </w:rPr>
      </w:pPr>
      <w:r>
        <w:rPr>
          <w:rFonts w:ascii="Arial" w:cs="Arial" w:eastAsia="Arial" w:hAnsi="Arial"/>
          <w:sz w:val="22"/>
          <w:szCs w:val="22"/>
          <w:color w:val="auto"/>
        </w:rPr>
        <w:t>Adjusted Earnings includes a gain on the refund of 2022 and 2023 FDA fees in the amount of $1.0 million for the quarter and $2.9 million for the year.</w:t>
      </w: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660" w:hanging="328"/>
        <w:spacing w:after="0" w:line="269" w:lineRule="auto"/>
        <w:tabs>
          <w:tab w:leader="none" w:pos="6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Adjusted Diluted Earnings (loss) Per Share: </w:t>
      </w:r>
      <w:r>
        <w:rPr>
          <w:rFonts w:ascii="Arial" w:cs="Arial" w:eastAsia="Arial" w:hAnsi="Arial"/>
          <w:sz w:val="22"/>
          <w:szCs w:val="22"/>
          <w:color w:val="auto"/>
        </w:rPr>
        <w:t>Adjusted Earnings (loss) divided by diluted weighted-average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outstanding.</w:t>
      </w:r>
    </w:p>
    <w:sectPr>
      <w:pgSz w:w="11900" w:h="16838" w:orient="portrait"/>
      <w:cols w:equalWidth="0" w:num="1">
        <w:col w:w="11240"/>
      </w:cols>
      <w:pgMar w:left="320" w:top="10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2023-08-26T09:18:22Z</dcterms:created>
  <dcterms:modified xsi:type="dcterms:W3CDTF">2023-08-26T09:18:22Z</dcterms:modified>
</cp:coreProperties>
</file>