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95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AVE., SUITE 1300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95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286,713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286,793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286,873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286,953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287,033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287,113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287,193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287,273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287,353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287,433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3.79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287,513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287,593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287,673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287,753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287,833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287,913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287,993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288,073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288,141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288,209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288,277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3.5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288,345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958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180" w:type="dxa"/>
            <w:vAlign w:val="bottom"/>
            <w:gridSpan w:val="17"/>
          </w:tcPr>
          <w:p>
            <w:pPr>
              <w:jc w:val="center"/>
              <w:ind w:right="9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6Date.Date ExercisableExpirandtion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ofand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6"/>
              </w:rPr>
              <w:t>TransactionCodeV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of(A)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ExpirationercisableDateDate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0"/>
              </w:rPr>
              <w:t>AmountTitleSharesof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0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0"/>
              </w:rPr>
              <w:t>(Instr.3)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ofResponses: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940" w:type="dxa"/>
            <w:vAlign w:val="bottom"/>
            <w:gridSpan w:val="15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reported purchase occurred automatically pursuant to a Rule 10b5-1 trading plan adopted by the reporting person on November 14, 2024.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Kenneth J. Krogulski by /s/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John Hamm as attorney-in-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08/11/2025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4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4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4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180" w:type="dxa"/>
            <w:vAlign w:val="bottom"/>
            <w:gridSpan w:val="10"/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6358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63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5580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2025-08-11T07:40:24Z</dcterms:created>
  <dcterms:modified xsi:type="dcterms:W3CDTF">2025-08-11T07:40:24Z</dcterms:modified>
</cp:coreProperties>
</file>