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8, 2022 (November 8,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On November 8, 2022, Cumberland Pharmaceuticals Inc. (the "Company") issued a press release which provided a company update and the financial results for the three months and nine months ended September 30, 2022. A copy of the press release is attached as </w:t>
      </w:r>
      <w:r>
        <w:rPr>
          <w:rFonts w:ascii="Arial" w:cs="Arial" w:eastAsia="Arial" w:hAnsi="Arial"/>
          <w:sz w:val="20"/>
          <w:szCs w:val="20"/>
          <w:u w:val="single" w:color="auto"/>
          <w:color w:val="0000FF"/>
        </w:rPr>
        <w:t>Exhibit 99.1</w:t>
      </w:r>
      <w:r>
        <w:rPr>
          <w:rFonts w:ascii="Arial" w:cs="Arial" w:eastAsia="Arial" w:hAnsi="Arial"/>
          <w:sz w:val="20"/>
          <w:szCs w:val="20"/>
          <w:color w:val="auto"/>
        </w:rPr>
        <w:t xml:space="preserve"> to this Current Report on Form 8-K and is incorporated by reference into this Item 2.02.</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Arial" w:cs="Arial" w:eastAsia="Arial" w:hAnsi="Arial"/>
                <w:sz w:val="18"/>
                <w:szCs w:val="18"/>
                <w:color w:val="0000FF"/>
              </w:rPr>
              <w:t>Press release dated November 8, 2022</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top w:val="single" w:sz="8" w:color="0000FF"/>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Arial" w:cs="Arial" w:eastAsia="Arial" w:hAnsi="Arial"/>
                <w:sz w:val="18"/>
                <w:szCs w:val="18"/>
                <w:color w:val="auto"/>
              </w:rPr>
              <w:t>Dated: November 8, 2022</w:t>
            </w:r>
          </w:p>
        </w:tc>
        <w:tc>
          <w:tcPr>
            <w:tcW w:w="3920" w:type="dxa"/>
            <w:vAlign w:val="bottom"/>
          </w:tcPr>
          <w:p>
            <w:pPr>
              <w:ind w:left="25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Cumberland Pharmaceuticals Reports 41% Revenue Growth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Company Also Delivers Growing Cash Flow from Operations</w:t>
      </w:r>
    </w:p>
    <w:p>
      <w:pPr>
        <w:spacing w:after="0" w:line="14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NASHVILLE, TENNESSEE (Tuesday, November 8, 2022) - Cumberland Pharmaceuticals Inc. (NASDAQ: CPIX)</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specialty pharmaceutical company, announced today that its product portfolio of FDA-approved brands delivered combined revenues of $11.4 million during the third quarter of 2022 - a 41% increase over the prior year period. Cumberland also reported a 19% increase in net revenues for the first nine months of the year compared to the same period in 2021.</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ended the third quarter with $91 million in total assets, $53 million in total liabilities, and $38 million of shareholders’ equity.</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“Fueled by initial sales from our newest product Sancuso, we saw tremendous growth during the third quarter and the first nine months of 2022,” said A.J. Kazimi, CEO of Cumberland Pharmaceuticals. “As we move through the final quarter of the year, we look forward to building on this success. As always, we remain sharply focused on our mission of improving patient care through the delivery of high-quality medicines.”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 HIGHLIGHTS: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Sancuso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Acquisition and Transition</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Following its acquisition of Sancuso from Kyowa Kirin, Inc. in January, Cumberland largely completed the transition of the product, assuming responsibilities for its sales, distribution and promotion in the U.S. Sancuso is an FDA-approved prescription patch that prevents nausea and vomiting in patients undergoing certain types of chemotherapy.</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Sancuso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Promotion</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 formed a new sales division, Cumberland Oncology, to support Sancuso and also entered into an agreement with Verity Pharmaceuticals International Limited for the national co-promotion of the brand.</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Under the terms of the agreement, Verity will utilize its established oncology commercial organization to co-promote Sancuso throughout the U.S. Verity completed the training and launched its sales efforts in support of Sancuso during the third quarter of 2022.</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RediTrex</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Agreement with Nordic Pharma</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 July 2022, Cumberland entered into an amendment to its agreement with Nordic Pharma addressing the responsibilities and financial arrangements regarding Cumberland’s license to Nordic’s methotrexate line of products for the U.S., which are marketed under the brand name RediTrex.</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Based on the amendment, Nordic has the opportunity to assume responsibility for commercializing the methotrexate products in the U.S. after March 31, 2023. Until then, Cumberland will continue to distribute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and support the RediTrex product line. Following the return of the license, Nordic will provide Cumberland with a royalty on their future sales of the product through April 2035.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Headquarter Office Location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October 2022, Cumberland relocated its headquarters to the Broadwest campus in the Vanderbilt/West End corridor of Nashville. The new, state-of-the-art headquarters keeps the company close to Vanderbilt University Medical Center, enabling their continued collaboration as Cumberland works to develop new medicines for the future.</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move also allows Cumberland to accommodate recent and future growth. Following the relocation, Cumberland expects to expand its organization to over 100 individuals, with a majority working from the Nashville headquarters.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Ifetroban Clinical Studies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Currently, Cumberland is sponsoring three Phase II clinical trials to evaluate its ifetroban product candidate, for patients with:</w:t>
      </w:r>
    </w:p>
    <w:p>
      <w:pPr>
        <w:spacing w:after="0" w:line="17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i w:val="1"/>
          <w:iCs w:val="1"/>
          <w:color w:val="auto"/>
        </w:rPr>
        <w:t xml:space="preserve">Aspirin-Exacerbated Respiratory Disease </w:t>
      </w:r>
      <w:r>
        <w:rPr>
          <w:rFonts w:ascii="Arial" w:cs="Arial" w:eastAsia="Arial" w:hAnsi="Arial"/>
          <w:sz w:val="22"/>
          <w:szCs w:val="22"/>
          <w:color w:val="auto"/>
        </w:rPr>
        <w:t>(“AERD”), a severe form of asthma;</w:t>
      </w:r>
    </w:p>
    <w:p>
      <w:pPr>
        <w:spacing w:after="0" w:line="165" w:lineRule="exact"/>
        <w:rPr>
          <w:rFonts w:ascii="Arial" w:cs="Arial" w:eastAsia="Arial" w:hAnsi="Arial"/>
          <w:sz w:val="20"/>
          <w:szCs w:val="20"/>
          <w:color w:val="auto"/>
        </w:rPr>
      </w:pPr>
    </w:p>
    <w:p>
      <w:pPr>
        <w:ind w:left="660" w:hanging="328"/>
        <w:spacing w:after="0" w:line="26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i w:val="1"/>
          <w:iCs w:val="1"/>
          <w:color w:val="auto"/>
        </w:rPr>
        <w:t>Systemic Sclerosis</w:t>
      </w:r>
      <w:r>
        <w:rPr>
          <w:rFonts w:ascii="Arial" w:cs="Arial" w:eastAsia="Arial" w:hAnsi="Arial"/>
          <w:sz w:val="22"/>
          <w:szCs w:val="22"/>
          <w:color w:val="auto"/>
        </w:rPr>
        <w:t>, a debilitating autoimmune disorder characterized by diffuse fibrosis of the skin and internal organs;</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p>
    <w:p>
      <w:pPr>
        <w:spacing w:after="0" w:line="107"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color w:val="auto"/>
        </w:rPr>
        <w:t xml:space="preserve">Cardiomyopathy associated with </w:t>
      </w:r>
      <w:r>
        <w:rPr>
          <w:rFonts w:ascii="Arial" w:cs="Arial" w:eastAsia="Arial" w:hAnsi="Arial"/>
          <w:sz w:val="22"/>
          <w:szCs w:val="22"/>
          <w:i w:val="1"/>
          <w:iCs w:val="1"/>
          <w:color w:val="auto"/>
        </w:rPr>
        <w:t>Duchenne Muscular Dystrophy</w:t>
      </w:r>
      <w:r>
        <w:rPr>
          <w:rFonts w:ascii="Arial" w:cs="Arial" w:eastAsia="Arial" w:hAnsi="Arial"/>
          <w:sz w:val="22"/>
          <w:szCs w:val="22"/>
          <w:color w:val="auto"/>
        </w:rPr>
        <w:t>, a genetic neuromuscular disease that results in deterioration of the skeletal, heart and lung muscles.</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is also working on an application to the FDA for a fourth Phase II program, which will evaluate the use of ifetroban to treat patients with Progressive Fibrosing Interstitial Lung Diseases.</w:t>
      </w:r>
    </w:p>
    <w:p>
      <w:pPr>
        <w:spacing w:after="0" w:line="10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company-sponsored AERD study has been closed to enrollment. Once quality checks on the study database are complete, analysis of the results will be conducted and top-line results will then be announced. Once the results of its other sponsored Phase II studies are available, Cumberland will decide on the best development path for the registration of ifetroban.</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79" w:lineRule="exact"/>
        <w:rPr>
          <w:sz w:val="20"/>
          <w:szCs w:val="20"/>
          <w:color w:val="auto"/>
        </w:rPr>
      </w:pPr>
    </w:p>
    <w:p>
      <w:pPr>
        <w:ind w:right="80"/>
        <w:spacing w:after="0" w:line="282" w:lineRule="auto"/>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September 30, 2022, net revenues from continuing operations were $11.4 million, a</w:t>
      </w:r>
      <w:r>
        <w:rPr>
          <w:rFonts w:ascii="Arial" w:cs="Arial" w:eastAsia="Arial" w:hAnsi="Arial"/>
          <w:sz w:val="22"/>
          <w:szCs w:val="22"/>
          <w:b w:val="1"/>
          <w:bCs w:val="1"/>
          <w:color w:val="auto"/>
        </w:rPr>
        <w:t xml:space="preserve"> </w:t>
      </w:r>
      <w:r>
        <w:rPr>
          <w:rFonts w:ascii="Arial" w:cs="Arial" w:eastAsia="Arial" w:hAnsi="Arial"/>
          <w:sz w:val="22"/>
          <w:szCs w:val="22"/>
          <w:color w:val="auto"/>
        </w:rPr>
        <w:t>41% increase over the prior year period.</w:t>
      </w:r>
    </w:p>
    <w:p>
      <w:pPr>
        <w:spacing w:after="0" w:line="73"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Net revenue by product for the third quarter of 2022, included $4.0 million for Sancuso</w:t>
      </w:r>
      <w:r>
        <w:rPr>
          <w:rFonts w:ascii="Arial" w:cs="Arial" w:eastAsia="Arial" w:hAnsi="Arial"/>
          <w:sz w:val="28"/>
          <w:szCs w:val="28"/>
          <w:color w:val="auto"/>
          <w:vertAlign w:val="superscript"/>
        </w:rPr>
        <w:t>®</w:t>
      </w:r>
      <w:r>
        <w:rPr>
          <w:rFonts w:ascii="Arial" w:cs="Arial" w:eastAsia="Arial" w:hAnsi="Arial"/>
          <w:sz w:val="22"/>
          <w:szCs w:val="22"/>
          <w:color w:val="auto"/>
        </w:rPr>
        <w:t>, $3.9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$1.9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$0.9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Year-to-date 2022 net revenues were $33 million, a 19% increase compared to $28 million for the first nine months of 2021.</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Year-to-date net revenues by product were $11.4 million for Kristalose, $10.8 million for Sancuso, $6.0 million for Vibativ and $3.1 million for Caldolor.</w:t>
      </w:r>
    </w:p>
    <w:p>
      <w:pPr>
        <w:spacing w:after="0" w:line="101"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third quarter were $11.7 million, compared to $9.6 million for the prior</w:t>
      </w:r>
      <w:r>
        <w:rPr>
          <w:rFonts w:ascii="Arial" w:cs="Arial" w:eastAsia="Arial" w:hAnsi="Arial"/>
          <w:sz w:val="22"/>
          <w:szCs w:val="22"/>
          <w:b w:val="1"/>
          <w:bCs w:val="1"/>
          <w:color w:val="auto"/>
        </w:rPr>
        <w:t xml:space="preserve"> </w:t>
      </w:r>
      <w:r>
        <w:rPr>
          <w:rFonts w:ascii="Arial" w:cs="Arial" w:eastAsia="Arial" w:hAnsi="Arial"/>
          <w:sz w:val="22"/>
          <w:szCs w:val="22"/>
          <w:color w:val="auto"/>
        </w:rPr>
        <w:t>year period.</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Year-to-date 2022 operating expenses were $36.3 million, compared to $31.0 million for 2021.</w:t>
      </w:r>
    </w:p>
    <w:p>
      <w:pPr>
        <w:spacing w:after="0" w:line="146" w:lineRule="exact"/>
        <w:rPr>
          <w:sz w:val="20"/>
          <w:szCs w:val="20"/>
          <w:color w:val="auto"/>
        </w:rPr>
      </w:pPr>
    </w:p>
    <w:p>
      <w:pPr>
        <w:ind w:right="100"/>
        <w:spacing w:after="0" w:line="269"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loss for the third quarter of 2022 was $0.4 million, a significant improvement over the $1.1 million net loss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prior year period.</w:t>
      </w:r>
    </w:p>
    <w:p>
      <w:pPr>
        <w:sectPr>
          <w:pgSz w:w="11900" w:h="16838" w:orient="portrait"/>
          <w:cols w:equalWidth="0" w:num="1">
            <w:col w:w="11240"/>
          </w:cols>
          <w:pgMar w:left="320" w:top="1050" w:right="339" w:bottom="1440" w:gutter="0" w:footer="0" w:header="0"/>
        </w:sectPr>
      </w:pPr>
    </w:p>
    <w:bookmarkStart w:id="5" w:name="page6"/>
    <w:bookmarkEnd w:id="5"/>
    <w:p>
      <w:pPr>
        <w:jc w:val="both"/>
        <w:ind w:right="80"/>
        <w:spacing w:after="0" w:line="249" w:lineRule="auto"/>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third quarter of 2022 were $1.4 million, or $0.10 per share, a significant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 over the $0.3 million adjusted loss during the same period in 2021</w:t>
      </w:r>
      <w:r>
        <w:rPr>
          <w:rFonts w:ascii="Arial" w:cs="Arial" w:eastAsia="Arial" w:hAnsi="Arial"/>
          <w:sz w:val="17"/>
          <w:szCs w:val="17"/>
          <w:color w:val="auto"/>
        </w:rPr>
        <w:t>.</w:t>
      </w:r>
      <w:r>
        <w:rPr>
          <w:rFonts w:ascii="Arial" w:cs="Arial" w:eastAsia="Arial" w:hAnsi="Arial"/>
          <w:sz w:val="22"/>
          <w:szCs w:val="22"/>
          <w:color w:val="auto"/>
        </w:rPr>
        <w:t xml:space="preserve"> The third quarter 2022 adjusted earnings calculation does not include the benefit of the $1.0 million of Vibativ cost of goods, which were received with the product acquisition. It also does not include the benefit of the $0.4 million of Sancuso cost of goods, which were received with that product’s acquisition.</w:t>
      </w:r>
    </w:p>
    <w:p>
      <w:pPr>
        <w:spacing w:after="0" w:line="119" w:lineRule="exact"/>
        <w:rPr>
          <w:sz w:val="20"/>
          <w:szCs w:val="20"/>
          <w:color w:val="auto"/>
        </w:rPr>
      </w:pPr>
    </w:p>
    <w:p>
      <w:pPr>
        <w:ind w:right="140"/>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Year-to-date</w:t>
      </w:r>
      <w:r>
        <w:rPr>
          <w:rFonts w:ascii="Arial" w:cs="Arial" w:eastAsia="Arial" w:hAnsi="Arial"/>
          <w:sz w:val="22"/>
          <w:szCs w:val="22"/>
          <w:b w:val="1"/>
          <w:bCs w:val="1"/>
          <w:color w:val="auto"/>
        </w:rPr>
        <w:t xml:space="preserve"> c</w:t>
      </w:r>
      <w:r>
        <w:rPr>
          <w:rFonts w:ascii="Arial" w:cs="Arial" w:eastAsia="Arial" w:hAnsi="Arial"/>
          <w:sz w:val="22"/>
          <w:szCs w:val="22"/>
          <w:color w:val="auto"/>
        </w:rPr>
        <w:t>ash flow from operations was $5.6 million, a 28% increase over the $4.4 million during the prior year</w:t>
      </w:r>
      <w:r>
        <w:rPr>
          <w:rFonts w:ascii="Arial" w:cs="Arial" w:eastAsia="Arial" w:hAnsi="Arial"/>
          <w:sz w:val="22"/>
          <w:szCs w:val="22"/>
          <w:b w:val="1"/>
          <w:bCs w:val="1"/>
          <w:color w:val="auto"/>
        </w:rPr>
        <w:t xml:space="preserve"> </w:t>
      </w:r>
      <w:r>
        <w:rPr>
          <w:rFonts w:ascii="Arial" w:cs="Arial" w:eastAsia="Arial" w:hAnsi="Arial"/>
          <w:sz w:val="22"/>
          <w:szCs w:val="22"/>
          <w:color w:val="auto"/>
        </w:rPr>
        <w:t>period.</w:t>
      </w:r>
    </w:p>
    <w:p>
      <w:pPr>
        <w:spacing w:after="0" w:line="94" w:lineRule="exact"/>
        <w:rPr>
          <w:sz w:val="20"/>
          <w:szCs w:val="20"/>
          <w:color w:val="auto"/>
        </w:rPr>
      </w:pPr>
    </w:p>
    <w:p>
      <w:pPr>
        <w:jc w:val="both"/>
        <w:ind w:right="80"/>
        <w:spacing w:after="0" w:line="262"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September 30, 2022, Cumberland had $91 million in total assets, including $20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Total liabilities were $53 million, including $18 million outstanding on the Company's revolving line of credit. Total shareholders' equity was $38 million.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REPORT CALL:</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Cumberland will provide its financial results for the third quarter of 2022 via a conference call today at 4:30 p.m. Eastern Time.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To join the call, register at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https://register.vevent.com/register/BI21ae99e384c446cfb00fbab05f8bf1a3.</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Registered participants can dial in from their phone using a dial-in and PIN number that will be provided. They can also choose a “Call Me” option to have the system automatically call them at the start of the conference call.</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Available on Cumberland’s website for one year, a replay of the call can be accessed by visiting https://edge.media-server.com/mmc/p/cg5rqxms.</w:t>
      </w:r>
    </w:p>
    <w:p>
      <w:pPr>
        <w:sectPr>
          <w:pgSz w:w="11900" w:h="16838" w:orient="portrait"/>
          <w:cols w:equalWidth="0" w:num="1">
            <w:col w:w="11240"/>
          </w:cols>
          <w:pgMar w:left="320" w:top="104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Cumberland Pharmaceuticals Inc. </w:t>
      </w:r>
      <w:r>
        <w:rPr>
          <w:rFonts w:ascii="Arial" w:cs="Arial" w:eastAsia="Arial" w:hAnsi="Arial"/>
          <w:sz w:val="19"/>
          <w:szCs w:val="19"/>
          <w:color w:val="auto"/>
        </w:rPr>
        <w:t>is the largest biopharmaceutical company founded and headquartered in the Mid-South and</w:t>
      </w:r>
      <w:r>
        <w:rPr>
          <w:rFonts w:ascii="Arial" w:cs="Arial" w:eastAsia="Arial" w:hAnsi="Arial"/>
          <w:sz w:val="19"/>
          <w:szCs w:val="19"/>
          <w:b w:val="1"/>
          <w:bCs w:val="1"/>
          <w:color w:val="auto"/>
        </w:rPr>
        <w:t xml:space="preserve"> </w:t>
      </w:r>
      <w:r>
        <w:rPr>
          <w:rFonts w:ascii="Arial" w:cs="Arial" w:eastAsia="Arial" w:hAnsi="Arial"/>
          <w:sz w:val="19"/>
          <w:szCs w:val="19"/>
          <w:color w:val="auto"/>
        </w:rPr>
        <w:t>is focused on the delivery of high-quality, prescription brands designed to improve patient care. The company develops, acquires, and commercializes products for the hospital acute care, gastroenterology, rheumatology and oncology market segments.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40"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83" w:lineRule="exact"/>
        <w:rPr>
          <w:rFonts w:ascii="Arial" w:cs="Arial" w:eastAsia="Arial" w:hAnsi="Arial"/>
          <w:sz w:val="18"/>
          <w:szCs w:val="18"/>
          <w:b w:val="1"/>
          <w:bCs w:val="1"/>
          <w:color w:val="auto"/>
        </w:rPr>
      </w:pPr>
    </w:p>
    <w:p>
      <w:pPr>
        <w:ind w:left="560" w:hanging="309"/>
        <w:spacing w:after="0"/>
        <w:tabs>
          <w:tab w:leader="none" w:pos="5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3" w:lineRule="exact"/>
        <w:rPr>
          <w:rFonts w:ascii="Arial" w:cs="Arial" w:eastAsia="Arial" w:hAnsi="Arial"/>
          <w:sz w:val="22"/>
          <w:szCs w:val="22"/>
          <w:b w:val="1"/>
          <w:bCs w:val="1"/>
          <w:color w:val="auto"/>
        </w:rPr>
      </w:pPr>
    </w:p>
    <w:p>
      <w:pPr>
        <w:ind w:left="580" w:hanging="329"/>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oral, a prescription laxative, for the treatment of constipation;</w:t>
      </w:r>
    </w:p>
    <w:p>
      <w:pPr>
        <w:spacing w:after="0" w:line="75" w:lineRule="exact"/>
        <w:rPr>
          <w:rFonts w:ascii="Arial" w:cs="Arial" w:eastAsia="Arial" w:hAnsi="Arial"/>
          <w:sz w:val="18"/>
          <w:szCs w:val="18"/>
          <w:b w:val="1"/>
          <w:bCs w:val="1"/>
          <w:color w:val="auto"/>
        </w:rPr>
      </w:pPr>
    </w:p>
    <w:p>
      <w:pPr>
        <w:ind w:left="580" w:right="380" w:hanging="329"/>
        <w:spacing w:after="0" w:line="229" w:lineRule="auto"/>
        <w:tabs>
          <w:tab w:leader="none" w:pos="575"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oral,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12" w:lineRule="exact"/>
        <w:rPr>
          <w:rFonts w:ascii="Arial" w:cs="Arial" w:eastAsia="Arial" w:hAnsi="Arial"/>
          <w:sz w:val="18"/>
          <w:szCs w:val="18"/>
          <w:b w:val="1"/>
          <w:bCs w:val="1"/>
          <w:color w:val="auto"/>
        </w:rPr>
      </w:pPr>
    </w:p>
    <w:p>
      <w:pPr>
        <w:ind w:left="580" w:right="360" w:hanging="329"/>
        <w:spacing w:after="0" w:line="229" w:lineRule="auto"/>
        <w:tabs>
          <w:tab w:leader="none" w:pos="575"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26" w:lineRule="exact"/>
        <w:rPr>
          <w:rFonts w:ascii="Arial" w:cs="Arial" w:eastAsia="Arial" w:hAnsi="Arial"/>
          <w:sz w:val="18"/>
          <w:szCs w:val="18"/>
          <w:b w:val="1"/>
          <w:bCs w:val="1"/>
          <w:color w:val="auto"/>
        </w:rPr>
      </w:pPr>
    </w:p>
    <w:p>
      <w:pPr>
        <w:ind w:left="580" w:right="20" w:hanging="329"/>
        <w:spacing w:after="0" w:line="269" w:lineRule="auto"/>
        <w:tabs>
          <w:tab w:leader="none" w:pos="57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for the prevention of nausea and vomiting in patients receiving certain types of</w:t>
      </w:r>
      <w:r>
        <w:rPr>
          <w:rFonts w:ascii="Arial" w:cs="Arial" w:eastAsia="Arial" w:hAnsi="Arial"/>
          <w:sz w:val="22"/>
          <w:szCs w:val="22"/>
          <w:b w:val="1"/>
          <w:bCs w:val="1"/>
          <w:color w:val="auto"/>
        </w:rPr>
        <w:t xml:space="preserve"> </w:t>
      </w:r>
      <w:r>
        <w:rPr>
          <w:rFonts w:ascii="Arial" w:cs="Arial" w:eastAsia="Arial" w:hAnsi="Arial"/>
          <w:sz w:val="22"/>
          <w:szCs w:val="22"/>
          <w:color w:val="auto"/>
        </w:rPr>
        <w:t>chemotherapy treatment;</w:t>
      </w:r>
    </w:p>
    <w:p>
      <w:pPr>
        <w:spacing w:after="0" w:line="88" w:lineRule="exact"/>
        <w:rPr>
          <w:rFonts w:ascii="Arial" w:cs="Arial" w:eastAsia="Arial" w:hAnsi="Arial"/>
          <w:sz w:val="22"/>
          <w:szCs w:val="22"/>
          <w:color w:val="auto"/>
        </w:rPr>
      </w:pPr>
    </w:p>
    <w:p>
      <w:pPr>
        <w:ind w:left="580" w:right="380" w:hanging="329"/>
        <w:spacing w:after="0" w:line="226" w:lineRule="auto"/>
        <w:tabs>
          <w:tab w:leader="none" w:pos="575"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 and</w:t>
      </w:r>
    </w:p>
    <w:p>
      <w:pPr>
        <w:spacing w:after="0" w:line="120" w:lineRule="exact"/>
        <w:rPr>
          <w:rFonts w:ascii="Arial" w:cs="Arial" w:eastAsia="Arial" w:hAnsi="Arial"/>
          <w:sz w:val="18"/>
          <w:szCs w:val="18"/>
          <w:b w:val="1"/>
          <w:bCs w:val="1"/>
          <w:color w:val="auto"/>
        </w:rPr>
      </w:pPr>
    </w:p>
    <w:p>
      <w:pPr>
        <w:ind w:left="580" w:right="380" w:hanging="329"/>
        <w:spacing w:after="0" w:line="254" w:lineRule="auto"/>
        <w:tabs>
          <w:tab w:leader="none" w:pos="575"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Systemic Sclerosis, and Aspirin-Exacerbated Respiratory Disease.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www.cumberlandpharma.com.</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EMERGING TECHNOLOGIES: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Cumberland Emerging Technologies, Inc. (</w:t>
      </w:r>
      <w:r>
        <w:rPr>
          <w:rFonts w:ascii="Arial" w:cs="Arial" w:eastAsia="Arial" w:hAnsi="Arial"/>
          <w:sz w:val="19"/>
          <w:szCs w:val="19"/>
          <w:color w:val="0563C1"/>
        </w:rPr>
        <w:t>www.cet-fund.com</w:t>
      </w:r>
      <w:r>
        <w:rPr>
          <w:rFonts w:ascii="Arial" w:cs="Arial" w:eastAsia="Arial" w:hAnsi="Arial"/>
          <w:sz w:val="19"/>
          <w:szCs w:val="19"/>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 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ectPr>
          <w:pgSz w:w="11900" w:h="16838" w:orient="portrait"/>
          <w:cols w:equalWidth="0" w:num="1">
            <w:col w:w="11240"/>
          </w:cols>
          <w:pgMar w:left="320" w:top="103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ectPr>
          <w:pgSz w:w="11900" w:h="16838" w:orient="portrait"/>
          <w:cols w:equalWidth="0" w:num="1">
            <w:col w:w="11240"/>
          </w:cols>
          <w:pgMar w:left="320" w:top="10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10-K as filed with the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89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Molly Aggas</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Cumberland Pharmaceuticals Inc.</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(704) 641-6641</w:t>
            </w:r>
          </w:p>
        </w:tc>
      </w:tr>
      <w:tr>
        <w:trPr>
          <w:trHeight w:val="598"/>
        </w:trPr>
        <w:tc>
          <w:tcPr>
            <w:tcW w:w="288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Arial" w:cs="Arial" w:eastAsia="Arial" w:hAnsi="Arial"/>
                <w:sz w:val="22"/>
                <w:szCs w:val="22"/>
                <w:color w:val="auto"/>
              </w:rPr>
              <w:t>- MORE -</w:t>
            </w:r>
          </w:p>
        </w:tc>
      </w:tr>
    </w:tbl>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15,086,763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6,877,346</w:t>
            </w: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8,429,882</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3,738,842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3,339,969</w:t>
            </w: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49,014,672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45,688,013</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7,497,356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9,048,567</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442,635</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29,048,043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23,954,475</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219,850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1,024,200</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2,426,996</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3,419,908</w:t>
            </w: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91,424,673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9,640,980</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969,677</w:t>
            </w: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8,668,303</w:t>
            </w: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25,954,343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19,278,960</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16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90,016</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7,488,844</w:t>
            </w:r>
          </w:p>
        </w:tc>
      </w:tr>
      <w:tr>
        <w:trPr>
          <w:trHeight w:val="223"/>
        </w:trPr>
        <w:tc>
          <w:tcPr>
            <w:tcW w:w="7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52,933,551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41,857,820</w:t>
            </w: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2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14,436,583 and 14,742,754</w:t>
            </w: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Arial" w:cs="Arial" w:eastAsia="Arial" w:hAnsi="Arial"/>
                <w:sz w:val="18"/>
                <w:szCs w:val="18"/>
                <w:color w:val="auto"/>
                <w:w w:val="90"/>
              </w:rPr>
              <w:t>shares issued and outstanding as of September 30, 2022 and December 31, 2021, respectively</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47,532,375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48,452,906</w:t>
            </w: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(8,768,112)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(5,638,600)</w:t>
            </w:r>
          </w:p>
        </w:tc>
      </w:tr>
      <w:tr>
        <w:trPr>
          <w:trHeight w:val="223"/>
        </w:trPr>
        <w:tc>
          <w:tcPr>
            <w:tcW w:w="722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38,764,263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42,814,306</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(212,328)</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38,491,122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42,601,978</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91,424,673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23"/>
        </w:trPr>
        <w:tc>
          <w:tcPr>
            <w:tcW w:w="47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11,413,072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8,072,540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27,665,182</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2,224,443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5,486,005</w:t>
            </w: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4,110,397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3,800,288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13,281,511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11,709,445</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1,714,254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4,071,638</w:t>
            </w: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2,166,118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2,039,799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6,672,442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6,367,438</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1,486,448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1,013,948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4,609,146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3,354,080</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11,701,660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9,635,935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36,314,394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30,988,606</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(3,323,424)</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(70,297)</w:t>
            </w:r>
          </w:p>
        </w:tc>
      </w:tr>
      <w:tr>
        <w:trPr>
          <w:trHeight w:val="155"/>
        </w:trPr>
        <w:tc>
          <w:tcPr>
            <w:tcW w:w="4700" w:type="dxa"/>
            <w:vAlign w:val="bottom"/>
          </w:tcPr>
          <w:p>
            <w:pPr>
              <w:ind w:left="360"/>
              <w:spacing w:after="0" w:line="156" w:lineRule="exact"/>
              <w:rPr>
                <w:sz w:val="20"/>
                <w:szCs w:val="20"/>
                <w:color w:val="auto"/>
              </w:rPr>
            </w:pPr>
            <w:r>
              <w:rPr>
                <w:rFonts w:ascii="Arial" w:cs="Arial" w:eastAsia="Arial" w:hAnsi="Arial"/>
                <w:sz w:val="18"/>
                <w:szCs w:val="18"/>
                <w:color w:val="auto"/>
                <w:w w:val="97"/>
              </w:rPr>
              <w:t>Income (loss) from continuing operations before income</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(416,326)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(1,576,022)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(3,169,625)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(1,187,170)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(22,375)</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(423,226)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(1,583,480)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(1,209,545)</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496,787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1,491,004</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(423,226)</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(1,086,693)</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281,459</w:t>
            </w: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Net (income) loss at subsidiary attributable to noncontrolling</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14,587</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31,415</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58,651</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Net loss attributable to common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(408,639)</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(1,055,278)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(3,129,512)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340,110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Earnings (loss) per share attributable to common shareholders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 Continuing operations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basic</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47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 Continuing operations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diluted</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47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 basic</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14,477,478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14,880,887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14,618,975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14,939,919</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14,477,478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14,880,887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15,139,904</w:t>
            </w:r>
          </w:p>
        </w:tc>
      </w:tr>
    </w:tbl>
    <w:p>
      <w:pPr>
        <w:sectPr>
          <w:pgSz w:w="11900" w:h="16838" w:orient="portrait"/>
          <w:cols w:equalWidth="0" w:num="1">
            <w:col w:w="11240"/>
          </w:cols>
          <w:pgMar w:left="320" w:top="89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281,459</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1,491,004</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income(loss) from continuing operations</w:t>
            </w:r>
          </w:p>
        </w:tc>
        <w:tc>
          <w:tcPr>
            <w:tcW w:w="3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(1,209,545)</w:t>
            </w:r>
          </w:p>
        </w:tc>
      </w:tr>
      <w:tr>
        <w:trPr>
          <w:trHeight w:val="175"/>
        </w:trPr>
        <w:tc>
          <w:tcPr>
            <w:tcW w:w="7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Adjustments to reconcile net income (loss) from continuing operations to net cash provided by</w:t>
            </w:r>
          </w:p>
        </w:tc>
        <w:tc>
          <w:tcPr>
            <w:tcW w:w="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(used in) operating activities:</w:t>
            </w:r>
          </w:p>
        </w:tc>
        <w:tc>
          <w:tcPr>
            <w:tcW w:w="3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4,816,630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3,529,245</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517,081</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Decrease (increase) in non-cash contingent consideration</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1,051,908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(632,646)</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Decrease (increase) in cash surrender value of life insurance policies over premiums paid</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33,943</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forgiveness of debt</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Gain on receivable of life insurance policy proceeds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(8,038,722)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2,527,183</w:t>
            </w:r>
          </w:p>
        </w:tc>
      </w:tr>
      <w:tr>
        <w:trPr>
          <w:trHeight w:val="230"/>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2,555,393</w:t>
            </w: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4,355,396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1,627,350</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(2,873,596)</w:t>
            </w:r>
          </w:p>
        </w:tc>
      </w:tr>
      <w:tr>
        <w:trPr>
          <w:trHeight w:val="230"/>
        </w:trPr>
        <w:tc>
          <w:tcPr>
            <w:tcW w:w="7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(2,472,453)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(943,439)</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5,609,419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2,891,759</w:t>
            </w: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1,491,004</w:t>
            </w:r>
          </w:p>
        </w:tc>
      </w:tr>
      <w:tr>
        <w:trPr>
          <w:trHeight w:val="223"/>
        </w:trPr>
        <w:tc>
          <w:tcPr>
            <w:tcW w:w="7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5,609,419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4,382,763</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(94,485)</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Settlement of patent litigation</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Life insurance policy proceeds received</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Note receivable investment funding</w:t>
            </w:r>
          </w:p>
        </w:tc>
        <w:tc>
          <w:tcPr>
            <w:tcW w:w="3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(180,613)</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(13,827,738)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(475,098)</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(45,000,000)</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(1,792,573)</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(1,025,657)</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(2,818,230)</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(7,499,278)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1,089,435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19,541,538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25,843,231</w:t>
            </w:r>
          </w:p>
        </w:tc>
      </w:tr>
      <w:tr>
        <w:trPr>
          <w:trHeight w:val="20"/>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91" w:right="379" w:bottom="1440" w:gutter="0" w:footer="0" w:header="0"/>
        </w:sectPr>
      </w:pPr>
    </w:p>
    <w:bookmarkStart w:id="13" w:name="page14"/>
    <w:bookmarkEnd w:id="13"/>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Three months ended September 30,</w:t>
            </w:r>
          </w:p>
        </w:tc>
        <w:tc>
          <w:tcPr>
            <w:tcW w:w="120" w:type="dxa"/>
            <w:vAlign w:val="bottom"/>
          </w:tcPr>
          <w:p>
            <w:pPr>
              <w:spacing w:after="0"/>
              <w:rPr>
                <w:sz w:val="20"/>
                <w:szCs w:val="20"/>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1"/>
              </w:rPr>
              <w:t>Three months ended September 30,</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88"/>
              </w:rPr>
              <w:t>Earnings per share</w:t>
            </w:r>
          </w:p>
        </w:tc>
        <w:tc>
          <w:tcPr>
            <w:tcW w:w="120" w:type="dxa"/>
            <w:vAlign w:val="bottom"/>
          </w:tcPr>
          <w:p>
            <w:pPr>
              <w:spacing w:after="0"/>
              <w:rPr>
                <w:sz w:val="16"/>
                <w:szCs w:val="16"/>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4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36"/>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center"/>
              <w:ind w:right="210"/>
              <w:spacing w:after="0"/>
              <w:rPr>
                <w:sz w:val="20"/>
                <w:szCs w:val="20"/>
                <w:color w:val="auto"/>
              </w:rPr>
            </w:pPr>
            <w:r>
              <w:rPr>
                <w:rFonts w:ascii="Arial" w:cs="Arial" w:eastAsia="Arial" w:hAnsi="Arial"/>
                <w:sz w:val="18"/>
                <w:szCs w:val="18"/>
                <w:color w:val="auto"/>
                <w:w w:val="90"/>
              </w:rPr>
              <w:t>impact</w:t>
            </w: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88"/>
        </w:trPr>
        <w:tc>
          <w:tcPr>
            <w:tcW w:w="5300" w:type="dxa"/>
            <w:vAlign w:val="bottom"/>
          </w:tcPr>
          <w:p>
            <w:pPr>
              <w:ind w:left="20"/>
              <w:spacing w:after="0" w:line="189" w:lineRule="exact"/>
              <w:rPr>
                <w:sz w:val="20"/>
                <w:szCs w:val="20"/>
                <w:color w:val="auto"/>
              </w:rPr>
            </w:pPr>
            <w:r>
              <w:rPr>
                <w:rFonts w:ascii="Arial" w:cs="Arial" w:eastAsia="Arial" w:hAnsi="Arial"/>
                <w:sz w:val="18"/>
                <w:szCs w:val="18"/>
                <w:color w:val="auto"/>
              </w:rPr>
              <w:t>Less: Net (income) loss at subsidiary attributable to noncontrolling</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496,787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(423,226)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1,544,545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5300" w:type="dxa"/>
            <w:vAlign w:val="bottom"/>
          </w:tcPr>
          <w:p>
            <w:pPr>
              <w:ind w:left="20"/>
              <w:spacing w:after="0" w:line="164" w:lineRule="exact"/>
              <w:rPr>
                <w:sz w:val="20"/>
                <w:szCs w:val="20"/>
                <w:color w:val="auto"/>
              </w:rPr>
            </w:pPr>
            <w:r>
              <w:rPr>
                <w:rFonts w:ascii="Arial" w:cs="Arial" w:eastAsia="Arial" w:hAnsi="Arial"/>
                <w:sz w:val="18"/>
                <w:szCs w:val="18"/>
                <w:b w:val="1"/>
                <w:bCs w:val="1"/>
                <w:color w:val="auto"/>
                <w:w w:val="92"/>
              </w:rPr>
              <w:t>Adjusted Earnings (loss) from continuing operations and Adjusted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1,444,407</w:t>
            </w:r>
          </w:p>
        </w:tc>
        <w:tc>
          <w:tcPr>
            <w:tcW w:w="12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(327,559)</w:t>
            </w:r>
          </w:p>
        </w:tc>
        <w:tc>
          <w:tcPr>
            <w:tcW w:w="12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from continuing operations Per Share</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14,687,915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14,880,887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3" w:right="339" w:bottom="1440" w:gutter="0" w:footer="0" w:header="0"/>
        </w:sectPr>
      </w:pPr>
    </w:p>
    <w:bookmarkStart w:id="14" w:name="page15"/>
    <w:bookmarkEnd w:id="14"/>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180" w:type="dxa"/>
            <w:vAlign w:val="bottom"/>
          </w:tcPr>
          <w:p>
            <w:pPr>
              <w:spacing w:after="0"/>
              <w:rPr>
                <w:sz w:val="15"/>
                <w:szCs w:val="15"/>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88"/>
        </w:trPr>
        <w:tc>
          <w:tcPr>
            <w:tcW w:w="5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(3,129,512)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75"/>
        </w:trPr>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 subsidiary attributable to noncontrolling</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1,491,004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(3,190,325)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(1,209,545)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4,816,630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3,529,245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Gain on insurance proceeds </w:t>
            </w:r>
            <w:r>
              <w:rPr>
                <w:rFonts w:ascii="Arial" w:cs="Arial" w:eastAsia="Arial" w:hAnsi="Arial"/>
                <w:sz w:val="23"/>
                <w:szCs w:val="23"/>
                <w:color w:val="auto"/>
                <w:vertAlign w:val="superscript"/>
              </w:rPr>
              <w:t>(c)</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3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2"/>
              </w:rPr>
              <w:t>Adjusted Earnings (loss) from continuing operations and Adjusted</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1,710,103</w:t>
            </w:r>
          </w:p>
        </w:tc>
        <w:tc>
          <w:tcPr>
            <w:tcW w:w="10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722,902</w:t>
            </w:r>
          </w:p>
        </w:tc>
        <w:tc>
          <w:tcPr>
            <w:tcW w:w="12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from continuing operations Per Share</w:t>
            </w:r>
          </w:p>
        </w:tc>
        <w:tc>
          <w:tcPr>
            <w:tcW w:w="1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14,861,812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15,139,904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92" w:lineRule="exact"/>
        <w:rPr>
          <w:sz w:val="20"/>
          <w:szCs w:val="20"/>
          <w:color w:val="auto"/>
        </w:rPr>
      </w:pPr>
    </w:p>
    <w:p>
      <w:pPr>
        <w:jc w:val="both"/>
        <w:ind w:left="660" w:hanging="328"/>
        <w:spacing w:after="0" w:line="25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Adjusted Earnings (loss): </w:t>
      </w:r>
      <w:r>
        <w:rPr>
          <w:rFonts w:ascii="Arial" w:cs="Arial" w:eastAsia="Arial" w:hAnsi="Arial"/>
          <w:sz w:val="22"/>
          <w:szCs w:val="22"/>
          <w:color w:val="auto"/>
        </w:rPr>
        <w:t>net income (loss) adjusted for the impact of discontinued operations, income taxes,</w:t>
      </w:r>
      <w:r>
        <w:rPr>
          <w:rFonts w:ascii="Arial" w:cs="Arial" w:eastAsia="Arial" w:hAnsi="Arial"/>
          <w:sz w:val="22"/>
          <w:szCs w:val="22"/>
          <w:b w:val="1"/>
          <w:bCs w:val="1"/>
          <w:color w:val="auto"/>
        </w:rPr>
        <w:t xml:space="preserve"> </w:t>
      </w:r>
      <w:r>
        <w:rPr>
          <w:rFonts w:ascii="Arial" w:cs="Arial" w:eastAsia="Arial" w:hAnsi="Arial"/>
          <w:sz w:val="22"/>
          <w:szCs w:val="22"/>
          <w:color w:val="auto"/>
        </w:rPr>
        <w:t>depreciation and amortization expense, share-based compensation, nonrecurring gains and interest income and interest expense.</w:t>
      </w:r>
    </w:p>
    <w:p>
      <w:pPr>
        <w:spacing w:after="0" w:line="209" w:lineRule="exact"/>
        <w:rPr>
          <w:rFonts w:ascii="Arial" w:cs="Arial" w:eastAsia="Arial" w:hAnsi="Arial"/>
          <w:sz w:val="22"/>
          <w:szCs w:val="22"/>
          <w:color w:val="auto"/>
        </w:rPr>
      </w:pPr>
    </w:p>
    <w:p>
      <w:pPr>
        <w:ind w:left="1160" w:hanging="288"/>
        <w:spacing w:after="0"/>
        <w:tabs>
          <w:tab w:leader="none" w:pos="1160" w:val="left"/>
        </w:tabs>
        <w:numPr>
          <w:ilvl w:val="1"/>
          <w:numId w:val="4"/>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152" w:lineRule="exact"/>
        <w:rPr>
          <w:rFonts w:ascii="Arial" w:cs="Arial" w:eastAsia="Arial" w:hAnsi="Arial"/>
          <w:sz w:val="22"/>
          <w:szCs w:val="22"/>
          <w:color w:val="auto"/>
        </w:rPr>
      </w:pPr>
    </w:p>
    <w:p>
      <w:pPr>
        <w:ind w:left="1600" w:hanging="296"/>
        <w:spacing w:after="0"/>
        <w:tabs>
          <w:tab w:leader="none" w:pos="160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forgiveness of the PPP Loan by the Small Business Administration.</w:t>
      </w:r>
    </w:p>
    <w:p>
      <w:pPr>
        <w:spacing w:after="0" w:line="152" w:lineRule="exact"/>
        <w:rPr>
          <w:rFonts w:ascii="Arial" w:cs="Arial" w:eastAsia="Arial" w:hAnsi="Arial"/>
          <w:sz w:val="22"/>
          <w:szCs w:val="22"/>
          <w:color w:val="auto"/>
        </w:rPr>
      </w:pPr>
    </w:p>
    <w:p>
      <w:pPr>
        <w:ind w:left="1600" w:hanging="296"/>
        <w:spacing w:after="0"/>
        <w:tabs>
          <w:tab w:leader="none" w:pos="160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gain in insurance proceeds.</w:t>
      </w:r>
    </w:p>
    <w:p>
      <w:pPr>
        <w:spacing w:after="0" w:line="254" w:lineRule="exact"/>
        <w:rPr>
          <w:rFonts w:ascii="Arial" w:cs="Arial" w:eastAsia="Arial" w:hAnsi="Arial"/>
          <w:sz w:val="22"/>
          <w:szCs w:val="22"/>
          <w:color w:val="auto"/>
        </w:rPr>
      </w:pPr>
    </w:p>
    <w:p>
      <w:pPr>
        <w:ind w:left="660" w:hanging="328"/>
        <w:spacing w:after="0" w:line="282" w:lineRule="auto"/>
        <w:tabs>
          <w:tab w:leader="none" w:pos="655"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from continuing operations Per Share: </w:t>
      </w:r>
      <w:r>
        <w:rPr>
          <w:rFonts w:ascii="Arial" w:cs="Arial" w:eastAsia="Arial" w:hAnsi="Arial"/>
          <w:sz w:val="22"/>
          <w:szCs w:val="22"/>
          <w:color w:val="auto"/>
        </w:rPr>
        <w:t>Adjusted Earnings (loss) from continuing</w:t>
      </w:r>
      <w:r>
        <w:rPr>
          <w:rFonts w:ascii="Arial" w:cs="Arial" w:eastAsia="Arial" w:hAnsi="Arial"/>
          <w:sz w:val="22"/>
          <w:szCs w:val="22"/>
          <w:b w:val="1"/>
          <w:bCs w:val="1"/>
          <w:color w:val="auto"/>
        </w:rPr>
        <w:t xml:space="preserve"> </w:t>
      </w:r>
      <w:r>
        <w:rPr>
          <w:rFonts w:ascii="Arial" w:cs="Arial" w:eastAsia="Arial" w:hAnsi="Arial"/>
          <w:sz w:val="22"/>
          <w:szCs w:val="22"/>
          <w:color w:val="auto"/>
        </w:rPr>
        <w:t>operations divided by diluted weighted-average common shares 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2022-11-08T17:41:30Z</dcterms:created>
  <dcterms:modified xsi:type="dcterms:W3CDTF">2022-11-08T17:41:30Z</dcterms:modified>
</cp:coreProperties>
</file>