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259"/>
        <w:spacing w:after="0"/>
        <w:rPr>
          <w:sz w:val="20"/>
          <w:szCs w:val="20"/>
          <w:color w:val="auto"/>
        </w:rPr>
      </w:pPr>
      <w:r>
        <w:rPr>
          <w:rFonts w:ascii="Arial" w:cs="Arial" w:eastAsia="Arial" w:hAnsi="Arial"/>
          <w:sz w:val="42"/>
          <w:szCs w:val="42"/>
          <w:b w:val="1"/>
          <w:bCs w:val="1"/>
          <w:color w:val="FFFFFF"/>
        </w:rPr>
        <w:t>COLLABORATION THAT FUELS</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46"/>
          <w:szCs w:val="46"/>
          <w:b w:val="1"/>
          <w:bCs w:val="1"/>
          <w:color w:val="FFFFFF"/>
        </w:rPr>
        <w:t>GROWTH AND INNOVATION</w:t>
      </w:r>
    </w:p>
    <w:p>
      <w:pPr>
        <w:sectPr>
          <w:pgSz w:w="12240" w:h="15840" w:orient="portrait"/>
          <w:cols w:equalWidth="0" w:num="1">
            <w:col w:w="9620"/>
          </w:cols>
          <w:pgMar w:left="1180" w:top="1440" w:right="1440" w:bottom="99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49"/>
          <w:szCs w:val="49"/>
          <w:color w:val="FFFFFF"/>
        </w:rPr>
        <w:t>2025 Annual Report</w:t>
      </w:r>
    </w:p>
    <w:p>
      <w:pPr>
        <w:sectPr>
          <w:pgSz w:w="12240" w:h="15840" w:orient="portrait"/>
          <w:cols w:equalWidth="0" w:num="1">
            <w:col w:w="9620"/>
          </w:cols>
          <w:pgMar w:left="1180" w:top="1440" w:right="1440" w:bottom="993"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89"/>
          <w:szCs w:val="89"/>
          <w:b w:val="1"/>
          <w:bCs w:val="1"/>
          <w:color w:val="00004D"/>
        </w:rPr>
        <w:t xml:space="preserve">2025 </w:t>
      </w:r>
      <w:r>
        <w:rPr>
          <w:rFonts w:ascii="Arial" w:cs="Arial" w:eastAsia="Arial" w:hAnsi="Arial"/>
          <w:sz w:val="54"/>
          <w:szCs w:val="54"/>
          <w:color w:val="00004D"/>
        </w:rPr>
        <w:t>HIGHLIGHTS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35"/>
          <w:szCs w:val="35"/>
          <w:b w:val="1"/>
          <w:bCs w:val="1"/>
          <w:color w:val="00004D"/>
        </w:rPr>
        <w:t>Driving Growth and Innovation Through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2"/>
          <w:szCs w:val="32"/>
          <w:b w:val="1"/>
          <w:bCs w:val="1"/>
          <w:color w:val="4889B5"/>
        </w:rPr>
        <w:t>DMD Top-Line Study Results</w:t>
      </w:r>
    </w:p>
    <w:p>
      <w:pPr>
        <w:spacing w:after="0" w:line="224" w:lineRule="exact"/>
        <w:rPr>
          <w:sz w:val="20"/>
          <w:szCs w:val="20"/>
          <w:color w:val="auto"/>
        </w:rPr>
      </w:pPr>
    </w:p>
    <w:p>
      <w:pPr>
        <w:ind w:right="700"/>
        <w:spacing w:after="0" w:line="296" w:lineRule="auto"/>
        <w:rPr>
          <w:sz w:val="20"/>
          <w:szCs w:val="20"/>
          <w:color w:val="auto"/>
        </w:rPr>
      </w:pPr>
      <w:r>
        <w:rPr>
          <w:rFonts w:ascii="Arial" w:cs="Arial" w:eastAsia="Arial" w:hAnsi="Arial"/>
          <w:sz w:val="22"/>
          <w:szCs w:val="22"/>
          <w:color w:val="00004D"/>
        </w:rPr>
        <w:t>We were excited to share positive top-line results from our FIGHT DMD clinical trial. The study evaluated ifetroban, a novel oral therapy for Duchenne muscular dystrophy (DMD) heart disease – the leading cause of death in DMD patients. These findings mark a breakthrough for these patients, as it’s the first successful Phase II study specifically designed to target the cardiac complications of their condition.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b w:val="1"/>
          <w:bCs w:val="1"/>
          <w:color w:val="4889B5"/>
        </w:rPr>
        <w:t>New Study Finds Caldolor®</w:t>
      </w:r>
    </w:p>
    <w:p>
      <w:pPr>
        <w:spacing w:after="0" w:line="12" w:lineRule="exact"/>
        <w:rPr>
          <w:sz w:val="20"/>
          <w:szCs w:val="20"/>
          <w:color w:val="auto"/>
        </w:rPr>
      </w:pPr>
    </w:p>
    <w:p>
      <w:pPr>
        <w:spacing w:after="0"/>
        <w:rPr>
          <w:sz w:val="20"/>
          <w:szCs w:val="20"/>
          <w:color w:val="auto"/>
        </w:rPr>
      </w:pPr>
      <w:r>
        <w:rPr>
          <w:rFonts w:ascii="Arial" w:cs="Arial" w:eastAsia="Arial" w:hAnsi="Arial"/>
          <w:sz w:val="32"/>
          <w:szCs w:val="32"/>
          <w:b w:val="1"/>
          <w:bCs w:val="1"/>
          <w:color w:val="4889B5"/>
        </w:rPr>
        <w:t>Safe And Effective for Older Adults</w:t>
      </w:r>
    </w:p>
    <w:p>
      <w:pPr>
        <w:spacing w:after="0" w:line="224" w:lineRule="exact"/>
        <w:rPr>
          <w:sz w:val="20"/>
          <w:szCs w:val="20"/>
          <w:color w:val="auto"/>
        </w:rPr>
      </w:pPr>
    </w:p>
    <w:p>
      <w:pPr>
        <w:ind w:right="340"/>
        <w:spacing w:after="0" w:line="296" w:lineRule="auto"/>
        <w:rPr>
          <w:sz w:val="20"/>
          <w:szCs w:val="20"/>
          <w:color w:val="auto"/>
        </w:rPr>
      </w:pPr>
      <w:r>
        <w:rPr>
          <w:rFonts w:ascii="Arial" w:cs="Arial" w:eastAsia="Arial" w:hAnsi="Arial"/>
          <w:sz w:val="22"/>
          <w:szCs w:val="22"/>
          <w:color w:val="00004D"/>
        </w:rPr>
        <w:t>We announced publication of a new Caldolor study in Clinical Therapeutics, demonstrating the product’s safety and efficacy for managing post-operative pain in patients 60 years of age and older. The results mark an important advancement in pain management for older individuals, as it’s the first study specifically evaluating injectable ibuprofen in this vulnerable population.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32"/>
          <w:szCs w:val="32"/>
          <w:b w:val="1"/>
          <w:bCs w:val="1"/>
          <w:color w:val="4889B5"/>
        </w:rPr>
        <w:t>International Progress</w:t>
      </w:r>
    </w:p>
    <w:p>
      <w:pPr>
        <w:spacing w:after="0" w:line="224" w:lineRule="exact"/>
        <w:rPr>
          <w:sz w:val="20"/>
          <w:szCs w:val="20"/>
          <w:color w:val="auto"/>
        </w:rPr>
      </w:pPr>
    </w:p>
    <w:p>
      <w:pPr>
        <w:ind w:right="1220"/>
        <w:spacing w:after="0" w:line="307" w:lineRule="auto"/>
        <w:rPr>
          <w:sz w:val="20"/>
          <w:szCs w:val="20"/>
          <w:color w:val="auto"/>
        </w:rPr>
      </w:pPr>
      <w:r>
        <w:rPr>
          <w:rFonts w:ascii="Arial" w:cs="Arial" w:eastAsia="Arial" w:hAnsi="Arial"/>
          <w:sz w:val="22"/>
          <w:szCs w:val="22"/>
          <w:color w:val="00004D"/>
        </w:rPr>
        <w:t>Our potent antibiotic Vibativ® received approval from the regulatory authorities in China. That milestone provides us with access to the world’s second-largest pharmaceutical market.</w:t>
      </w:r>
    </w:p>
    <w:p>
      <w:pPr>
        <w:spacing w:after="0" w:line="19" w:lineRule="exact"/>
        <w:rPr>
          <w:sz w:val="20"/>
          <w:szCs w:val="20"/>
          <w:color w:val="auto"/>
        </w:rPr>
      </w:pPr>
    </w:p>
    <w:p>
      <w:pPr>
        <w:ind w:right="820"/>
        <w:spacing w:after="0" w:line="327" w:lineRule="auto"/>
        <w:rPr>
          <w:sz w:val="20"/>
          <w:szCs w:val="20"/>
          <w:color w:val="auto"/>
        </w:rPr>
      </w:pPr>
      <w:r>
        <w:rPr>
          <w:rFonts w:ascii="Arial" w:cs="Arial" w:eastAsia="Arial" w:hAnsi="Arial"/>
          <w:sz w:val="22"/>
          <w:szCs w:val="22"/>
          <w:color w:val="00004D"/>
        </w:rPr>
        <w:t>Vibativ was launched in Saudi Arabia in 2025, resulting in the first shipments and initial patients receiving treatment with this potentially life-saving therapy.</w:t>
      </w:r>
    </w:p>
    <w:p>
      <w:pPr>
        <w:spacing w:after="0" w:line="1" w:lineRule="exact"/>
        <w:rPr>
          <w:sz w:val="20"/>
          <w:szCs w:val="20"/>
          <w:color w:val="auto"/>
        </w:rPr>
      </w:pPr>
    </w:p>
    <w:p>
      <w:pPr>
        <w:ind w:right="1060"/>
        <w:spacing w:after="0" w:line="329" w:lineRule="auto"/>
        <w:rPr>
          <w:sz w:val="20"/>
          <w:szCs w:val="20"/>
          <w:color w:val="auto"/>
        </w:rPr>
      </w:pPr>
      <w:r>
        <w:rPr>
          <w:rFonts w:ascii="Arial" w:cs="Arial" w:eastAsia="Arial" w:hAnsi="Arial"/>
          <w:sz w:val="22"/>
          <w:szCs w:val="22"/>
          <w:color w:val="00004D"/>
        </w:rPr>
        <w:t>Additionally, our ibuprofen injection product received regulatory approval in Mexico in preparation for the launch of the product in that country.</w:t>
      </w:r>
    </w:p>
    <w:p>
      <w:pPr>
        <w:sectPr>
          <w:pgSz w:w="12240" w:h="15840" w:orient="portrait"/>
          <w:cols w:equalWidth="0" w:num="1">
            <w:col w:w="9380"/>
          </w:cols>
          <w:pgMar w:left="1420" w:top="1440" w:right="1440" w:bottom="1440" w:gutter="0" w:footer="0" w:header="0"/>
        </w:sectPr>
      </w:pPr>
    </w:p>
    <w:bookmarkStart w:id="2" w:name="page3"/>
    <w:bookmarkEnd w:id="2"/>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wp:posOffset>
            </wp:positionH>
            <wp:positionV relativeFrom="page">
              <wp:posOffset>335915</wp:posOffset>
            </wp:positionV>
            <wp:extent cx="2285365" cy="2285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5365" cy="2285365"/>
                    </a:xfrm>
                    <a:prstGeom prst="rect">
                      <a:avLst/>
                    </a:prstGeom>
                    <a:noFill/>
                  </pic:spPr>
                </pic:pic>
              </a:graphicData>
            </a:graphic>
          </wp:anchor>
        </w:drawing>
      </w:r>
    </w:p>
    <w:p>
      <w:pPr>
        <w:ind w:left="4140" w:right="1440"/>
        <w:spacing w:after="0" w:line="287" w:lineRule="auto"/>
        <w:rPr>
          <w:sz w:val="20"/>
          <w:szCs w:val="20"/>
          <w:color w:val="auto"/>
        </w:rPr>
      </w:pPr>
      <w:r>
        <w:rPr>
          <w:rFonts w:ascii="Arial" w:cs="Arial" w:eastAsia="Arial" w:hAnsi="Arial"/>
          <w:sz w:val="53"/>
          <w:szCs w:val="53"/>
          <w:color w:val="4889B5"/>
        </w:rPr>
        <w:t>To Our Shareholders, Employees &amp; Partners:</w:t>
      </w:r>
    </w:p>
    <w:p>
      <w:pPr>
        <w:sectPr>
          <w:pgSz w:w="12240" w:h="15840" w:orient="portrait"/>
          <w:cols w:equalWidth="0" w:num="1">
            <w:col w:w="11100"/>
          </w:cols>
          <w:pgMar w:left="720" w:top="1440"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004D"/>
        </w:rPr>
        <w:t>2025 was an outstanding year for Cumberland!</w:t>
      </w:r>
    </w:p>
    <w:p>
      <w:pPr>
        <w:spacing w:after="0" w:line="227" w:lineRule="exact"/>
        <w:rPr>
          <w:sz w:val="20"/>
          <w:szCs w:val="20"/>
          <w:color w:val="auto"/>
        </w:rPr>
      </w:pPr>
    </w:p>
    <w:p>
      <w:pPr>
        <w:ind w:right="100"/>
        <w:spacing w:after="0" w:line="296" w:lineRule="auto"/>
        <w:rPr>
          <w:sz w:val="20"/>
          <w:szCs w:val="20"/>
          <w:color w:val="auto"/>
        </w:rPr>
      </w:pPr>
      <w:r>
        <w:rPr>
          <w:rFonts w:ascii="Arial" w:cs="Arial" w:eastAsia="Arial" w:hAnsi="Arial"/>
          <w:sz w:val="22"/>
          <w:szCs w:val="22"/>
          <w:color w:val="00004D"/>
        </w:rPr>
        <w:t>We announced breakthrough clinical study data, reported a strong financial performance, expanded our global reach and added to our commercial portfolio – highlighting a year of consistent progress for our company.</w:t>
      </w:r>
    </w:p>
    <w:p>
      <w:pPr>
        <w:spacing w:after="0" w:line="120" w:lineRule="exact"/>
        <w:rPr>
          <w:sz w:val="20"/>
          <w:szCs w:val="20"/>
          <w:color w:val="auto"/>
        </w:rPr>
      </w:pPr>
    </w:p>
    <w:p>
      <w:pPr>
        <w:ind w:right="340"/>
        <w:spacing w:after="0" w:line="299" w:lineRule="auto"/>
        <w:rPr>
          <w:sz w:val="20"/>
          <w:szCs w:val="20"/>
          <w:color w:val="auto"/>
        </w:rPr>
      </w:pPr>
      <w:r>
        <w:rPr>
          <w:rFonts w:ascii="Arial" w:cs="Arial" w:eastAsia="Arial" w:hAnsi="Arial"/>
          <w:sz w:val="22"/>
          <w:szCs w:val="22"/>
          <w:color w:val="00004D"/>
        </w:rPr>
        <w:t>Most importantly, we delivered these results while remaining focused on our mission of delivering unique products to improve the quality of patient care.</w:t>
      </w:r>
    </w:p>
    <w:p>
      <w:pPr>
        <w:spacing w:after="0" w:line="120" w:lineRule="exact"/>
        <w:rPr>
          <w:sz w:val="20"/>
          <w:szCs w:val="20"/>
          <w:color w:val="auto"/>
        </w:rPr>
      </w:pPr>
    </w:p>
    <w:p>
      <w:pPr>
        <w:ind w:right="420"/>
        <w:spacing w:after="0" w:line="284" w:lineRule="auto"/>
        <w:rPr>
          <w:sz w:val="20"/>
          <w:szCs w:val="20"/>
          <w:color w:val="auto"/>
        </w:rPr>
      </w:pPr>
      <w:r>
        <w:rPr>
          <w:rFonts w:ascii="Arial" w:cs="Arial" w:eastAsia="Arial" w:hAnsi="Arial"/>
          <w:sz w:val="22"/>
          <w:szCs w:val="22"/>
          <w:color w:val="00004D"/>
        </w:rPr>
        <w:t>Our portfolio of FDA-approved brands generated significant revenue growth in 2025, providing</w:t>
      </w:r>
    </w:p>
    <w:p>
      <w:pPr>
        <w:spacing w:after="0" w:line="1" w:lineRule="exact"/>
        <w:rPr>
          <w:sz w:val="20"/>
          <w:szCs w:val="20"/>
          <w:color w:val="auto"/>
        </w:rPr>
      </w:pPr>
    </w:p>
    <w:p>
      <w:pPr>
        <w:ind w:right="80"/>
        <w:spacing w:after="0" w:line="296" w:lineRule="auto"/>
        <w:rPr>
          <w:sz w:val="20"/>
          <w:szCs w:val="20"/>
          <w:color w:val="auto"/>
        </w:rPr>
      </w:pPr>
      <w:r>
        <w:rPr>
          <w:rFonts w:ascii="Arial" w:cs="Arial" w:eastAsia="Arial" w:hAnsi="Arial"/>
          <w:sz w:val="22"/>
          <w:szCs w:val="22"/>
          <w:color w:val="00004D"/>
        </w:rPr>
        <w:t>a turnaround in our profitability and significant cash flow from operations. We also strengthened our balance sheet by increasing assets, growing shareholder equity and reducing the debt on our line of credit.</w:t>
      </w:r>
    </w:p>
    <w:p>
      <w:pPr>
        <w:spacing w:after="0" w:line="120" w:lineRule="exact"/>
        <w:rPr>
          <w:sz w:val="20"/>
          <w:szCs w:val="20"/>
          <w:color w:val="auto"/>
        </w:rPr>
      </w:pPr>
    </w:p>
    <w:p>
      <w:pPr>
        <w:spacing w:after="0" w:line="284" w:lineRule="auto"/>
        <w:rPr>
          <w:sz w:val="20"/>
          <w:szCs w:val="20"/>
          <w:color w:val="auto"/>
        </w:rPr>
      </w:pPr>
      <w:r>
        <w:rPr>
          <w:rFonts w:ascii="Arial" w:cs="Arial" w:eastAsia="Arial" w:hAnsi="Arial"/>
          <w:sz w:val="22"/>
          <w:szCs w:val="22"/>
          <w:color w:val="00004D"/>
        </w:rPr>
        <w:t>During the year, we also continued to build our portfolio of FDA-approved branded pharmaceuticals. We added Talicia®, expanding our presence in gastrointestinal care with a leading treatment</w:t>
      </w:r>
    </w:p>
    <w:p>
      <w:pPr>
        <w:spacing w:after="0" w:line="3" w:lineRule="exact"/>
        <w:rPr>
          <w:sz w:val="20"/>
          <w:szCs w:val="20"/>
          <w:color w:val="auto"/>
        </w:rPr>
      </w:pPr>
    </w:p>
    <w:p>
      <w:pPr>
        <w:ind w:right="280"/>
        <w:spacing w:after="0" w:line="300" w:lineRule="exact"/>
        <w:rPr>
          <w:sz w:val="20"/>
          <w:szCs w:val="20"/>
          <w:color w:val="auto"/>
        </w:rPr>
      </w:pPr>
      <w:r>
        <w:rPr>
          <w:rFonts w:ascii="Arial" w:cs="Arial" w:eastAsia="Arial" w:hAnsi="Arial"/>
          <w:sz w:val="22"/>
          <w:szCs w:val="22"/>
          <w:color w:val="00004D"/>
        </w:rPr>
        <w:t xml:space="preserve">for stomach infections associated with </w:t>
      </w:r>
      <w:r>
        <w:rPr>
          <w:rFonts w:ascii="Arial" w:cs="Arial" w:eastAsia="Arial" w:hAnsi="Arial"/>
          <w:sz w:val="22"/>
          <w:szCs w:val="22"/>
          <w:i w:val="1"/>
          <w:iCs w:val="1"/>
          <w:color w:val="00004D"/>
        </w:rPr>
        <w:t>H. py ori</w:t>
      </w:r>
      <w:r>
        <w:rPr>
          <w:rFonts w:ascii="Arial" w:cs="Arial" w:eastAsia="Arial" w:hAnsi="Arial"/>
          <w:sz w:val="22"/>
          <w:szCs w:val="22"/>
          <w:color w:val="00004D"/>
        </w:rPr>
        <w:t xml:space="preserve"> infection. Talicia complements our existing brands and aligns with our strategy of acquiring the rights to differentiated products with established clinical value and long-term growth potential.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00004D"/>
        </w:rPr>
        <w:t>Our development pipeline continued to advance in</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00004D"/>
        </w:rPr>
        <w:t>2025, highlighted by the release of breakthrough</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00004D"/>
        </w:rPr>
        <w:t>data from our Duchenne muscular dystrophy (DMD)</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00004D"/>
        </w:rPr>
        <w:t>clinical program. We have made meaningful progress</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00004D"/>
        </w:rPr>
        <w:t>in our ongoing efforts with the FDA regarding our</w:t>
      </w:r>
    </w:p>
    <w:p>
      <w:pPr>
        <w:spacing w:after="0" w:line="47" w:lineRule="exact"/>
        <w:rPr>
          <w:sz w:val="20"/>
          <w:szCs w:val="20"/>
          <w:color w:val="auto"/>
        </w:rPr>
      </w:pPr>
    </w:p>
    <w:p>
      <w:pPr>
        <w:spacing w:after="0" w:line="253" w:lineRule="exact"/>
        <w:rPr>
          <w:sz w:val="20"/>
          <w:szCs w:val="20"/>
          <w:color w:val="auto"/>
        </w:rPr>
      </w:pPr>
      <w:r>
        <w:rPr>
          <w:rFonts w:ascii="Arial" w:cs="Arial" w:eastAsia="Arial" w:hAnsi="Arial"/>
          <w:sz w:val="22"/>
          <w:szCs w:val="22"/>
          <w:color w:val="00004D"/>
        </w:rPr>
        <w:t xml:space="preserve">DMD program, resulting in </w:t>
      </w:r>
      <w:r>
        <w:rPr>
          <w:rFonts w:ascii="Arial" w:cs="Arial" w:eastAsia="Arial" w:hAnsi="Arial"/>
          <w:sz w:val="22"/>
          <w:szCs w:val="22"/>
          <w:i w:val="1"/>
          <w:iCs w:val="1"/>
          <w:color w:val="00004D"/>
        </w:rPr>
        <w:t>Orph n Dr g, R re</w:t>
      </w:r>
    </w:p>
    <w:p>
      <w:pPr>
        <w:spacing w:after="0" w:line="47" w:lineRule="exact"/>
        <w:rPr>
          <w:sz w:val="20"/>
          <w:szCs w:val="20"/>
          <w:color w:val="auto"/>
        </w:rPr>
      </w:pPr>
    </w:p>
    <w:p>
      <w:pPr>
        <w:spacing w:after="0" w:line="253" w:lineRule="exact"/>
        <w:rPr>
          <w:sz w:val="20"/>
          <w:szCs w:val="20"/>
          <w:color w:val="auto"/>
        </w:rPr>
      </w:pPr>
      <w:r>
        <w:rPr>
          <w:rFonts w:ascii="Arial" w:cs="Arial" w:eastAsia="Arial" w:hAnsi="Arial"/>
          <w:sz w:val="22"/>
          <w:szCs w:val="22"/>
          <w:i w:val="1"/>
          <w:iCs w:val="1"/>
          <w:color w:val="00004D"/>
        </w:rPr>
        <w:t xml:space="preserve">Pedi tric Dise se </w:t>
      </w:r>
      <w:r>
        <w:rPr>
          <w:rFonts w:ascii="Arial" w:cs="Arial" w:eastAsia="Arial" w:hAnsi="Arial"/>
          <w:sz w:val="22"/>
          <w:szCs w:val="22"/>
          <w:color w:val="00004D"/>
        </w:rPr>
        <w:t>and then</w:t>
      </w:r>
      <w:r>
        <w:rPr>
          <w:rFonts w:ascii="Arial" w:cs="Arial" w:eastAsia="Arial" w:hAnsi="Arial"/>
          <w:sz w:val="22"/>
          <w:szCs w:val="22"/>
          <w:i w:val="1"/>
          <w:iCs w:val="1"/>
          <w:color w:val="00004D"/>
        </w:rPr>
        <w:t xml:space="preserve"> F st Tr ck </w:t>
      </w:r>
      <w:r>
        <w:rPr>
          <w:rFonts w:ascii="Arial" w:cs="Arial" w:eastAsia="Arial" w:hAnsi="Arial"/>
          <w:sz w:val="22"/>
          <w:szCs w:val="22"/>
          <w:color w:val="00004D"/>
        </w:rPr>
        <w:t>designations.</w:t>
      </w:r>
    </w:p>
    <w:p>
      <w:pPr>
        <w:spacing w:after="0" w:line="227" w:lineRule="exact"/>
        <w:rPr>
          <w:sz w:val="20"/>
          <w:szCs w:val="20"/>
          <w:color w:val="auto"/>
        </w:rPr>
      </w:pPr>
    </w:p>
    <w:p>
      <w:pPr>
        <w:ind w:right="600"/>
        <w:spacing w:after="0" w:line="299" w:lineRule="auto"/>
        <w:rPr>
          <w:sz w:val="20"/>
          <w:szCs w:val="20"/>
          <w:color w:val="auto"/>
        </w:rPr>
      </w:pPr>
      <w:r>
        <w:rPr>
          <w:rFonts w:ascii="Arial" w:cs="Arial" w:eastAsia="Arial" w:hAnsi="Arial"/>
          <w:sz w:val="22"/>
          <w:szCs w:val="22"/>
          <w:color w:val="00004D"/>
        </w:rPr>
        <w:t>These clinical efforts reinforce our commitment to developing medicines for the future through new therapies designed for patients with serious and underserved medical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-381635</wp:posOffset>
            </wp:positionV>
            <wp:extent cx="4912360" cy="5287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12360" cy="5287010"/>
                    </a:xfrm>
                    <a:prstGeom prst="rect">
                      <a:avLst/>
                    </a:prstGeom>
                    <a:noFill/>
                  </pic:spPr>
                </pic:pic>
              </a:graphicData>
            </a:graphic>
          </wp:anchor>
        </w:drawing>
      </w:r>
    </w:p>
    <w:p>
      <w:pPr>
        <w:spacing w:after="0" w:line="100" w:lineRule="exact"/>
        <w:rPr>
          <w:sz w:val="20"/>
          <w:szCs w:val="20"/>
          <w:color w:val="auto"/>
        </w:rPr>
      </w:pPr>
    </w:p>
    <w:p>
      <w:pPr>
        <w:ind w:right="400"/>
        <w:spacing w:after="0" w:line="329" w:lineRule="auto"/>
        <w:rPr>
          <w:sz w:val="20"/>
          <w:szCs w:val="20"/>
          <w:color w:val="auto"/>
        </w:rPr>
      </w:pPr>
      <w:r>
        <w:rPr>
          <w:rFonts w:ascii="Arial" w:cs="Arial" w:eastAsia="Arial" w:hAnsi="Arial"/>
          <w:sz w:val="22"/>
          <w:szCs w:val="22"/>
          <w:color w:val="00004D"/>
        </w:rPr>
        <w:t>The accomplishments of 2025 reflect the dedication and expertise of our team.</w:t>
      </w:r>
    </w:p>
    <w:p>
      <w:pPr>
        <w:spacing w:after="0" w:line="87" w:lineRule="exact"/>
        <w:rPr>
          <w:sz w:val="20"/>
          <w:szCs w:val="20"/>
          <w:color w:val="auto"/>
        </w:rPr>
      </w:pPr>
    </w:p>
    <w:p>
      <w:pPr>
        <w:ind w:right="600"/>
        <w:spacing w:after="0" w:line="296" w:lineRule="auto"/>
        <w:rPr>
          <w:sz w:val="20"/>
          <w:szCs w:val="20"/>
          <w:color w:val="auto"/>
        </w:rPr>
      </w:pPr>
      <w:r>
        <w:rPr>
          <w:rFonts w:ascii="Arial" w:cs="Arial" w:eastAsia="Arial" w:hAnsi="Arial"/>
          <w:sz w:val="22"/>
          <w:szCs w:val="22"/>
          <w:color w:val="00004D"/>
        </w:rPr>
        <w:t>As a result, Cumberland is well positioned with a stronger financial foundation, an expanding global footprint, a growing portfolio and a promising pipeline. We look forward to building on this momentum.</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00004D"/>
        </w:rPr>
        <w:t>All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00004D"/>
        </w:rPr>
        <w:t>A.J. Kazimi</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00004D"/>
        </w:rPr>
        <w:t>Chairman and Chief Executive Officer</w:t>
      </w:r>
    </w:p>
    <w:p>
      <w:pPr>
        <w:spacing w:after="0" w:line="602" w:lineRule="exact"/>
        <w:rPr>
          <w:sz w:val="20"/>
          <w:szCs w:val="20"/>
          <w:color w:val="auto"/>
        </w:rPr>
      </w:pPr>
    </w:p>
    <w:p>
      <w:pPr>
        <w:sectPr>
          <w:pgSz w:w="12240" w:h="15840" w:orient="portrait"/>
          <w:cols w:equalWidth="0" w:num="2">
            <w:col w:w="5320" w:space="160"/>
            <w:col w:w="5620"/>
          </w:cols>
          <w:pgMar w:left="720" w:top="1440" w:right="4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400"/>
        <w:spacing w:after="0"/>
        <w:tabs>
          <w:tab w:leader="none" w:pos="11020" w:val="left"/>
        </w:tabs>
        <w:rPr>
          <w:sz w:val="20"/>
          <w:szCs w:val="20"/>
          <w:color w:val="auto"/>
        </w:rPr>
      </w:pPr>
      <w:r>
        <w:rPr>
          <w:rFonts w:ascii="Arial" w:cs="Arial" w:eastAsia="Arial" w:hAnsi="Arial"/>
          <w:sz w:val="16"/>
          <w:szCs w:val="16"/>
          <w:color w:val="FFFFFF"/>
        </w:rPr>
        <w:t>2025 Annual Report</w:t>
      </w:r>
      <w:r>
        <w:rPr>
          <w:sz w:val="20"/>
          <w:szCs w:val="20"/>
          <w:color w:val="auto"/>
        </w:rPr>
        <w:tab/>
      </w:r>
      <w:r>
        <w:rPr>
          <w:rFonts w:ascii="Arial" w:cs="Arial" w:eastAsia="Arial" w:hAnsi="Arial"/>
          <w:sz w:val="10"/>
          <w:szCs w:val="10"/>
          <w:b w:val="1"/>
          <w:bCs w:val="1"/>
          <w:color w:val="FFFFFF"/>
        </w:rPr>
        <w:t>1</w:t>
      </w:r>
    </w:p>
    <w:p>
      <w:pPr>
        <w:sectPr>
          <w:pgSz w:w="12240" w:h="15840" w:orient="portrait"/>
          <w:cols w:equalWidth="0" w:num="1">
            <w:col w:w="11100"/>
          </w:cols>
          <w:pgMar w:left="720" w:top="1440" w:right="420" w:bottom="0" w:gutter="0" w:footer="0" w:header="0"/>
          <w:type w:val="continuous"/>
        </w:sectPr>
      </w:pPr>
    </w:p>
    <w:bookmarkStart w:id="3" w:name="page4"/>
    <w:bookmarkEnd w:id="3"/>
    <w:p>
      <w:pPr>
        <w:jc w:val="center"/>
        <w:ind w:right="-139"/>
        <w:spacing w:after="0"/>
        <w:rPr>
          <w:sz w:val="20"/>
          <w:szCs w:val="20"/>
          <w:color w:val="auto"/>
        </w:rPr>
      </w:pPr>
      <w:r>
        <w:rPr>
          <w:rFonts w:ascii="Arial" w:cs="Arial" w:eastAsia="Arial" w:hAnsi="Arial"/>
          <w:sz w:val="70"/>
          <w:szCs w:val="70"/>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Products to enhance</w:t>
      </w:r>
    </w:p>
    <w:p>
      <w:pPr>
        <w:jc w:val="center"/>
        <w:ind w:right="-159"/>
        <w:spacing w:after="0"/>
        <w:rPr>
          <w:sz w:val="20"/>
          <w:szCs w:val="20"/>
          <w:color w:val="auto"/>
        </w:rPr>
      </w:pPr>
      <w:r>
        <w:rPr>
          <w:rFonts w:ascii="Arial" w:cs="Arial" w:eastAsia="Arial" w:hAnsi="Arial"/>
          <w:sz w:val="70"/>
          <w:szCs w:val="70"/>
          <w:color w:val="FFFFFF"/>
        </w:rPr>
        <w:t>patients’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60"/>
        <w:spacing w:after="0"/>
        <w:tabs>
          <w:tab w:leader="none" w:pos="6960" w:val="left"/>
        </w:tabs>
        <w:rPr>
          <w:sz w:val="20"/>
          <w:szCs w:val="20"/>
          <w:color w:val="auto"/>
        </w:rPr>
      </w:pPr>
      <w:r>
        <w:rPr>
          <w:rFonts w:ascii="Arial" w:cs="Arial" w:eastAsia="Arial" w:hAnsi="Arial"/>
          <w:sz w:val="24"/>
          <w:szCs w:val="24"/>
          <w:b w:val="1"/>
          <w:bCs w:val="1"/>
          <w:color w:val="377FA7"/>
        </w:rPr>
        <w:t>(acetylcysteine)</w:t>
      </w:r>
      <w:r>
        <w:rPr>
          <w:sz w:val="20"/>
          <w:szCs w:val="20"/>
          <w:color w:val="auto"/>
        </w:rPr>
        <w:tab/>
      </w:r>
      <w:r>
        <w:rPr>
          <w:rFonts w:ascii="Arial" w:cs="Arial" w:eastAsia="Arial" w:hAnsi="Arial"/>
          <w:sz w:val="24"/>
          <w:szCs w:val="24"/>
          <w:b w:val="1"/>
          <w:bCs w:val="1"/>
          <w:color w:val="377FA7"/>
        </w:rPr>
        <w:t>(granisetron)</w:t>
      </w:r>
    </w:p>
    <w:p>
      <w:pPr>
        <w:spacing w:after="0" w:line="11" w:lineRule="exact"/>
        <w:rPr>
          <w:sz w:val="20"/>
          <w:szCs w:val="20"/>
          <w:color w:val="auto"/>
        </w:rPr>
      </w:pPr>
    </w:p>
    <w:p>
      <w:pPr>
        <w:ind w:left="1860"/>
        <w:spacing w:after="0"/>
        <w:tabs>
          <w:tab w:leader="none" w:pos="6960" w:val="left"/>
        </w:tabs>
        <w:rPr>
          <w:sz w:val="20"/>
          <w:szCs w:val="20"/>
          <w:color w:val="auto"/>
        </w:rPr>
      </w:pPr>
      <w:r>
        <w:rPr>
          <w:rFonts w:ascii="Arial" w:cs="Arial" w:eastAsia="Arial" w:hAnsi="Arial"/>
          <w:sz w:val="18"/>
          <w:szCs w:val="18"/>
          <w:color w:val="00004D"/>
        </w:rPr>
        <w:t>An injection used for the</w:t>
      </w:r>
      <w:r>
        <w:rPr>
          <w:sz w:val="20"/>
          <w:szCs w:val="20"/>
          <w:color w:val="auto"/>
        </w:rPr>
        <w:tab/>
      </w:r>
      <w:r>
        <w:rPr>
          <w:rFonts w:ascii="Arial" w:cs="Arial" w:eastAsia="Arial" w:hAnsi="Arial"/>
          <w:sz w:val="18"/>
          <w:szCs w:val="18"/>
          <w:color w:val="00004D"/>
        </w:rPr>
        <w:t>An innovative</w:t>
      </w:r>
    </w:p>
    <w:p>
      <w:pPr>
        <w:spacing w:after="0" w:line="13" w:lineRule="exact"/>
        <w:rPr>
          <w:sz w:val="20"/>
          <w:szCs w:val="20"/>
          <w:color w:val="auto"/>
        </w:rPr>
      </w:pPr>
    </w:p>
    <w:p>
      <w:pPr>
        <w:ind w:left="1860"/>
        <w:spacing w:after="0"/>
        <w:tabs>
          <w:tab w:leader="none" w:pos="6960" w:val="left"/>
        </w:tabs>
        <w:rPr>
          <w:sz w:val="20"/>
          <w:szCs w:val="20"/>
          <w:color w:val="auto"/>
        </w:rPr>
      </w:pPr>
      <w:r>
        <w:rPr>
          <w:rFonts w:ascii="Arial" w:cs="Arial" w:eastAsia="Arial" w:hAnsi="Arial"/>
          <w:sz w:val="18"/>
          <w:szCs w:val="18"/>
          <w:color w:val="00004D"/>
        </w:rPr>
        <w:t>treatment of acetaminophen</w:t>
      </w:r>
      <w:r>
        <w:rPr>
          <w:sz w:val="20"/>
          <w:szCs w:val="20"/>
          <w:color w:val="auto"/>
        </w:rPr>
        <w:tab/>
      </w:r>
      <w:r>
        <w:rPr>
          <w:rFonts w:ascii="Arial" w:cs="Arial" w:eastAsia="Arial" w:hAnsi="Arial"/>
          <w:sz w:val="18"/>
          <w:szCs w:val="18"/>
          <w:color w:val="00004D"/>
        </w:rPr>
        <w:t>prescription patch</w:t>
      </w:r>
    </w:p>
    <w:p>
      <w:pPr>
        <w:spacing w:after="0" w:line="13" w:lineRule="exact"/>
        <w:rPr>
          <w:sz w:val="20"/>
          <w:szCs w:val="20"/>
          <w:color w:val="auto"/>
        </w:rPr>
      </w:pPr>
    </w:p>
    <w:p>
      <w:pPr>
        <w:ind w:left="1860"/>
        <w:spacing w:after="0"/>
        <w:tabs>
          <w:tab w:leader="none" w:pos="6960" w:val="left"/>
        </w:tabs>
        <w:rPr>
          <w:sz w:val="20"/>
          <w:szCs w:val="20"/>
          <w:color w:val="auto"/>
        </w:rPr>
      </w:pPr>
      <w:r>
        <w:rPr>
          <w:rFonts w:ascii="Arial" w:cs="Arial" w:eastAsia="Arial" w:hAnsi="Arial"/>
          <w:sz w:val="18"/>
          <w:szCs w:val="18"/>
          <w:color w:val="00004D"/>
        </w:rPr>
        <w:t>poisoning, which is the</w:t>
      </w:r>
      <w:r>
        <w:rPr>
          <w:sz w:val="20"/>
          <w:szCs w:val="20"/>
          <w:color w:val="auto"/>
        </w:rPr>
        <w:tab/>
      </w:r>
      <w:r>
        <w:rPr>
          <w:rFonts w:ascii="Arial" w:cs="Arial" w:eastAsia="Arial" w:hAnsi="Arial"/>
          <w:sz w:val="18"/>
          <w:szCs w:val="18"/>
          <w:color w:val="00004D"/>
        </w:rPr>
        <w:t>designed to prevent</w:t>
      </w:r>
    </w:p>
    <w:p>
      <w:pPr>
        <w:spacing w:after="0" w:line="13" w:lineRule="exact"/>
        <w:rPr>
          <w:sz w:val="20"/>
          <w:szCs w:val="20"/>
          <w:color w:val="auto"/>
        </w:rPr>
      </w:pPr>
    </w:p>
    <w:p>
      <w:pPr>
        <w:ind w:left="1860"/>
        <w:spacing w:after="0"/>
        <w:tabs>
          <w:tab w:leader="none" w:pos="6960" w:val="left"/>
        </w:tabs>
        <w:rPr>
          <w:sz w:val="20"/>
          <w:szCs w:val="20"/>
          <w:color w:val="auto"/>
        </w:rPr>
      </w:pPr>
      <w:r>
        <w:rPr>
          <w:rFonts w:ascii="Arial" w:cs="Arial" w:eastAsia="Arial" w:hAnsi="Arial"/>
          <w:sz w:val="18"/>
          <w:szCs w:val="18"/>
          <w:color w:val="00004D"/>
        </w:rPr>
        <w:t>leading cause of drug toxicity</w:t>
      </w:r>
      <w:r>
        <w:rPr>
          <w:sz w:val="20"/>
          <w:szCs w:val="20"/>
          <w:color w:val="auto"/>
        </w:rPr>
        <w:tab/>
      </w:r>
      <w:r>
        <w:rPr>
          <w:rFonts w:ascii="Arial" w:cs="Arial" w:eastAsia="Arial" w:hAnsi="Arial"/>
          <w:sz w:val="18"/>
          <w:szCs w:val="18"/>
          <w:color w:val="00004D"/>
        </w:rPr>
        <w:t>nausea and vomiting in</w:t>
      </w:r>
    </w:p>
    <w:p>
      <w:pPr>
        <w:spacing w:after="0" w:line="13" w:lineRule="exact"/>
        <w:rPr>
          <w:sz w:val="20"/>
          <w:szCs w:val="20"/>
          <w:color w:val="auto"/>
        </w:rPr>
      </w:pPr>
    </w:p>
    <w:p>
      <w:pPr>
        <w:ind w:left="1860"/>
        <w:spacing w:after="0"/>
        <w:tabs>
          <w:tab w:leader="none" w:pos="6960" w:val="left"/>
        </w:tabs>
        <w:rPr>
          <w:sz w:val="20"/>
          <w:szCs w:val="20"/>
          <w:color w:val="auto"/>
        </w:rPr>
      </w:pPr>
      <w:r>
        <w:rPr>
          <w:rFonts w:ascii="Arial" w:cs="Arial" w:eastAsia="Arial" w:hAnsi="Arial"/>
          <w:sz w:val="18"/>
          <w:szCs w:val="18"/>
          <w:color w:val="00004D"/>
        </w:rPr>
        <w:t>in the U.S.</w:t>
      </w:r>
      <w:r>
        <w:rPr>
          <w:sz w:val="20"/>
          <w:szCs w:val="20"/>
          <w:color w:val="auto"/>
        </w:rPr>
        <w:tab/>
      </w:r>
      <w:r>
        <w:rPr>
          <w:rFonts w:ascii="Arial" w:cs="Arial" w:eastAsia="Arial" w:hAnsi="Arial"/>
          <w:sz w:val="18"/>
          <w:szCs w:val="18"/>
          <w:color w:val="00004D"/>
        </w:rPr>
        <w:t>patients receiving certain</w:t>
      </w:r>
    </w:p>
    <w:p>
      <w:pPr>
        <w:spacing w:after="0" w:line="18" w:lineRule="exact"/>
        <w:rPr>
          <w:sz w:val="20"/>
          <w:szCs w:val="20"/>
          <w:color w:val="auto"/>
        </w:rPr>
      </w:pPr>
    </w:p>
    <w:p>
      <w:pPr>
        <w:ind w:left="6980" w:right="780"/>
        <w:spacing w:after="0" w:line="300" w:lineRule="auto"/>
        <w:rPr>
          <w:sz w:val="20"/>
          <w:szCs w:val="20"/>
          <w:color w:val="auto"/>
        </w:rPr>
      </w:pPr>
      <w:r>
        <w:rPr>
          <w:rFonts w:ascii="Arial" w:cs="Arial" w:eastAsia="Arial" w:hAnsi="Arial"/>
          <w:sz w:val="18"/>
          <w:szCs w:val="18"/>
          <w:color w:val="00004D"/>
        </w:rPr>
        <w:t>types of chemotherapy treatment</w:t>
      </w:r>
    </w:p>
    <w:p>
      <w:pPr>
        <w:sectPr>
          <w:pgSz w:w="12240" w:h="15840" w:orient="portrait"/>
          <w:cols w:equalWidth="0" w:num="1">
            <w:col w:w="9660"/>
          </w:cols>
          <w:pgMar w:left="1440" w:top="659" w:right="1140" w:bottom="6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60"/>
        <w:spacing w:after="0"/>
        <w:rPr>
          <w:sz w:val="20"/>
          <w:szCs w:val="20"/>
          <w:color w:val="auto"/>
        </w:rPr>
      </w:pPr>
      <w:r>
        <w:rPr>
          <w:rFonts w:ascii="Arial" w:cs="Arial" w:eastAsia="Arial" w:hAnsi="Arial"/>
          <w:sz w:val="24"/>
          <w:szCs w:val="24"/>
          <w:b w:val="1"/>
          <w:bCs w:val="1"/>
          <w:color w:val="377FA7"/>
        </w:rPr>
        <w:t>(ibuprofen)</w:t>
      </w:r>
    </w:p>
    <w:p>
      <w:pPr>
        <w:spacing w:after="0" w:line="11" w:lineRule="exact"/>
        <w:rPr>
          <w:sz w:val="20"/>
          <w:szCs w:val="20"/>
          <w:color w:val="auto"/>
        </w:rPr>
      </w:pPr>
    </w:p>
    <w:p>
      <w:pPr>
        <w:ind w:left="2060" w:right="1920"/>
        <w:spacing w:after="0" w:line="264" w:lineRule="auto"/>
        <w:rPr>
          <w:sz w:val="20"/>
          <w:szCs w:val="20"/>
          <w:color w:val="auto"/>
        </w:rPr>
      </w:pPr>
      <w:r>
        <w:rPr>
          <w:rFonts w:ascii="Arial" w:cs="Arial" w:eastAsia="Arial" w:hAnsi="Arial"/>
          <w:sz w:val="18"/>
          <w:szCs w:val="18"/>
          <w:color w:val="00004D"/>
        </w:rPr>
        <w:t>An injectable ibuprofen formulation that reduces pain, fever and inflammation for patients, including those undergoing surgeries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0"/>
        <w:spacing w:after="0"/>
        <w:rPr>
          <w:sz w:val="20"/>
          <w:szCs w:val="20"/>
          <w:color w:val="auto"/>
        </w:rPr>
      </w:pPr>
      <w:r>
        <w:rPr>
          <w:rFonts w:ascii="Arial" w:cs="Arial" w:eastAsia="Arial" w:hAnsi="Arial"/>
          <w:sz w:val="24"/>
          <w:szCs w:val="24"/>
          <w:b w:val="1"/>
          <w:bCs w:val="1"/>
          <w:color w:val="377FA7"/>
        </w:rPr>
        <w:t>(telavancin)</w:t>
      </w:r>
    </w:p>
    <w:p>
      <w:pPr>
        <w:spacing w:after="0" w:line="11" w:lineRule="exact"/>
        <w:rPr>
          <w:sz w:val="20"/>
          <w:szCs w:val="20"/>
          <w:color w:val="auto"/>
        </w:rPr>
      </w:pPr>
    </w:p>
    <w:p>
      <w:pPr>
        <w:ind w:left="1380" w:right="1840"/>
        <w:spacing w:after="0" w:line="255" w:lineRule="auto"/>
        <w:rPr>
          <w:sz w:val="20"/>
          <w:szCs w:val="20"/>
          <w:color w:val="auto"/>
        </w:rPr>
      </w:pPr>
      <w:r>
        <w:rPr>
          <w:rFonts w:ascii="Arial" w:cs="Arial" w:eastAsia="Arial" w:hAnsi="Arial"/>
          <w:sz w:val="18"/>
          <w:szCs w:val="18"/>
          <w:color w:val="00004D"/>
        </w:rPr>
        <w:t>A potent antibiotic delivered through injection for the treatment of certain serious bacterial infections, including hospital-acquired and ventilator-associated bacterial pneumonia, as well</w:t>
      </w:r>
    </w:p>
    <w:p>
      <w:pPr>
        <w:ind w:left="1380" w:right="2360"/>
        <w:spacing w:after="0" w:line="300" w:lineRule="auto"/>
        <w:rPr>
          <w:sz w:val="20"/>
          <w:szCs w:val="20"/>
          <w:color w:val="auto"/>
        </w:rPr>
      </w:pPr>
      <w:r>
        <w:rPr>
          <w:rFonts w:ascii="Arial" w:cs="Arial" w:eastAsia="Arial" w:hAnsi="Arial"/>
          <w:sz w:val="18"/>
          <w:szCs w:val="18"/>
          <w:color w:val="00004D"/>
        </w:rPr>
        <w:t>as complicated skin and skin structure infections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24"/>
          <w:szCs w:val="24"/>
          <w:b w:val="1"/>
          <w:bCs w:val="1"/>
          <w:color w:val="377FA7"/>
        </w:rPr>
        <w:t>(lactulose)</w:t>
      </w:r>
    </w:p>
    <w:p>
      <w:pPr>
        <w:spacing w:after="0" w:line="11" w:lineRule="exact"/>
        <w:rPr>
          <w:sz w:val="20"/>
          <w:szCs w:val="20"/>
          <w:color w:val="auto"/>
        </w:rPr>
      </w:pPr>
    </w:p>
    <w:p>
      <w:pPr>
        <w:ind w:left="220" w:right="720"/>
        <w:spacing w:after="0" w:line="255" w:lineRule="auto"/>
        <w:rPr>
          <w:sz w:val="20"/>
          <w:szCs w:val="20"/>
          <w:color w:val="auto"/>
        </w:rPr>
      </w:pPr>
      <w:r>
        <w:rPr>
          <w:rFonts w:ascii="Arial" w:cs="Arial" w:eastAsia="Arial" w:hAnsi="Arial"/>
          <w:sz w:val="18"/>
          <w:szCs w:val="18"/>
          <w:color w:val="00004D"/>
        </w:rPr>
        <w:t>The only branded prescription laxative that combines the established safety and efficacy of lactulose, with the convenience and portability of</w:t>
      </w:r>
    </w:p>
    <w:p>
      <w:pPr>
        <w:ind w:left="220" w:right="1160" w:firstLine="7"/>
        <w:spacing w:after="0" w:line="300" w:lineRule="auto"/>
        <w:tabs>
          <w:tab w:leader="none" w:pos="364" w:val="left"/>
        </w:tabs>
        <w:numPr>
          <w:ilvl w:val="0"/>
          <w:numId w:val="1"/>
        </w:numPr>
        <w:rPr>
          <w:rFonts w:ascii="Arial" w:cs="Arial" w:eastAsia="Arial" w:hAnsi="Arial"/>
          <w:sz w:val="18"/>
          <w:szCs w:val="18"/>
          <w:color w:val="00004D"/>
        </w:rPr>
      </w:pPr>
      <w:r>
        <w:rPr>
          <w:rFonts w:ascii="Arial" w:cs="Arial" w:eastAsia="Arial" w:hAnsi="Arial"/>
          <w:sz w:val="18"/>
          <w:szCs w:val="18"/>
          <w:color w:val="00004D"/>
        </w:rPr>
        <w:t>crystalline, pre-measured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4"/>
          <w:szCs w:val="24"/>
          <w:b w:val="1"/>
          <w:bCs w:val="1"/>
          <w:color w:val="377FA7"/>
        </w:rPr>
        <w:t>(conivaptan)</w:t>
      </w:r>
    </w:p>
    <w:p>
      <w:pPr>
        <w:spacing w:after="0" w:line="1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00004D"/>
        </w:rPr>
        <w:t>The only intravenously administered vasopressin receptor antagonist, which is used to raise serum sodium levels in hospitalized patients with euvolemic and hypervolemic hyponatremia (salt imbalances)</w:t>
      </w:r>
    </w:p>
    <w:p>
      <w:pPr>
        <w:spacing w:after="0" w:line="237" w:lineRule="exact"/>
        <w:rPr>
          <w:sz w:val="20"/>
          <w:szCs w:val="20"/>
          <w:color w:val="auto"/>
        </w:rPr>
      </w:pPr>
    </w:p>
    <w:p>
      <w:pPr>
        <w:sectPr>
          <w:pgSz w:w="12240" w:h="15840" w:orient="portrait"/>
          <w:cols w:equalWidth="0" w:num="2">
            <w:col w:w="6080" w:space="720"/>
            <w:col w:w="2860"/>
          </w:cols>
          <w:pgMar w:left="1440" w:top="659" w:right="1140" w:bottom="602"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1160"/>
        <w:spacing w:after="0" w:line="289" w:lineRule="auto"/>
        <w:rPr>
          <w:sz w:val="20"/>
          <w:szCs w:val="20"/>
          <w:color w:val="auto"/>
        </w:rPr>
      </w:pPr>
      <w:r>
        <w:rPr>
          <w:rFonts w:ascii="Arial" w:cs="Arial" w:eastAsia="Arial" w:hAnsi="Arial"/>
          <w:sz w:val="22"/>
          <w:szCs w:val="22"/>
          <w:color w:val="FFFFFF"/>
        </w:rPr>
        <w:t xml:space="preserve">For more information on Cumberland’s approved products, including safety and full prescribing information, please visit links to the individual product websites, which can be found on our corporate website, </w:t>
      </w:r>
      <w:r>
        <w:rPr>
          <w:rFonts w:ascii="Arial" w:cs="Arial" w:eastAsia="Arial" w:hAnsi="Arial"/>
          <w:sz w:val="22"/>
          <w:szCs w:val="22"/>
          <w:b w:val="1"/>
          <w:bCs w:val="1"/>
          <w:color w:val="FFFFFF"/>
        </w:rPr>
        <w:t>www.cumberlandpharma.com.</w:t>
      </w:r>
    </w:p>
    <w:p>
      <w:pPr>
        <w:sectPr>
          <w:pgSz w:w="12240" w:h="15840" w:orient="portrait"/>
          <w:cols w:equalWidth="0" w:num="1">
            <w:col w:w="9660"/>
          </w:cols>
          <w:pgMar w:left="1440" w:top="659" w:right="1140" w:bottom="602" w:gutter="0" w:footer="0" w:header="0"/>
          <w:type w:val="continuous"/>
        </w:sectPr>
      </w:pPr>
    </w:p>
    <w:bookmarkStart w:id="4" w:name="page5"/>
    <w:bookmarkEnd w:id="4"/>
    <w:p>
      <w:pPr>
        <w:spacing w:after="0"/>
        <w:rPr>
          <w:sz w:val="20"/>
          <w:szCs w:val="20"/>
          <w:color w:val="auto"/>
        </w:rPr>
      </w:pPr>
      <w:r>
        <w:rPr>
          <w:rFonts w:ascii="Arial" w:cs="Arial" w:eastAsia="Arial" w:hAnsi="Arial"/>
          <w:sz w:val="66"/>
          <w:szCs w:val="66"/>
          <w:b w:val="1"/>
          <w:bCs w:val="1"/>
          <w:color w:val="00004D"/>
        </w:rPr>
        <w:t>Introducing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125730</wp:posOffset>
            </wp:positionV>
            <wp:extent cx="3119120"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912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right="1220"/>
        <w:spacing w:after="0" w:line="402" w:lineRule="exact"/>
        <w:rPr>
          <w:sz w:val="20"/>
          <w:szCs w:val="20"/>
          <w:color w:val="auto"/>
        </w:rPr>
      </w:pPr>
      <w:r>
        <w:rPr>
          <w:rFonts w:ascii="Arial" w:cs="Arial" w:eastAsia="Arial" w:hAnsi="Arial"/>
          <w:sz w:val="30"/>
          <w:szCs w:val="30"/>
          <w:b w:val="1"/>
          <w:bCs w:val="1"/>
          <w:color w:val="00004D"/>
        </w:rPr>
        <w:t xml:space="preserve">Talicia® </w:t>
      </w:r>
      <w:r>
        <w:rPr>
          <w:rFonts w:ascii="Arial" w:cs="Arial" w:eastAsia="Arial" w:hAnsi="Arial"/>
          <w:sz w:val="30"/>
          <w:szCs w:val="30"/>
          <w:b w:val="1"/>
          <w:bCs w:val="1"/>
          <w:color w:val="4889B5"/>
        </w:rPr>
        <w:t>(</w:t>
      </w:r>
      <w:r>
        <w:rPr>
          <w:rFonts w:ascii="Arial" w:cs="Arial" w:eastAsia="Arial" w:hAnsi="Arial"/>
          <w:sz w:val="30"/>
          <w:szCs w:val="30"/>
          <w:b w:val="1"/>
          <w:bCs w:val="1"/>
          <w:i w:val="1"/>
          <w:iCs w:val="1"/>
          <w:color w:val="4889B5"/>
        </w:rPr>
        <w:t>omepr zo e, moxici in</w:t>
      </w:r>
      <w:r>
        <w:rPr>
          <w:sz w:val="20"/>
          <w:szCs w:val="20"/>
          <w:color w:val="auto"/>
        </w:rPr>
        <w:t xml:space="preserve"> </w:t>
      </w:r>
      <w:r>
        <w:rPr>
          <w:rFonts w:ascii="Arial" w:cs="Arial" w:eastAsia="Arial" w:hAnsi="Arial"/>
          <w:sz w:val="30"/>
          <w:szCs w:val="30"/>
          <w:b w:val="1"/>
          <w:bCs w:val="1"/>
          <w:i w:val="1"/>
          <w:iCs w:val="1"/>
          <w:color w:val="4889B5"/>
        </w:rPr>
        <w:t>nd rif b tin</w:t>
      </w:r>
      <w:r>
        <w:rPr>
          <w:rFonts w:ascii="Arial" w:cs="Arial" w:eastAsia="Arial" w:hAnsi="Arial"/>
          <w:sz w:val="30"/>
          <w:szCs w:val="30"/>
          <w:b w:val="1"/>
          <w:bCs w:val="1"/>
          <w:color w:val="4889B5"/>
        </w:rPr>
        <w:t>)</w:t>
      </w:r>
      <w:r>
        <w:rPr>
          <w:rFonts w:ascii="Arial" w:cs="Arial" w:eastAsia="Arial" w:hAnsi="Arial"/>
          <w:sz w:val="30"/>
          <w:szCs w:val="30"/>
          <w:b w:val="1"/>
          <w:bCs w:val="1"/>
          <w:i w:val="1"/>
          <w:iCs w:val="1"/>
          <w:color w:val="4889B5"/>
        </w:rPr>
        <w:t xml:space="preserve"> </w:t>
      </w:r>
      <w:r>
        <w:rPr>
          <w:rFonts w:ascii="Arial" w:cs="Arial" w:eastAsia="Arial" w:hAnsi="Arial"/>
          <w:sz w:val="30"/>
          <w:szCs w:val="30"/>
          <w:color w:val="00004D"/>
        </w:rPr>
        <w:t>is an FDA-approved</w:t>
      </w:r>
      <w:r>
        <w:rPr>
          <w:rFonts w:ascii="Arial" w:cs="Arial" w:eastAsia="Arial" w:hAnsi="Arial"/>
          <w:sz w:val="30"/>
          <w:szCs w:val="30"/>
          <w:b w:val="1"/>
          <w:bCs w:val="1"/>
          <w:i w:val="1"/>
          <w:iCs w:val="1"/>
          <w:color w:val="4889B5"/>
        </w:rPr>
        <w:t xml:space="preserve"> </w:t>
      </w:r>
      <w:r>
        <w:rPr>
          <w:rFonts w:ascii="Arial" w:cs="Arial" w:eastAsia="Arial" w:hAnsi="Arial"/>
          <w:sz w:val="30"/>
          <w:szCs w:val="30"/>
          <w:color w:val="00004D"/>
        </w:rPr>
        <w:t xml:space="preserve">oral capsule for the treatment of </w:t>
      </w:r>
      <w:r>
        <w:rPr>
          <w:rFonts w:ascii="Arial" w:cs="Arial" w:eastAsia="Arial" w:hAnsi="Arial"/>
          <w:sz w:val="30"/>
          <w:szCs w:val="30"/>
          <w:i w:val="1"/>
          <w:iCs w:val="1"/>
          <w:color w:val="00004D"/>
        </w:rPr>
        <w:t>He icob cter py ori (H. py ori)</w:t>
      </w:r>
      <w:r>
        <w:rPr>
          <w:rFonts w:ascii="Arial" w:cs="Arial" w:eastAsia="Arial" w:hAnsi="Arial"/>
          <w:sz w:val="30"/>
          <w:szCs w:val="30"/>
          <w:color w:val="00004D"/>
        </w:rPr>
        <w:t xml:space="preserve"> infection, a bacterial infection of the stomach and leading risk factor for gastric cancer. Talicia is listed as a first-line treatment option for the treatment of </w:t>
      </w:r>
      <w:r>
        <w:rPr>
          <w:rFonts w:ascii="Arial" w:cs="Arial" w:eastAsia="Arial" w:hAnsi="Arial"/>
          <w:sz w:val="30"/>
          <w:szCs w:val="30"/>
          <w:i w:val="1"/>
          <w:iCs w:val="1"/>
          <w:color w:val="00004D"/>
        </w:rPr>
        <w:t>H. py ori</w:t>
      </w:r>
      <w:r>
        <w:rPr>
          <w:rFonts w:ascii="Arial" w:cs="Arial" w:eastAsia="Arial" w:hAnsi="Arial"/>
          <w:sz w:val="30"/>
          <w:szCs w:val="30"/>
          <w:color w:val="00004D"/>
        </w:rPr>
        <w:t xml:space="preserve"> and features three key advantages:</w:t>
      </w:r>
    </w:p>
    <w:p>
      <w:pPr>
        <w:spacing w:after="0" w:line="394" w:lineRule="exact"/>
        <w:rPr>
          <w:sz w:val="20"/>
          <w:szCs w:val="20"/>
          <w:color w:val="auto"/>
        </w:rPr>
      </w:pPr>
    </w:p>
    <w:p>
      <w:pPr>
        <w:ind w:left="160"/>
        <w:spacing w:after="0"/>
        <w:rPr>
          <w:sz w:val="20"/>
          <w:szCs w:val="20"/>
          <w:color w:val="auto"/>
        </w:rPr>
      </w:pPr>
      <w:r>
        <w:rPr>
          <w:sz w:val="1"/>
          <w:szCs w:val="1"/>
          <w:color w:val="auto"/>
        </w:rPr>
        <w:drawing>
          <wp:inline distT="0" distB="0" distL="0" distR="0">
            <wp:extent cx="106045" cy="1060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30"/>
          <w:szCs w:val="30"/>
          <w:b w:val="1"/>
          <w:bCs w:val="1"/>
          <w:color w:val="00004D"/>
        </w:rPr>
        <w:t xml:space="preserve"> high eradication rates of &gt;90% in confirmed adherent patients,</w:t>
      </w:r>
    </w:p>
    <w:p>
      <w:pPr>
        <w:spacing w:after="0" w:line="55" w:lineRule="exact"/>
        <w:rPr>
          <w:sz w:val="20"/>
          <w:szCs w:val="20"/>
          <w:color w:val="auto"/>
        </w:rPr>
      </w:pPr>
    </w:p>
    <w:p>
      <w:pPr>
        <w:ind w:left="160"/>
        <w:spacing w:after="0"/>
        <w:rPr>
          <w:sz w:val="20"/>
          <w:szCs w:val="20"/>
          <w:color w:val="auto"/>
        </w:rPr>
      </w:pPr>
      <w:r>
        <w:rPr>
          <w:sz w:val="1"/>
          <w:szCs w:val="1"/>
          <w:color w:val="auto"/>
        </w:rPr>
        <w:drawing>
          <wp:inline distT="0" distB="0" distL="0" distR="0">
            <wp:extent cx="106045" cy="1060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30"/>
          <w:szCs w:val="30"/>
          <w:b w:val="1"/>
          <w:bCs w:val="1"/>
          <w:color w:val="00004D"/>
        </w:rPr>
        <w:t xml:space="preserve"> the simplicity of an all-in-one capsule and</w:t>
      </w:r>
    </w:p>
    <w:p>
      <w:pPr>
        <w:spacing w:after="0" w:line="55" w:lineRule="exact"/>
        <w:rPr>
          <w:sz w:val="20"/>
          <w:szCs w:val="20"/>
          <w:color w:val="auto"/>
        </w:rPr>
      </w:pPr>
    </w:p>
    <w:p>
      <w:pPr>
        <w:ind w:left="160"/>
        <w:spacing w:after="0"/>
        <w:rPr>
          <w:sz w:val="20"/>
          <w:szCs w:val="20"/>
          <w:color w:val="auto"/>
        </w:rPr>
      </w:pPr>
      <w:r>
        <w:rPr>
          <w:sz w:val="1"/>
          <w:szCs w:val="1"/>
          <w:color w:val="auto"/>
        </w:rPr>
        <w:drawing>
          <wp:inline distT="0" distB="0" distL="0" distR="0">
            <wp:extent cx="106045" cy="1060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106045"/>
                    </a:xfrm>
                    <a:prstGeom prst="rect">
                      <a:avLst/>
                    </a:prstGeom>
                    <a:noFill/>
                    <a:ln>
                      <a:noFill/>
                    </a:ln>
                  </pic:spPr>
                </pic:pic>
              </a:graphicData>
            </a:graphic>
          </wp:inline>
        </w:drawing>
      </w:r>
      <w:r>
        <w:rPr>
          <w:rFonts w:ascii="Arial" w:cs="Arial" w:eastAsia="Arial" w:hAnsi="Arial"/>
          <w:sz w:val="30"/>
          <w:szCs w:val="30"/>
          <w:b w:val="1"/>
          <w:bCs w:val="1"/>
          <w:color w:val="00004D"/>
        </w:rPr>
        <w:t xml:space="preserve"> low resistance to its two antibiotics - amoxicillin and rifabutin.</w:t>
      </w:r>
    </w:p>
    <w:p>
      <w:pPr>
        <w:spacing w:after="0" w:line="200" w:lineRule="exact"/>
        <w:rPr>
          <w:sz w:val="20"/>
          <w:szCs w:val="20"/>
          <w:color w:val="auto"/>
        </w:rPr>
      </w:pPr>
    </w:p>
    <w:p>
      <w:pPr>
        <w:spacing w:after="0" w:line="255" w:lineRule="exact"/>
        <w:rPr>
          <w:sz w:val="20"/>
          <w:szCs w:val="20"/>
          <w:color w:val="auto"/>
        </w:rPr>
      </w:pPr>
    </w:p>
    <w:p>
      <w:pPr>
        <w:ind w:left="180" w:right="1480"/>
        <w:spacing w:after="0" w:line="323" w:lineRule="auto"/>
        <w:rPr>
          <w:sz w:val="20"/>
          <w:szCs w:val="20"/>
          <w:color w:val="auto"/>
        </w:rPr>
      </w:pPr>
      <w:r>
        <w:rPr>
          <w:rFonts w:ascii="Arial" w:cs="Arial" w:eastAsia="Arial" w:hAnsi="Arial"/>
          <w:sz w:val="30"/>
          <w:szCs w:val="30"/>
          <w:color w:val="00004D"/>
        </w:rPr>
        <w:t>Talicia is distributed by Cumberland under a co-commercialization agreement with Talicia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-377190</wp:posOffset>
            </wp:positionV>
            <wp:extent cx="7772400" cy="5287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2400" cy="5287010"/>
                    </a:xfrm>
                    <a:prstGeom prst="rect">
                      <a:avLst/>
                    </a:prstGeom>
                    <a:noFill/>
                  </pic:spPr>
                </pic:pic>
              </a:graphicData>
            </a:graphic>
          </wp:anchor>
        </w:drawing>
      </w:r>
    </w:p>
    <w:p>
      <w:pPr>
        <w:spacing w:after="0" w:line="251" w:lineRule="exact"/>
        <w:rPr>
          <w:sz w:val="20"/>
          <w:szCs w:val="20"/>
          <w:color w:val="auto"/>
        </w:rPr>
      </w:pPr>
    </w:p>
    <w:p>
      <w:pPr>
        <w:ind w:left="180" w:right="2080"/>
        <w:spacing w:after="0" w:line="325" w:lineRule="auto"/>
        <w:rPr>
          <w:sz w:val="20"/>
          <w:szCs w:val="20"/>
          <w:color w:val="auto"/>
        </w:rPr>
      </w:pPr>
      <w:r>
        <w:rPr>
          <w:rFonts w:ascii="Arial" w:cs="Arial" w:eastAsia="Arial" w:hAnsi="Arial"/>
          <w:sz w:val="30"/>
          <w:szCs w:val="30"/>
          <w:color w:val="00004D"/>
        </w:rPr>
        <w:t xml:space="preserve">For more information, including full prescribing and important safety data, visit </w:t>
      </w:r>
      <w:r>
        <w:rPr>
          <w:rFonts w:ascii="Arial" w:cs="Arial" w:eastAsia="Arial" w:hAnsi="Arial"/>
          <w:sz w:val="30"/>
          <w:szCs w:val="30"/>
          <w:b w:val="1"/>
          <w:bCs w:val="1"/>
          <w:color w:val="00004D"/>
        </w:rPr>
        <w:t>www.talicia.com.</w:t>
      </w:r>
    </w:p>
    <w:p>
      <w:pPr>
        <w:sectPr>
          <w:pgSz w:w="12240" w:h="15840" w:orient="portrait"/>
          <w:cols w:equalWidth="0" w:num="1">
            <w:col w:w="10700"/>
          </w:cols>
          <w:pgMar w:left="1160" w:top="812"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960"/>
        <w:spacing w:after="0"/>
        <w:tabs>
          <w:tab w:leader="none" w:pos="10580" w:val="left"/>
        </w:tabs>
        <w:rPr>
          <w:sz w:val="20"/>
          <w:szCs w:val="20"/>
          <w:color w:val="auto"/>
        </w:rPr>
      </w:pPr>
      <w:r>
        <w:rPr>
          <w:rFonts w:ascii="Arial" w:cs="Arial" w:eastAsia="Arial" w:hAnsi="Arial"/>
          <w:sz w:val="16"/>
          <w:szCs w:val="16"/>
          <w:color w:val="FFFFFF"/>
        </w:rPr>
        <w:t>2025 Annual Report</w:t>
      </w:r>
      <w:r>
        <w:rPr>
          <w:sz w:val="20"/>
          <w:szCs w:val="20"/>
          <w:color w:val="auto"/>
        </w:rPr>
        <w:tab/>
      </w:r>
      <w:r>
        <w:rPr>
          <w:rFonts w:ascii="Arial" w:cs="Arial" w:eastAsia="Arial" w:hAnsi="Arial"/>
          <w:sz w:val="16"/>
          <w:szCs w:val="16"/>
          <w:b w:val="1"/>
          <w:bCs w:val="1"/>
          <w:color w:val="FFFFFF"/>
        </w:rPr>
        <w:t>3</w:t>
      </w:r>
    </w:p>
    <w:p>
      <w:pPr>
        <w:sectPr>
          <w:pgSz w:w="12240" w:h="15840" w:orient="portrait"/>
          <w:cols w:equalWidth="0" w:num="1">
            <w:col w:w="10700"/>
          </w:cols>
          <w:pgMar w:left="1160" w:top="812" w:right="380" w:bottom="0" w:gutter="0" w:footer="0" w:header="0"/>
          <w:type w:val="continuous"/>
        </w:sectPr>
      </w:pPr>
    </w:p>
    <w:bookmarkStart w:id="5" w:name="page6"/>
    <w:bookmarkEnd w:id="5"/>
    <w:p>
      <w:pPr>
        <w:ind w:left="1040"/>
        <w:spacing w:after="0"/>
        <w:rPr>
          <w:sz w:val="20"/>
          <w:szCs w:val="20"/>
          <w:color w:val="auto"/>
        </w:rPr>
      </w:pPr>
      <w:r>
        <w:rPr>
          <w:rFonts w:ascii="Arial" w:cs="Arial" w:eastAsia="Arial" w:hAnsi="Arial"/>
          <w:sz w:val="54"/>
          <w:szCs w:val="54"/>
          <w:b w:val="1"/>
          <w:bCs w:val="1"/>
          <w:color w:val="00004D"/>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Expanded Market Access</w:t>
      </w:r>
    </w:p>
    <w:p>
      <w:pPr>
        <w:spacing w:after="0" w:line="200" w:lineRule="exact"/>
        <w:rPr>
          <w:sz w:val="20"/>
          <w:szCs w:val="20"/>
          <w:color w:val="auto"/>
        </w:rPr>
      </w:pPr>
    </w:p>
    <w:p>
      <w:pPr>
        <w:spacing w:after="0" w:line="211" w:lineRule="exact"/>
        <w:rPr>
          <w:sz w:val="20"/>
          <w:szCs w:val="20"/>
          <w:color w:val="auto"/>
        </w:rPr>
      </w:pPr>
    </w:p>
    <w:p>
      <w:pPr>
        <w:ind w:left="1040" w:right="600"/>
        <w:spacing w:after="0" w:line="299" w:lineRule="auto"/>
        <w:rPr>
          <w:sz w:val="20"/>
          <w:szCs w:val="20"/>
          <w:color w:val="auto"/>
        </w:rPr>
      </w:pPr>
      <w:r>
        <w:rPr>
          <w:rFonts w:ascii="Arial" w:cs="Arial" w:eastAsia="Arial" w:hAnsi="Arial"/>
          <w:sz w:val="22"/>
          <w:szCs w:val="22"/>
          <w:color w:val="00004D"/>
        </w:rPr>
        <w:t>New arrangements with leading healthcare organizations are critical in our efforts to expand the number of patients benefiting from our products. Through these collaborations, we can help ensure that providers nationwide can more easily access our FDA-approved brands to support both inpatient and outpatient care.</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4889B5"/>
        </w:rPr>
        <w:t>Vibativ® 4-Vial Starter Pak Added</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4889B5"/>
        </w:rPr>
        <w:t>to Vizient Purchasing Agreement</w:t>
      </w:r>
    </w:p>
    <w:p>
      <w:pPr>
        <w:spacing w:after="0" w:line="224" w:lineRule="exact"/>
        <w:rPr>
          <w:sz w:val="20"/>
          <w:szCs w:val="20"/>
          <w:color w:val="auto"/>
        </w:rPr>
      </w:pPr>
    </w:p>
    <w:p>
      <w:pPr>
        <w:ind w:left="1040" w:right="460"/>
        <w:spacing w:after="0" w:line="296" w:lineRule="auto"/>
        <w:rPr>
          <w:sz w:val="20"/>
          <w:szCs w:val="20"/>
          <w:color w:val="auto"/>
        </w:rPr>
      </w:pPr>
      <w:r>
        <w:rPr>
          <w:rFonts w:ascii="Arial" w:cs="Arial" w:eastAsia="Arial" w:hAnsi="Arial"/>
          <w:sz w:val="22"/>
          <w:szCs w:val="22"/>
          <w:color w:val="00004D"/>
        </w:rPr>
        <w:t>We announced the availability of Vibativ in its newly introduced 4-Vial Starter Pak through a supply arrangement with Vizient, Inc., significantly expanding access to this therapy across the U.S. Vizient is the nation’s largest provider-driven healthcare performance improvement company, serving more than 65% of the U.S. acute care providers, including 97% of the country’s academic medical centers.</w:t>
      </w:r>
    </w:p>
    <w:p>
      <w:pPr>
        <w:spacing w:after="0" w:line="298"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4889B5"/>
        </w:rPr>
        <w:t>Vibativ® Now Available for Premier Providers</w:t>
      </w:r>
    </w:p>
    <w:p>
      <w:pPr>
        <w:spacing w:after="0" w:line="224" w:lineRule="exact"/>
        <w:rPr>
          <w:sz w:val="20"/>
          <w:szCs w:val="20"/>
          <w:color w:val="auto"/>
        </w:rPr>
      </w:pPr>
    </w:p>
    <w:p>
      <w:pPr>
        <w:ind w:left="1040" w:right="660"/>
        <w:spacing w:after="0" w:line="293" w:lineRule="auto"/>
        <w:rPr>
          <w:sz w:val="20"/>
          <w:szCs w:val="20"/>
          <w:color w:val="auto"/>
        </w:rPr>
      </w:pPr>
      <w:r>
        <w:rPr>
          <w:rFonts w:ascii="Arial" w:cs="Arial" w:eastAsia="Arial" w:hAnsi="Arial"/>
          <w:sz w:val="22"/>
          <w:szCs w:val="22"/>
          <w:color w:val="00004D"/>
        </w:rPr>
        <w:t>Vibativ was featured in a new national group purchasing agreement with Premier, Inc., further broadening access to the product across healthcare systems. Under this agreement, Premier members can purchase Vibativ in both the traditional 12-vial carton and the new 4-Vial Starter Pak. Premier is a leading healthcare improvement company, uniting an alliance of approximately 4,350 U.S. hospitals and 325,000 other providers and organizations.</w:t>
      </w:r>
    </w:p>
    <w:p>
      <w:pPr>
        <w:sectPr>
          <w:pgSz w:w="12240" w:h="15840" w:orient="portrait"/>
          <w:cols w:equalWidth="0" w:num="1">
            <w:col w:w="10420"/>
          </w:cols>
          <w:pgMar w:left="380" w:top="7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hanging="300"/>
        <w:spacing w:after="0"/>
        <w:tabs>
          <w:tab w:leader="none" w:pos="300" w:val="left"/>
        </w:tabs>
        <w:numPr>
          <w:ilvl w:val="0"/>
          <w:numId w:val="2"/>
        </w:numPr>
        <w:rPr>
          <w:rFonts w:ascii="Arial" w:cs="Arial" w:eastAsia="Arial" w:hAnsi="Arial"/>
          <w:sz w:val="16"/>
          <w:szCs w:val="16"/>
          <w:b w:val="1"/>
          <w:bCs w:val="1"/>
          <w:color w:val="FFFFFF"/>
        </w:rPr>
      </w:pPr>
      <w:r>
        <w:rPr>
          <w:rFonts w:ascii="Arial" w:cs="Arial" w:eastAsia="Arial" w:hAnsi="Arial"/>
          <w:sz w:val="14"/>
          <w:szCs w:val="14"/>
          <w:color w:val="FFFFFF"/>
        </w:rPr>
        <w:t>Cumberland Pharmaceuticals</w:t>
      </w:r>
    </w:p>
    <w:p>
      <w:pPr>
        <w:sectPr>
          <w:pgSz w:w="12240" w:h="15840" w:orient="portrait"/>
          <w:cols w:equalWidth="0" w:num="1">
            <w:col w:w="10420"/>
          </w:cols>
          <w:pgMar w:left="380" w:top="759" w:right="1440" w:bottom="0" w:gutter="0" w:footer="0" w:header="0"/>
          <w:type w:val="continuous"/>
        </w:sectPr>
      </w:pPr>
    </w:p>
    <w:bookmarkStart w:id="6" w:name="page7"/>
    <w:bookmarkEnd w:id="6"/>
    <w:p>
      <w:pPr>
        <w:ind w:right="4320"/>
        <w:spacing w:after="0" w:line="262" w:lineRule="auto"/>
        <w:rPr>
          <w:sz w:val="20"/>
          <w:szCs w:val="20"/>
          <w:color w:val="auto"/>
        </w:rPr>
      </w:pPr>
      <w:r>
        <w:rPr>
          <w:rFonts w:ascii="Arial" w:cs="Arial" w:eastAsia="Arial" w:hAnsi="Arial"/>
          <w:sz w:val="54"/>
          <w:szCs w:val="5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3154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72400" cy="3154680"/>
                    </a:xfrm>
                    <a:prstGeom prst="rect">
                      <a:avLst/>
                    </a:prstGeom>
                    <a:noFill/>
                  </pic:spPr>
                </pic:pic>
              </a:graphicData>
            </a:graphic>
          </wp:anchor>
        </w:drawing>
        <w:t>Building a Global Network to Support Patient Care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100"/>
        <w:spacing w:after="0" w:line="327" w:lineRule="auto"/>
        <w:rPr>
          <w:sz w:val="20"/>
          <w:szCs w:val="20"/>
          <w:color w:val="auto"/>
        </w:rPr>
      </w:pPr>
      <w:r>
        <w:rPr>
          <w:rFonts w:ascii="Arial" w:cs="Arial" w:eastAsia="Arial" w:hAnsi="Arial"/>
          <w:sz w:val="22"/>
          <w:szCs w:val="22"/>
          <w:color w:val="00004D"/>
        </w:rPr>
        <w:t>We continue to deliver our medicines to patients worldwide by working with a network of established international companies.</w:t>
      </w:r>
    </w:p>
    <w:p>
      <w:pPr>
        <w:spacing w:after="0" w:line="1" w:lineRule="exact"/>
        <w:rPr>
          <w:sz w:val="20"/>
          <w:szCs w:val="20"/>
          <w:color w:val="auto"/>
        </w:rPr>
      </w:pPr>
    </w:p>
    <w:p>
      <w:pPr>
        <w:ind w:right="2200"/>
        <w:spacing w:after="0" w:line="299" w:lineRule="auto"/>
        <w:rPr>
          <w:sz w:val="20"/>
          <w:szCs w:val="20"/>
          <w:color w:val="auto"/>
        </w:rPr>
      </w:pPr>
      <w:r>
        <w:rPr>
          <w:rFonts w:ascii="Arial" w:cs="Arial" w:eastAsia="Arial" w:hAnsi="Arial"/>
          <w:sz w:val="22"/>
          <w:szCs w:val="22"/>
          <w:color w:val="00004D"/>
        </w:rPr>
        <w:t>Our partners are responsible for registering, distributing and marketing select Cumberland products in their respective countries. We support those efforts through regulatory collaboration and product supply to ensure our therapies are accessible to patients internationally.</w:t>
      </w:r>
    </w:p>
    <w:p>
      <w:pPr>
        <w:spacing w:after="0" w:line="136" w:lineRule="exact"/>
        <w:rPr>
          <w:sz w:val="20"/>
          <w:szCs w:val="20"/>
          <w:color w:val="auto"/>
        </w:rPr>
      </w:pPr>
    </w:p>
    <w:p>
      <w:pPr>
        <w:spacing w:after="0"/>
        <w:tabs>
          <w:tab w:leader="none" w:pos="5380" w:val="left"/>
        </w:tabs>
        <w:rPr>
          <w:sz w:val="20"/>
          <w:szCs w:val="20"/>
          <w:color w:val="auto"/>
        </w:rPr>
      </w:pPr>
      <w:r>
        <w:rPr>
          <w:rFonts w:ascii="Arial" w:cs="Arial" w:eastAsia="Arial" w:hAnsi="Arial"/>
          <w:sz w:val="32"/>
          <w:szCs w:val="32"/>
          <w:b w:val="1"/>
          <w:bCs w:val="1"/>
          <w:color w:val="4889B5"/>
        </w:rPr>
        <w:t>Australia</w:t>
      </w:r>
      <w:r>
        <w:rPr>
          <w:sz w:val="20"/>
          <w:szCs w:val="20"/>
          <w:color w:val="auto"/>
        </w:rPr>
        <w:tab/>
      </w:r>
      <w:r>
        <w:rPr>
          <w:rFonts w:ascii="Arial" w:cs="Arial" w:eastAsia="Arial" w:hAnsi="Arial"/>
          <w:sz w:val="32"/>
          <w:szCs w:val="32"/>
          <w:b w:val="1"/>
          <w:bCs w:val="1"/>
          <w:color w:val="4889B5"/>
        </w:rPr>
        <w:t>Russia</w:t>
      </w:r>
    </w:p>
    <w:p>
      <w:pPr>
        <w:spacing w:after="0" w:line="134" w:lineRule="exact"/>
        <w:rPr>
          <w:sz w:val="20"/>
          <w:szCs w:val="20"/>
          <w:color w:val="auto"/>
        </w:rPr>
      </w:pPr>
    </w:p>
    <w:p>
      <w:pPr>
        <w:spacing w:after="0"/>
        <w:tabs>
          <w:tab w:leader="none" w:pos="5380" w:val="left"/>
        </w:tabs>
        <w:rPr>
          <w:sz w:val="20"/>
          <w:szCs w:val="20"/>
          <w:color w:val="auto"/>
        </w:rPr>
      </w:pPr>
      <w:r>
        <w:rPr>
          <w:rFonts w:ascii="Arial" w:cs="Arial" w:eastAsia="Arial" w:hAnsi="Arial"/>
          <w:sz w:val="22"/>
          <w:szCs w:val="22"/>
          <w:b w:val="1"/>
          <w:bCs w:val="1"/>
          <w:color w:val="00004D"/>
        </w:rPr>
        <w:t xml:space="preserve">Phebra Pty Ltd. </w:t>
      </w:r>
      <w:r>
        <w:rPr>
          <w:rFonts w:ascii="Arial" w:cs="Arial" w:eastAsia="Arial" w:hAnsi="Arial"/>
          <w:sz w:val="22"/>
          <w:szCs w:val="22"/>
          <w:color w:val="00004D"/>
        </w:rPr>
        <w:t>is our commercial partner for</w:t>
      </w:r>
      <w:r>
        <w:rPr>
          <w:sz w:val="20"/>
          <w:szCs w:val="20"/>
          <w:color w:val="auto"/>
        </w:rPr>
        <w:tab/>
      </w:r>
      <w:r>
        <w:rPr>
          <w:rFonts w:ascii="Arial" w:cs="Arial" w:eastAsia="Arial" w:hAnsi="Arial"/>
          <w:sz w:val="22"/>
          <w:szCs w:val="22"/>
          <w:b w:val="1"/>
          <w:bCs w:val="1"/>
          <w:color w:val="00004D"/>
        </w:rPr>
        <w:t xml:space="preserve">R-Pharm JSC </w:t>
      </w:r>
      <w:r>
        <w:rPr>
          <w:rFonts w:ascii="Arial" w:cs="Arial" w:eastAsia="Arial" w:hAnsi="Arial"/>
          <w:sz w:val="22"/>
          <w:szCs w:val="22"/>
          <w:color w:val="00004D"/>
        </w:rPr>
        <w:t>is our commercial partner</w:t>
      </w:r>
    </w:p>
    <w:p>
      <w:pPr>
        <w:spacing w:after="0" w:line="47" w:lineRule="exact"/>
        <w:rPr>
          <w:sz w:val="20"/>
          <w:szCs w:val="20"/>
          <w:color w:val="auto"/>
        </w:rPr>
      </w:pPr>
    </w:p>
    <w:p>
      <w:pPr>
        <w:spacing w:after="0"/>
        <w:tabs>
          <w:tab w:leader="none" w:pos="5380" w:val="left"/>
        </w:tabs>
        <w:rPr>
          <w:sz w:val="20"/>
          <w:szCs w:val="20"/>
          <w:color w:val="auto"/>
        </w:rPr>
      </w:pPr>
      <w:r>
        <w:rPr>
          <w:rFonts w:ascii="Arial" w:cs="Arial" w:eastAsia="Arial" w:hAnsi="Arial"/>
          <w:sz w:val="22"/>
          <w:szCs w:val="22"/>
          <w:color w:val="00004D"/>
        </w:rPr>
        <w:t>Acetadote</w:t>
      </w:r>
      <w:r>
        <w:rPr>
          <w:rFonts w:ascii="Arial" w:cs="Arial" w:eastAsia="Arial" w:hAnsi="Arial"/>
          <w:sz w:val="12"/>
          <w:szCs w:val="12"/>
          <w:color w:val="00004D"/>
        </w:rPr>
        <w:t>®</w:t>
      </w:r>
      <w:r>
        <w:rPr>
          <w:rFonts w:ascii="Arial" w:cs="Arial" w:eastAsia="Arial" w:hAnsi="Arial"/>
          <w:sz w:val="22"/>
          <w:szCs w:val="22"/>
          <w:color w:val="00004D"/>
        </w:rPr>
        <w:t xml:space="preserve"> and Caldolor.</w:t>
      </w:r>
      <w:r>
        <w:rPr>
          <w:rFonts w:ascii="Arial" w:cs="Arial" w:eastAsia="Arial" w:hAnsi="Arial"/>
          <w:sz w:val="12"/>
          <w:szCs w:val="12"/>
          <w:color w:val="00004D"/>
        </w:rPr>
        <w:t>®</w:t>
      </w:r>
      <w:r>
        <w:rPr>
          <w:sz w:val="20"/>
          <w:szCs w:val="20"/>
          <w:color w:val="auto"/>
        </w:rPr>
        <w:tab/>
      </w:r>
      <w:r>
        <w:rPr>
          <w:rFonts w:ascii="Arial" w:cs="Arial" w:eastAsia="Arial" w:hAnsi="Arial"/>
          <w:sz w:val="22"/>
          <w:szCs w:val="22"/>
          <w:color w:val="00004D"/>
        </w:rPr>
        <w:t>for Vibativ.</w:t>
      </w:r>
    </w:p>
    <w:p>
      <w:pPr>
        <w:sectPr>
          <w:pgSz w:w="12240" w:h="15840" w:orient="portrait"/>
          <w:cols w:equalWidth="0" w:num="1">
            <w:col w:w="10720"/>
          </w:cols>
          <w:pgMar w:left="1140" w:top="485" w:right="380" w:bottom="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32"/>
          <w:szCs w:val="32"/>
          <w:b w:val="1"/>
          <w:bCs w:val="1"/>
          <w:color w:val="4889B5"/>
        </w:rPr>
        <w:t>China</w:t>
      </w:r>
    </w:p>
    <w:p>
      <w:pPr>
        <w:spacing w:after="0" w:line="134" w:lineRule="exact"/>
        <w:rPr>
          <w:sz w:val="20"/>
          <w:szCs w:val="20"/>
          <w:color w:val="auto"/>
        </w:rPr>
      </w:pPr>
    </w:p>
    <w:p>
      <w:pPr>
        <w:ind w:right="20"/>
        <w:spacing w:after="0" w:line="307" w:lineRule="auto"/>
        <w:rPr>
          <w:sz w:val="20"/>
          <w:szCs w:val="20"/>
          <w:color w:val="auto"/>
        </w:rPr>
      </w:pPr>
      <w:r>
        <w:rPr>
          <w:rFonts w:ascii="Arial" w:cs="Arial" w:eastAsia="Arial" w:hAnsi="Arial"/>
          <w:sz w:val="22"/>
          <w:szCs w:val="22"/>
          <w:b w:val="1"/>
          <w:bCs w:val="1"/>
          <w:color w:val="00004D"/>
        </w:rPr>
        <w:t xml:space="preserve">WinHealth Pharma Group </w:t>
      </w:r>
      <w:r>
        <w:rPr>
          <w:rFonts w:ascii="Arial" w:cs="Arial" w:eastAsia="Arial" w:hAnsi="Arial"/>
          <w:sz w:val="22"/>
          <w:szCs w:val="22"/>
          <w:color w:val="00004D"/>
        </w:rPr>
        <w:t>is our commercial</w:t>
      </w:r>
      <w:r>
        <w:rPr>
          <w:rFonts w:ascii="Arial" w:cs="Arial" w:eastAsia="Arial" w:hAnsi="Arial"/>
          <w:sz w:val="22"/>
          <w:szCs w:val="22"/>
          <w:b w:val="1"/>
          <w:bCs w:val="1"/>
          <w:color w:val="00004D"/>
        </w:rPr>
        <w:t xml:space="preserve"> </w:t>
      </w:r>
      <w:r>
        <w:rPr>
          <w:rFonts w:ascii="Arial" w:cs="Arial" w:eastAsia="Arial" w:hAnsi="Arial"/>
          <w:sz w:val="22"/>
          <w:szCs w:val="22"/>
          <w:color w:val="00004D"/>
        </w:rPr>
        <w:t>partner for Caldolor and Acetadote, and an investor in Cumberland Emerging Technologies.</w:t>
      </w:r>
    </w:p>
    <w:p>
      <w:pPr>
        <w:spacing w:after="0" w:line="99" w:lineRule="exact"/>
        <w:rPr>
          <w:sz w:val="20"/>
          <w:szCs w:val="20"/>
          <w:color w:val="auto"/>
        </w:rPr>
      </w:pPr>
    </w:p>
    <w:p>
      <w:pPr>
        <w:ind w:right="260"/>
        <w:spacing w:after="0" w:line="326" w:lineRule="auto"/>
        <w:rPr>
          <w:sz w:val="20"/>
          <w:szCs w:val="20"/>
          <w:color w:val="auto"/>
        </w:rPr>
      </w:pPr>
      <w:r>
        <w:rPr>
          <w:rFonts w:ascii="Arial" w:cs="Arial" w:eastAsia="Arial" w:hAnsi="Arial"/>
          <w:sz w:val="22"/>
          <w:szCs w:val="22"/>
          <w:b w:val="1"/>
          <w:bCs w:val="1"/>
          <w:color w:val="00004D"/>
        </w:rPr>
        <w:t xml:space="preserve">SciClone Pharmaceuticals </w:t>
      </w:r>
      <w:r>
        <w:rPr>
          <w:rFonts w:ascii="Arial" w:cs="Arial" w:eastAsia="Arial" w:hAnsi="Arial"/>
          <w:sz w:val="22"/>
          <w:szCs w:val="22"/>
          <w:color w:val="00004D"/>
        </w:rPr>
        <w:t>is our commercial</w:t>
      </w:r>
      <w:r>
        <w:rPr>
          <w:rFonts w:ascii="Arial" w:cs="Arial" w:eastAsia="Arial" w:hAnsi="Arial"/>
          <w:sz w:val="22"/>
          <w:szCs w:val="22"/>
          <w:b w:val="1"/>
          <w:bCs w:val="1"/>
          <w:color w:val="00004D"/>
        </w:rPr>
        <w:t xml:space="preserve"> </w:t>
      </w:r>
      <w:r>
        <w:rPr>
          <w:rFonts w:ascii="Arial" w:cs="Arial" w:eastAsia="Arial" w:hAnsi="Arial"/>
          <w:sz w:val="22"/>
          <w:szCs w:val="22"/>
          <w:color w:val="00004D"/>
        </w:rPr>
        <w:t>partner for Vibativ.</w:t>
      </w:r>
      <w:r>
        <w:rPr>
          <w:rFonts w:ascii="Arial" w:cs="Arial" w:eastAsia="Arial" w:hAnsi="Arial"/>
          <w:sz w:val="12"/>
          <w:szCs w:val="12"/>
          <w:color w:val="00004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-384810</wp:posOffset>
            </wp:positionV>
            <wp:extent cx="7772400" cy="5287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72400" cy="5287010"/>
                    </a:xfrm>
                    <a:prstGeom prst="rect">
                      <a:avLst/>
                    </a:prstGeom>
                    <a:noFill/>
                  </pic:spPr>
                </pic:pic>
              </a:graphicData>
            </a:graphic>
          </wp:anchor>
        </w:drawing>
      </w:r>
    </w:p>
    <w:p>
      <w:pPr>
        <w:spacing w:after="0"/>
        <w:rPr>
          <w:sz w:val="20"/>
          <w:szCs w:val="20"/>
          <w:color w:val="auto"/>
        </w:rPr>
      </w:pPr>
      <w:r>
        <w:rPr>
          <w:rFonts w:ascii="Arial" w:cs="Arial" w:eastAsia="Arial" w:hAnsi="Arial"/>
          <w:sz w:val="32"/>
          <w:szCs w:val="32"/>
          <w:b w:val="1"/>
          <w:bCs w:val="1"/>
          <w:color w:val="4889B5"/>
        </w:rPr>
        <w:t>Mexico</w:t>
      </w:r>
    </w:p>
    <w:p>
      <w:pPr>
        <w:spacing w:after="0" w:line="134" w:lineRule="exact"/>
        <w:rPr>
          <w:sz w:val="20"/>
          <w:szCs w:val="20"/>
          <w:color w:val="auto"/>
        </w:rPr>
      </w:pPr>
    </w:p>
    <w:p>
      <w:pPr>
        <w:spacing w:after="0" w:line="329" w:lineRule="auto"/>
        <w:rPr>
          <w:sz w:val="20"/>
          <w:szCs w:val="20"/>
          <w:color w:val="auto"/>
        </w:rPr>
      </w:pPr>
      <w:r>
        <w:rPr>
          <w:rFonts w:ascii="Arial" w:cs="Arial" w:eastAsia="Arial" w:hAnsi="Arial"/>
          <w:sz w:val="22"/>
          <w:szCs w:val="22"/>
          <w:b w:val="1"/>
          <w:bCs w:val="1"/>
          <w:color w:val="00004D"/>
        </w:rPr>
        <w:t xml:space="preserve">PiSA Pharmaceutical </w:t>
      </w:r>
      <w:r>
        <w:rPr>
          <w:rFonts w:ascii="Arial" w:cs="Arial" w:eastAsia="Arial" w:hAnsi="Arial"/>
          <w:sz w:val="22"/>
          <w:szCs w:val="22"/>
          <w:color w:val="00004D"/>
        </w:rPr>
        <w:t>is our commercial partner</w:t>
      </w:r>
      <w:r>
        <w:rPr>
          <w:rFonts w:ascii="Arial" w:cs="Arial" w:eastAsia="Arial" w:hAnsi="Arial"/>
          <w:sz w:val="22"/>
          <w:szCs w:val="22"/>
          <w:b w:val="1"/>
          <w:bCs w:val="1"/>
          <w:color w:val="00004D"/>
        </w:rPr>
        <w:t xml:space="preserve"> </w:t>
      </w:r>
      <w:r>
        <w:rPr>
          <w:rFonts w:ascii="Arial" w:cs="Arial" w:eastAsia="Arial" w:hAnsi="Arial"/>
          <w:sz w:val="22"/>
          <w:szCs w:val="22"/>
          <w:color w:val="00004D"/>
        </w:rPr>
        <w:t>for Caldolor.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32"/>
          <w:szCs w:val="32"/>
          <w:b w:val="1"/>
          <w:bCs w:val="1"/>
          <w:color w:val="4889B5"/>
        </w:rPr>
        <w:t>Saudi Arabia and Jordan</w:t>
      </w:r>
    </w:p>
    <w:p>
      <w:pPr>
        <w:spacing w:after="0" w:line="134" w:lineRule="exact"/>
        <w:rPr>
          <w:sz w:val="20"/>
          <w:szCs w:val="20"/>
          <w:color w:val="auto"/>
        </w:rPr>
      </w:pPr>
    </w:p>
    <w:p>
      <w:pPr>
        <w:ind w:right="440"/>
        <w:spacing w:after="0" w:line="326" w:lineRule="auto"/>
        <w:rPr>
          <w:sz w:val="20"/>
          <w:szCs w:val="20"/>
          <w:color w:val="auto"/>
        </w:rPr>
      </w:pPr>
      <w:r>
        <w:rPr>
          <w:rFonts w:ascii="Arial" w:cs="Arial" w:eastAsia="Arial" w:hAnsi="Arial"/>
          <w:sz w:val="22"/>
          <w:szCs w:val="22"/>
          <w:b w:val="1"/>
          <w:bCs w:val="1"/>
          <w:color w:val="00004D"/>
        </w:rPr>
        <w:t xml:space="preserve">Tabuk Pharmaceutical Manufacturing Company </w:t>
      </w:r>
      <w:r>
        <w:rPr>
          <w:rFonts w:ascii="Arial" w:cs="Arial" w:eastAsia="Arial" w:hAnsi="Arial"/>
          <w:sz w:val="22"/>
          <w:szCs w:val="22"/>
          <w:color w:val="00004D"/>
        </w:rPr>
        <w:t>is our commercial partner for Vibativ.</w:t>
      </w:r>
    </w:p>
    <w:p>
      <w:pPr>
        <w:spacing w:after="0" w:line="1" w:lineRule="exact"/>
        <w:rPr>
          <w:sz w:val="20"/>
          <w:szCs w:val="20"/>
          <w:color w:val="auto"/>
        </w:rPr>
      </w:pPr>
    </w:p>
    <w:p>
      <w:pPr>
        <w:spacing w:after="0"/>
        <w:rPr>
          <w:sz w:val="20"/>
          <w:szCs w:val="20"/>
          <w:color w:val="auto"/>
        </w:rPr>
      </w:pPr>
      <w:r>
        <w:rPr>
          <w:rFonts w:ascii="Arial" w:cs="Arial" w:eastAsia="Arial" w:hAnsi="Arial"/>
          <w:sz w:val="32"/>
          <w:szCs w:val="32"/>
          <w:b w:val="1"/>
          <w:bCs w:val="1"/>
          <w:color w:val="4889B5"/>
        </w:rPr>
        <w:t>South Korea</w:t>
      </w:r>
    </w:p>
    <w:p>
      <w:pPr>
        <w:spacing w:after="0" w:line="134" w:lineRule="exact"/>
        <w:rPr>
          <w:sz w:val="20"/>
          <w:szCs w:val="20"/>
          <w:color w:val="auto"/>
        </w:rPr>
      </w:pPr>
    </w:p>
    <w:p>
      <w:pPr>
        <w:ind w:right="880"/>
        <w:spacing w:after="0" w:line="357" w:lineRule="auto"/>
        <w:rPr>
          <w:sz w:val="20"/>
          <w:szCs w:val="20"/>
          <w:color w:val="auto"/>
        </w:rPr>
      </w:pPr>
      <w:r>
        <w:rPr>
          <w:rFonts w:ascii="Arial" w:cs="Arial" w:eastAsia="Arial" w:hAnsi="Arial"/>
          <w:sz w:val="21"/>
          <w:szCs w:val="21"/>
          <w:b w:val="1"/>
          <w:bCs w:val="1"/>
          <w:color w:val="00004D"/>
        </w:rPr>
        <w:t xml:space="preserve">D.B. Pharm Korea Co. Ltd. </w:t>
      </w:r>
      <w:r>
        <w:rPr>
          <w:rFonts w:ascii="Arial" w:cs="Arial" w:eastAsia="Arial" w:hAnsi="Arial"/>
          <w:sz w:val="21"/>
          <w:szCs w:val="21"/>
          <w:color w:val="00004D"/>
        </w:rPr>
        <w:t>is our commercial</w:t>
      </w:r>
      <w:r>
        <w:rPr>
          <w:rFonts w:ascii="Arial" w:cs="Arial" w:eastAsia="Arial" w:hAnsi="Arial"/>
          <w:sz w:val="21"/>
          <w:szCs w:val="21"/>
          <w:b w:val="1"/>
          <w:bCs w:val="1"/>
          <w:color w:val="00004D"/>
        </w:rPr>
        <w:t xml:space="preserve"> </w:t>
      </w:r>
      <w:r>
        <w:rPr>
          <w:rFonts w:ascii="Arial" w:cs="Arial" w:eastAsia="Arial" w:hAnsi="Arial"/>
          <w:sz w:val="21"/>
          <w:szCs w:val="21"/>
          <w:color w:val="00004D"/>
        </w:rPr>
        <w:t>partner for Caldolor, Vibativ and Vaprisol.</w:t>
      </w:r>
      <w:r>
        <w:rPr>
          <w:rFonts w:ascii="Arial" w:cs="Arial" w:eastAsia="Arial" w:hAnsi="Arial"/>
          <w:sz w:val="12"/>
          <w:szCs w:val="12"/>
          <w:color w:val="00004D"/>
        </w:rPr>
        <w:t>®</w:t>
      </w:r>
    </w:p>
    <w:p>
      <w:pPr>
        <w:spacing w:after="0" w:line="1245" w:lineRule="exact"/>
        <w:rPr>
          <w:sz w:val="20"/>
          <w:szCs w:val="20"/>
          <w:color w:val="auto"/>
        </w:rPr>
      </w:pPr>
    </w:p>
    <w:p>
      <w:pPr>
        <w:sectPr>
          <w:pgSz w:w="12240" w:h="15840" w:orient="portrait"/>
          <w:cols w:equalWidth="0" w:num="2">
            <w:col w:w="4800" w:space="600"/>
            <w:col w:w="5320"/>
          </w:cols>
          <w:pgMar w:left="1140" w:top="485" w:right="3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980"/>
        <w:spacing w:after="0"/>
        <w:tabs>
          <w:tab w:leader="none" w:pos="10600" w:val="left"/>
        </w:tabs>
        <w:rPr>
          <w:sz w:val="20"/>
          <w:szCs w:val="20"/>
          <w:color w:val="auto"/>
        </w:rPr>
      </w:pPr>
      <w:r>
        <w:rPr>
          <w:rFonts w:ascii="Arial" w:cs="Arial" w:eastAsia="Arial" w:hAnsi="Arial"/>
          <w:sz w:val="16"/>
          <w:szCs w:val="16"/>
          <w:color w:val="FFFFFF"/>
        </w:rPr>
        <w:t>2025 Annual Report</w:t>
      </w:r>
      <w:r>
        <w:rPr>
          <w:sz w:val="20"/>
          <w:szCs w:val="20"/>
          <w:color w:val="auto"/>
        </w:rPr>
        <w:tab/>
      </w:r>
      <w:r>
        <w:rPr>
          <w:rFonts w:ascii="Arial" w:cs="Arial" w:eastAsia="Arial" w:hAnsi="Arial"/>
          <w:sz w:val="16"/>
          <w:szCs w:val="16"/>
          <w:b w:val="1"/>
          <w:bCs w:val="1"/>
          <w:color w:val="FFFFFF"/>
        </w:rPr>
        <w:t>5</w:t>
      </w:r>
    </w:p>
    <w:p>
      <w:pPr>
        <w:sectPr>
          <w:pgSz w:w="12240" w:h="15840" w:orient="portrait"/>
          <w:cols w:equalWidth="0" w:num="1">
            <w:col w:w="10720"/>
          </w:cols>
          <w:pgMar w:left="1140" w:top="485" w:right="38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500"/>
        <w:spacing w:after="0"/>
        <w:rPr>
          <w:sz w:val="20"/>
          <w:szCs w:val="20"/>
          <w:color w:val="auto"/>
        </w:rPr>
      </w:pPr>
      <w:r>
        <w:rPr>
          <w:rFonts w:ascii="Arial" w:cs="Arial" w:eastAsia="Arial" w:hAnsi="Arial"/>
          <w:sz w:val="30"/>
          <w:szCs w:val="30"/>
          <w:b w:val="1"/>
          <w:bCs w:val="1"/>
          <w:color w:val="001567"/>
        </w:rPr>
        <w:t>Intravenous Ibuprofen</w:t>
      </w:r>
    </w:p>
    <w:p>
      <w:pPr>
        <w:sectPr>
          <w:pgSz w:w="12240" w:h="15840" w:orient="portrait"/>
          <w:cols w:equalWidth="0" w:num="1">
            <w:col w:w="9360"/>
          </w:cols>
          <w:pgMar w:left="1440" w:top="1440" w:right="1440" w:bottom="1032" w:gutter="0" w:footer="0" w:header="0"/>
        </w:sectPr>
      </w:pPr>
    </w:p>
    <w:p>
      <w:pPr>
        <w:spacing w:after="0" w:line="68" w:lineRule="exact"/>
        <w:rPr>
          <w:sz w:val="20"/>
          <w:szCs w:val="20"/>
          <w:color w:val="auto"/>
        </w:rPr>
      </w:pPr>
    </w:p>
    <w:p>
      <w:pPr>
        <w:jc w:val="center"/>
        <w:ind w:right="-839"/>
        <w:spacing w:after="0"/>
        <w:rPr>
          <w:sz w:val="20"/>
          <w:szCs w:val="20"/>
          <w:color w:val="auto"/>
        </w:rPr>
      </w:pPr>
      <w:r>
        <w:rPr>
          <w:rFonts w:ascii="Arial" w:cs="Arial" w:eastAsia="Arial" w:hAnsi="Arial"/>
          <w:sz w:val="61"/>
          <w:szCs w:val="61"/>
          <w:color w:val="377FA7"/>
        </w:rPr>
        <w:t>Trusted Relief Across</w:t>
      </w:r>
    </w:p>
    <w:p>
      <w:pPr>
        <w:jc w:val="center"/>
        <w:ind w:right="-839"/>
        <w:spacing w:after="0"/>
        <w:rPr>
          <w:sz w:val="20"/>
          <w:szCs w:val="20"/>
          <w:color w:val="auto"/>
        </w:rPr>
      </w:pPr>
      <w:r>
        <w:rPr>
          <w:rFonts w:ascii="Arial" w:cs="Arial" w:eastAsia="Arial" w:hAnsi="Arial"/>
          <w:sz w:val="62"/>
          <w:szCs w:val="62"/>
          <w:color w:val="377FA7"/>
        </w:rPr>
        <w:t>Every Stage of Life</w:t>
      </w:r>
    </w:p>
    <w:p>
      <w:pPr>
        <w:sectPr>
          <w:pgSz w:w="12240" w:h="15840" w:orient="portrait"/>
          <w:cols w:equalWidth="0" w:num="1">
            <w:col w:w="9360"/>
          </w:cols>
          <w:pgMar w:left="1440" w:top="1440" w:right="1440" w:bottom="1032"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320"/>
        <w:spacing w:after="0"/>
        <w:rPr>
          <w:sz w:val="20"/>
          <w:szCs w:val="20"/>
          <w:color w:val="auto"/>
        </w:rPr>
      </w:pPr>
      <w:r>
        <w:rPr>
          <w:rFonts w:ascii="Arial" w:cs="Arial" w:eastAsia="Arial" w:hAnsi="Arial"/>
          <w:sz w:val="43"/>
          <w:szCs w:val="43"/>
          <w:b w:val="1"/>
          <w:bCs w:val="1"/>
          <w:color w:val="FFFFFF"/>
        </w:rPr>
        <w:t>Non-</w:t>
      </w:r>
    </w:p>
    <w:p>
      <w:pPr>
        <w:spacing w:after="0" w:line="34" w:lineRule="exact"/>
        <w:rPr>
          <w:sz w:val="20"/>
          <w:szCs w:val="20"/>
          <w:color w:val="auto"/>
        </w:rPr>
      </w:pPr>
    </w:p>
    <w:p>
      <w:pPr>
        <w:ind w:left="7200"/>
        <w:spacing w:after="0"/>
        <w:rPr>
          <w:sz w:val="20"/>
          <w:szCs w:val="20"/>
          <w:color w:val="auto"/>
        </w:rPr>
      </w:pPr>
      <w:r>
        <w:rPr>
          <w:rFonts w:ascii="Arial" w:cs="Arial" w:eastAsia="Arial" w:hAnsi="Arial"/>
          <w:sz w:val="43"/>
          <w:szCs w:val="43"/>
          <w:b w:val="1"/>
          <w:bCs w:val="1"/>
          <w:color w:val="FFFFFF"/>
        </w:rPr>
        <w:t>Opioid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61"/>
          <w:szCs w:val="61"/>
          <w:color w:val="001567"/>
        </w:rPr>
        <w:t>Caldolor for All</w:t>
      </w:r>
    </w:p>
    <w:p>
      <w:pPr>
        <w:spacing w:after="0" w:line="26" w:lineRule="exact"/>
        <w:rPr>
          <w:sz w:val="20"/>
          <w:szCs w:val="20"/>
          <w:color w:val="auto"/>
        </w:rPr>
      </w:pPr>
    </w:p>
    <w:p>
      <w:pPr>
        <w:ind w:left="340"/>
        <w:spacing w:after="0"/>
        <w:tabs>
          <w:tab w:leader="none" w:pos="3600" w:val="left"/>
          <w:tab w:leader="none" w:pos="6400" w:val="left"/>
        </w:tabs>
        <w:rPr>
          <w:sz w:val="20"/>
          <w:szCs w:val="20"/>
          <w:color w:val="auto"/>
        </w:rPr>
      </w:pPr>
      <w:r>
        <w:rPr>
          <w:rFonts w:ascii="Arial" w:cs="Arial" w:eastAsia="Arial" w:hAnsi="Arial"/>
          <w:sz w:val="57"/>
          <w:szCs w:val="57"/>
          <w:b w:val="1"/>
          <w:bCs w:val="1"/>
          <w:color w:val="377FA7"/>
        </w:rPr>
        <w:t>Newborns</w:t>
        <w:tab/>
        <w:t>Children</w:t>
      </w:r>
      <w:r>
        <w:rPr>
          <w:sz w:val="20"/>
          <w:szCs w:val="20"/>
          <w:color w:val="auto"/>
        </w:rPr>
        <w:tab/>
      </w:r>
      <w:r>
        <w:rPr>
          <w:rFonts w:ascii="Arial" w:cs="Arial" w:eastAsia="Arial" w:hAnsi="Arial"/>
          <w:sz w:val="55"/>
          <w:szCs w:val="55"/>
          <w:b w:val="1"/>
          <w:bCs w:val="1"/>
          <w:color w:val="377FA7"/>
        </w:rPr>
        <w:t>Adults</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30"/>
          <w:szCs w:val="30"/>
          <w:b w:val="1"/>
          <w:bCs w:val="1"/>
          <w:color w:val="00004D"/>
        </w:rPr>
        <w:t>Proven Pain Management Solution for Patients of All Ages</w:t>
      </w:r>
    </w:p>
    <w:p>
      <w:pPr>
        <w:spacing w:after="0" w:line="45" w:lineRule="exact"/>
        <w:rPr>
          <w:sz w:val="20"/>
          <w:szCs w:val="20"/>
          <w:color w:val="auto"/>
        </w:rPr>
      </w:pPr>
    </w:p>
    <w:p>
      <w:pPr>
        <w:jc w:val="both"/>
        <w:ind w:left="320" w:right="180"/>
        <w:spacing w:after="0" w:line="296" w:lineRule="auto"/>
        <w:rPr>
          <w:sz w:val="20"/>
          <w:szCs w:val="20"/>
          <w:color w:val="auto"/>
        </w:rPr>
      </w:pPr>
      <w:r>
        <w:rPr>
          <w:rFonts w:ascii="Arial" w:cs="Arial" w:eastAsia="Arial" w:hAnsi="Arial"/>
          <w:sz w:val="22"/>
          <w:szCs w:val="22"/>
          <w:color w:val="00004D"/>
        </w:rPr>
        <w:t>Caldolor may now be administered in adults, children and infant patients. As the first FDA-approved IV ibuprofen, Caldolor delivers reliable, non-opioid pain and fever management across the continuum of care. Backed by clinical experience and a strong safety profile, Caldolor provides healthcare professionals with a trusted option to help reduce pain, lower fever and support enhanced recovery in a wide range of patient populations.</w:t>
      </w:r>
    </w:p>
    <w:p>
      <w:pPr>
        <w:sectPr>
          <w:pgSz w:w="12240" w:h="15840" w:orient="portrait"/>
          <w:cols w:equalWidth="0" w:num="1">
            <w:col w:w="9360"/>
          </w:cols>
          <w:pgMar w:left="1440" w:top="1440" w:right="1440" w:bottom="568" w:gutter="0" w:footer="0" w:header="0"/>
        </w:sectPr>
      </w:pPr>
    </w:p>
    <w:bookmarkStart w:id="9" w:name="page10"/>
    <w:bookmarkEnd w:id="9"/>
    <w:p>
      <w:pPr>
        <w:ind w:left="1039" w:right="4080"/>
        <w:spacing w:after="0" w:line="262" w:lineRule="auto"/>
        <w:rPr>
          <w:sz w:val="20"/>
          <w:szCs w:val="20"/>
          <w:color w:val="auto"/>
        </w:rPr>
      </w:pPr>
      <w:r>
        <w:rPr>
          <w:rFonts w:ascii="Arial" w:cs="Arial" w:eastAsia="Arial" w:hAnsi="Arial"/>
          <w:sz w:val="54"/>
          <w:szCs w:val="5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A Pipeline to Address Unmet Medical Needs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39" w:right="200"/>
        <w:spacing w:after="0" w:line="307" w:lineRule="auto"/>
        <w:rPr>
          <w:sz w:val="20"/>
          <w:szCs w:val="20"/>
          <w:color w:val="auto"/>
        </w:rPr>
      </w:pPr>
      <w:r>
        <w:rPr>
          <w:rFonts w:ascii="Arial" w:cs="Arial" w:eastAsia="Arial" w:hAnsi="Arial"/>
          <w:sz w:val="22"/>
          <w:szCs w:val="22"/>
          <w:color w:val="00004D"/>
        </w:rPr>
        <w:t>In addition to our portfolio of FDA-approved brands, we continue to advance our pipeline of new product candidates. We are developing our first new chemical entity, ifetroban, which has now been dosed in nearly 1,400 subjects – resulting in an outstanding safety database.</w:t>
      </w:r>
    </w:p>
    <w:p>
      <w:pPr>
        <w:spacing w:after="0" w:line="200" w:lineRule="exact"/>
        <w:rPr>
          <w:sz w:val="20"/>
          <w:szCs w:val="20"/>
          <w:color w:val="auto"/>
        </w:rPr>
      </w:pPr>
    </w:p>
    <w:p>
      <w:pPr>
        <w:spacing w:after="0" w:line="392" w:lineRule="exact"/>
        <w:rPr>
          <w:sz w:val="20"/>
          <w:szCs w:val="20"/>
          <w:color w:val="auto"/>
        </w:rPr>
      </w:pPr>
    </w:p>
    <w:p>
      <w:pPr>
        <w:ind w:left="339"/>
        <w:spacing w:after="0"/>
        <w:rPr>
          <w:sz w:val="20"/>
          <w:szCs w:val="20"/>
          <w:color w:val="auto"/>
        </w:rPr>
      </w:pPr>
      <w:r>
        <w:rPr>
          <w:rFonts w:ascii="Arial" w:cs="Arial" w:eastAsia="Arial" w:hAnsi="Arial"/>
          <w:sz w:val="30"/>
          <w:szCs w:val="30"/>
          <w:b w:val="1"/>
          <w:bCs w:val="1"/>
          <w:color w:val="00004D"/>
        </w:rPr>
        <w:t>Our development programs include:</w:t>
      </w:r>
    </w:p>
    <w:p>
      <w:pPr>
        <w:spacing w:after="0" w:line="200" w:lineRule="exact"/>
        <w:rPr>
          <w:sz w:val="20"/>
          <w:szCs w:val="20"/>
          <w:color w:val="auto"/>
        </w:rPr>
      </w:pPr>
    </w:p>
    <w:p>
      <w:pPr>
        <w:spacing w:after="0" w:line="314" w:lineRule="exact"/>
        <w:rPr>
          <w:sz w:val="20"/>
          <w:szCs w:val="20"/>
          <w:color w:val="auto"/>
        </w:rPr>
      </w:pPr>
    </w:p>
    <w:p>
      <w:pPr>
        <w:ind w:left="579"/>
        <w:spacing w:after="0"/>
        <w:tabs>
          <w:tab w:leader="none" w:pos="2738" w:val="left"/>
          <w:tab w:leader="none" w:pos="4458" w:val="left"/>
          <w:tab w:leader="none" w:pos="6278" w:val="left"/>
          <w:tab w:leader="none" w:pos="8118" w:val="left"/>
          <w:tab w:leader="none" w:pos="10178" w:val="left"/>
        </w:tabs>
        <w:rPr>
          <w:sz w:val="20"/>
          <w:szCs w:val="20"/>
          <w:color w:val="auto"/>
        </w:rPr>
      </w:pPr>
      <w:r>
        <w:rPr>
          <w:rFonts w:ascii="Arial" w:cs="Arial" w:eastAsia="Arial" w:hAnsi="Arial"/>
          <w:sz w:val="19"/>
          <w:szCs w:val="19"/>
          <w:b w:val="1"/>
          <w:bCs w:val="1"/>
          <w:color w:val="00004D"/>
        </w:rPr>
        <w:t>Preclinical</w:t>
      </w:r>
      <w:r>
        <w:rPr>
          <w:sz w:val="20"/>
          <w:szCs w:val="20"/>
          <w:color w:val="auto"/>
        </w:rPr>
        <w:tab/>
      </w:r>
      <w:r>
        <w:rPr>
          <w:rFonts w:ascii="Arial" w:cs="Arial" w:eastAsia="Arial" w:hAnsi="Arial"/>
          <w:sz w:val="19"/>
          <w:szCs w:val="19"/>
          <w:b w:val="1"/>
          <w:bCs w:val="1"/>
          <w:color w:val="00004D"/>
        </w:rPr>
        <w:t>IND</w:t>
      </w:r>
      <w:r>
        <w:rPr>
          <w:sz w:val="20"/>
          <w:szCs w:val="20"/>
          <w:color w:val="auto"/>
        </w:rPr>
        <w:tab/>
      </w:r>
      <w:r>
        <w:rPr>
          <w:rFonts w:ascii="Arial" w:cs="Arial" w:eastAsia="Arial" w:hAnsi="Arial"/>
          <w:sz w:val="19"/>
          <w:szCs w:val="19"/>
          <w:b w:val="1"/>
          <w:bCs w:val="1"/>
          <w:color w:val="00004D"/>
        </w:rPr>
        <w:t>Phase I</w:t>
      </w:r>
      <w:r>
        <w:rPr>
          <w:sz w:val="20"/>
          <w:szCs w:val="20"/>
          <w:color w:val="auto"/>
        </w:rPr>
        <w:tab/>
      </w:r>
      <w:r>
        <w:rPr>
          <w:rFonts w:ascii="Arial" w:cs="Arial" w:eastAsia="Arial" w:hAnsi="Arial"/>
          <w:sz w:val="19"/>
          <w:szCs w:val="19"/>
          <w:b w:val="1"/>
          <w:bCs w:val="1"/>
          <w:color w:val="00004D"/>
        </w:rPr>
        <w:t>Phase II</w:t>
      </w:r>
      <w:r>
        <w:rPr>
          <w:sz w:val="20"/>
          <w:szCs w:val="20"/>
          <w:color w:val="auto"/>
        </w:rPr>
        <w:tab/>
      </w:r>
      <w:r>
        <w:rPr>
          <w:rFonts w:ascii="Arial" w:cs="Arial" w:eastAsia="Arial" w:hAnsi="Arial"/>
          <w:sz w:val="19"/>
          <w:szCs w:val="19"/>
          <w:b w:val="1"/>
          <w:bCs w:val="1"/>
          <w:color w:val="00004D"/>
        </w:rPr>
        <w:t>Phase III</w:t>
      </w:r>
      <w:r>
        <w:rPr>
          <w:sz w:val="20"/>
          <w:szCs w:val="20"/>
          <w:color w:val="auto"/>
        </w:rPr>
        <w:tab/>
      </w:r>
      <w:r>
        <w:rPr>
          <w:rFonts w:ascii="Arial" w:cs="Arial" w:eastAsia="Arial" w:hAnsi="Arial"/>
          <w:sz w:val="19"/>
          <w:szCs w:val="19"/>
          <w:b w:val="1"/>
          <w:bCs w:val="1"/>
          <w:color w:val="00004D"/>
        </w:rPr>
        <w:t>NDA</w:t>
      </w:r>
    </w:p>
    <w:p>
      <w:pPr>
        <w:spacing w:after="0" w:line="200" w:lineRule="exact"/>
        <w:rPr>
          <w:sz w:val="20"/>
          <w:szCs w:val="20"/>
          <w:color w:val="auto"/>
        </w:rPr>
      </w:pPr>
    </w:p>
    <w:p>
      <w:pPr>
        <w:spacing w:after="0" w:line="239" w:lineRule="exact"/>
        <w:rPr>
          <w:sz w:val="20"/>
          <w:szCs w:val="20"/>
          <w:color w:val="auto"/>
        </w:rPr>
      </w:pPr>
    </w:p>
    <w:p>
      <w:pPr>
        <w:ind w:left="679"/>
        <w:spacing w:after="0"/>
        <w:rPr>
          <w:sz w:val="20"/>
          <w:szCs w:val="20"/>
          <w:color w:val="auto"/>
        </w:rPr>
      </w:pPr>
      <w:r>
        <w:rPr>
          <w:rFonts w:ascii="Arial" w:cs="Arial" w:eastAsia="Arial" w:hAnsi="Arial"/>
          <w:sz w:val="30"/>
          <w:szCs w:val="30"/>
          <w:b w:val="1"/>
          <w:bCs w:val="1"/>
          <w:color w:val="4889B5"/>
        </w:rPr>
        <w:t>Dyscorban</w:t>
      </w:r>
      <w:r>
        <w:rPr>
          <w:rFonts w:ascii="Arial" w:cs="Arial" w:eastAsia="Arial" w:hAnsi="Arial"/>
          <w:sz w:val="17"/>
          <w:szCs w:val="17"/>
          <w:b w:val="1"/>
          <w:bCs w:val="1"/>
          <w:color w:val="4889B5"/>
        </w:rPr>
        <w:t>®</w:t>
      </w:r>
    </w:p>
    <w:p>
      <w:pPr>
        <w:ind w:left="679"/>
        <w:spacing w:after="0" w:line="220" w:lineRule="exact"/>
        <w:tabs>
          <w:tab w:leader="none" w:pos="1378" w:val="left"/>
          <w:tab w:leader="none" w:pos="1998" w:val="left"/>
          <w:tab w:leader="none" w:pos="4598" w:val="left"/>
        </w:tabs>
        <w:rPr>
          <w:sz w:val="20"/>
          <w:szCs w:val="20"/>
          <w:color w:val="auto"/>
        </w:rPr>
      </w:pPr>
      <w:r>
        <w:rPr>
          <w:rFonts w:ascii="Arial" w:cs="Arial" w:eastAsia="Arial" w:hAnsi="Arial"/>
          <w:sz w:val="20"/>
          <w:szCs w:val="20"/>
          <w:i w:val="1"/>
          <w:iCs w:val="1"/>
          <w:color w:val="00004A"/>
        </w:rPr>
        <w:t>An or</w:t>
        <w:tab/>
        <w:t>c ps</w:t>
        <w:tab/>
        <w:t>e to tre t c rdiomyop thy</w:t>
        <w:tab/>
        <w:t>ssoci ted</w:t>
      </w:r>
    </w:p>
    <w:p>
      <w:pPr>
        <w:ind w:left="679"/>
        <w:spacing w:after="0" w:line="221" w:lineRule="exact"/>
        <w:tabs>
          <w:tab w:leader="none" w:pos="2898" w:val="left"/>
          <w:tab w:leader="none" w:pos="4178" w:val="left"/>
          <w:tab w:leader="none" w:pos="4638" w:val="left"/>
        </w:tabs>
        <w:rPr>
          <w:sz w:val="20"/>
          <w:szCs w:val="20"/>
          <w:color w:val="auto"/>
        </w:rPr>
      </w:pPr>
      <w:r>
        <w:rPr>
          <w:rFonts w:ascii="Arial" w:cs="Arial" w:eastAsia="Arial" w:hAnsi="Arial"/>
          <w:sz w:val="20"/>
          <w:szCs w:val="20"/>
          <w:i w:val="1"/>
          <w:iCs w:val="1"/>
          <w:color w:val="00004A"/>
        </w:rPr>
        <w:t>with D chenne m sc</w:t>
        <w:tab/>
        <w:t>r dystrophy,</w:t>
        <w:tab/>
        <w:t>f t</w:t>
        <w:tab/>
        <w:t>, genetic</w:t>
      </w:r>
    </w:p>
    <w:p>
      <w:pPr>
        <w:ind w:left="679"/>
        <w:spacing w:after="0" w:line="230" w:lineRule="exact"/>
        <w:tabs>
          <w:tab w:leader="none" w:pos="1978" w:val="left"/>
        </w:tabs>
        <w:rPr>
          <w:sz w:val="20"/>
          <w:szCs w:val="20"/>
          <w:color w:val="auto"/>
        </w:rPr>
      </w:pPr>
      <w:r>
        <w:rPr>
          <w:rFonts w:ascii="Arial" w:cs="Arial" w:eastAsia="Arial" w:hAnsi="Arial"/>
          <w:sz w:val="20"/>
          <w:szCs w:val="20"/>
          <w:i w:val="1"/>
          <w:iCs w:val="1"/>
          <w:color w:val="00004A"/>
        </w:rPr>
        <w:t>ne rom sc</w:t>
        <w:tab/>
        <w:t>r dise se</w:t>
      </w:r>
    </w:p>
    <w:p>
      <w:pPr>
        <w:spacing w:after="0" w:line="170" w:lineRule="exact"/>
        <w:rPr>
          <w:sz w:val="20"/>
          <w:szCs w:val="20"/>
          <w:color w:val="auto"/>
        </w:rPr>
      </w:pPr>
    </w:p>
    <w:p>
      <w:pPr>
        <w:ind w:left="679" w:right="4360"/>
        <w:spacing w:after="0" w:line="241" w:lineRule="auto"/>
        <w:rPr>
          <w:sz w:val="20"/>
          <w:szCs w:val="20"/>
          <w:color w:val="auto"/>
        </w:rPr>
      </w:pPr>
      <w:r>
        <w:rPr>
          <w:rFonts w:ascii="Arial" w:cs="Arial" w:eastAsia="Arial" w:hAnsi="Arial"/>
          <w:sz w:val="20"/>
          <w:szCs w:val="20"/>
          <w:color w:val="00004A"/>
        </w:rPr>
        <w:t>Following our announcement of favorable top-line results from our Phase II study, we completed the data analysis and submitted the study report to the FDA. We subsequently held two FDA meetings to present the study findings and discuss the product’s path to approval.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79"/>
        <w:spacing w:after="0"/>
        <w:rPr>
          <w:sz w:val="20"/>
          <w:szCs w:val="20"/>
          <w:color w:val="auto"/>
        </w:rPr>
      </w:pPr>
      <w:r>
        <w:rPr>
          <w:rFonts w:ascii="Arial" w:cs="Arial" w:eastAsia="Arial" w:hAnsi="Arial"/>
          <w:sz w:val="30"/>
          <w:szCs w:val="30"/>
          <w:b w:val="1"/>
          <w:bCs w:val="1"/>
          <w:color w:val="4889B5"/>
        </w:rPr>
        <w:t>Vasculan</w:t>
      </w:r>
      <w:r>
        <w:rPr>
          <w:rFonts w:ascii="Arial" w:cs="Arial" w:eastAsia="Arial" w:hAnsi="Arial"/>
          <w:sz w:val="17"/>
          <w:szCs w:val="17"/>
          <w:b w:val="1"/>
          <w:bCs w:val="1"/>
          <w:color w:val="4889B5"/>
        </w:rPr>
        <w:t>®</w:t>
      </w:r>
    </w:p>
    <w:p>
      <w:pPr>
        <w:ind w:left="679" w:right="4240"/>
        <w:spacing w:after="0" w:line="238" w:lineRule="exact"/>
        <w:rPr>
          <w:sz w:val="20"/>
          <w:szCs w:val="20"/>
          <w:color w:val="auto"/>
        </w:rPr>
      </w:pPr>
      <w:r>
        <w:rPr>
          <w:rFonts w:ascii="Arial" w:cs="Arial" w:eastAsia="Arial" w:hAnsi="Arial"/>
          <w:sz w:val="20"/>
          <w:szCs w:val="20"/>
          <w:i w:val="1"/>
          <w:iCs w:val="1"/>
          <w:color w:val="00004A"/>
        </w:rPr>
        <w:t>An or c ps e to tre t systemic sc erosis (SSc), so known s sc eroderm , r re, debi it ting toimm ne disorder th t res ts in thickening of the skin nd intern org ns</w:t>
      </w:r>
    </w:p>
    <w:p>
      <w:pPr>
        <w:spacing w:after="0" w:line="167" w:lineRule="exact"/>
        <w:rPr>
          <w:sz w:val="20"/>
          <w:szCs w:val="20"/>
          <w:color w:val="auto"/>
        </w:rPr>
      </w:pPr>
    </w:p>
    <w:p>
      <w:pPr>
        <w:jc w:val="both"/>
        <w:ind w:left="679" w:right="4120"/>
        <w:spacing w:after="0" w:line="252" w:lineRule="auto"/>
        <w:rPr>
          <w:sz w:val="20"/>
          <w:szCs w:val="20"/>
          <w:color w:val="auto"/>
        </w:rPr>
      </w:pPr>
      <w:r>
        <w:rPr>
          <w:rFonts w:ascii="Arial" w:cs="Arial" w:eastAsia="Arial" w:hAnsi="Arial"/>
          <w:sz w:val="20"/>
          <w:szCs w:val="20"/>
          <w:color w:val="00004A"/>
        </w:rPr>
        <w:t>We completed patient enrollment in the study during 2025. We then monitored the clinical sites and began analysis of the study data in preparation for the announcement of top-line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79"/>
        <w:spacing w:after="0"/>
        <w:rPr>
          <w:sz w:val="20"/>
          <w:szCs w:val="20"/>
          <w:color w:val="auto"/>
        </w:rPr>
      </w:pPr>
      <w:r>
        <w:rPr>
          <w:rFonts w:ascii="Arial" w:cs="Arial" w:eastAsia="Arial" w:hAnsi="Arial"/>
          <w:sz w:val="30"/>
          <w:szCs w:val="30"/>
          <w:b w:val="1"/>
          <w:bCs w:val="1"/>
          <w:color w:val="4889B5"/>
        </w:rPr>
        <w:t>Fibroban</w:t>
      </w:r>
      <w:r>
        <w:rPr>
          <w:rFonts w:ascii="Arial" w:cs="Arial" w:eastAsia="Arial" w:hAnsi="Arial"/>
          <w:sz w:val="17"/>
          <w:szCs w:val="17"/>
          <w:b w:val="1"/>
          <w:bCs w:val="1"/>
          <w:color w:val="4889B5"/>
        </w:rPr>
        <w:t>®</w:t>
      </w:r>
    </w:p>
    <w:p>
      <w:pPr>
        <w:ind w:left="679"/>
        <w:spacing w:after="0" w:line="220" w:lineRule="exact"/>
        <w:tabs>
          <w:tab w:leader="none" w:pos="1138" w:val="left"/>
          <w:tab w:leader="none" w:pos="2558" w:val="left"/>
          <w:tab w:leader="none" w:pos="3138" w:val="left"/>
          <w:tab w:leader="none" w:pos="3758" w:val="left"/>
        </w:tabs>
        <w:rPr>
          <w:sz w:val="20"/>
          <w:szCs w:val="20"/>
          <w:color w:val="auto"/>
        </w:rPr>
      </w:pPr>
      <w:r>
        <w:rPr>
          <w:rFonts w:ascii="Arial" w:cs="Arial" w:eastAsia="Arial" w:hAnsi="Arial"/>
          <w:sz w:val="20"/>
          <w:szCs w:val="20"/>
          <w:i w:val="1"/>
          <w:iCs w:val="1"/>
          <w:color w:val="00004A"/>
        </w:rPr>
        <w:t>We</w:t>
        <w:tab/>
        <w:t>re deve oping</w:t>
        <w:tab/>
        <w:t>n or</w:t>
        <w:tab/>
        <w:t>c ps</w:t>
        <w:tab/>
        <w:t>e to tre t idiop thic</w:t>
      </w:r>
    </w:p>
    <w:p>
      <w:pPr>
        <w:ind w:left="679"/>
        <w:spacing w:after="0" w:line="221" w:lineRule="exact"/>
        <w:tabs>
          <w:tab w:leader="none" w:pos="958" w:val="left"/>
        </w:tabs>
        <w:rPr>
          <w:sz w:val="20"/>
          <w:szCs w:val="20"/>
          <w:color w:val="auto"/>
        </w:rPr>
      </w:pPr>
      <w:r>
        <w:rPr>
          <w:rFonts w:ascii="Arial" w:cs="Arial" w:eastAsia="Arial" w:hAnsi="Arial"/>
          <w:sz w:val="20"/>
          <w:szCs w:val="20"/>
          <w:i w:val="1"/>
          <w:iCs w:val="1"/>
          <w:color w:val="00004A"/>
        </w:rPr>
        <w:t>p</w:t>
        <w:tab/>
        <w:t>mon ry fibrosis (IPF), the most common form of</w:t>
      </w:r>
    </w:p>
    <w:p>
      <w:pPr>
        <w:ind w:left="679"/>
        <w:spacing w:after="0" w:line="230" w:lineRule="exact"/>
        <w:tabs>
          <w:tab w:leader="none" w:pos="3778" w:val="left"/>
        </w:tabs>
        <w:rPr>
          <w:sz w:val="20"/>
          <w:szCs w:val="20"/>
          <w:color w:val="auto"/>
        </w:rPr>
      </w:pPr>
      <w:r>
        <w:rPr>
          <w:rFonts w:ascii="Arial" w:cs="Arial" w:eastAsia="Arial" w:hAnsi="Arial"/>
          <w:sz w:val="20"/>
          <w:szCs w:val="20"/>
          <w:i w:val="1"/>
          <w:iCs w:val="1"/>
          <w:color w:val="00004A"/>
        </w:rPr>
        <w:t>progressive fibrosing interstiti</w:t>
      </w:r>
      <w:r>
        <w:rPr>
          <w:sz w:val="20"/>
          <w:szCs w:val="20"/>
          <w:color w:val="auto"/>
        </w:rPr>
        <w:tab/>
      </w:r>
      <w:r>
        <w:rPr>
          <w:rFonts w:ascii="Arial" w:cs="Arial" w:eastAsia="Arial" w:hAnsi="Arial"/>
          <w:sz w:val="20"/>
          <w:szCs w:val="20"/>
          <w:i w:val="1"/>
          <w:iCs w:val="1"/>
          <w:color w:val="00004A"/>
        </w:rPr>
        <w:t>ng dise se</w:t>
      </w:r>
    </w:p>
    <w:p>
      <w:pPr>
        <w:spacing w:after="0" w:line="200" w:lineRule="exact"/>
        <w:rPr>
          <w:sz w:val="20"/>
          <w:szCs w:val="20"/>
          <w:color w:val="auto"/>
        </w:rPr>
      </w:pPr>
    </w:p>
    <w:p>
      <w:pPr>
        <w:ind w:left="679"/>
        <w:spacing w:after="0"/>
        <w:rPr>
          <w:sz w:val="20"/>
          <w:szCs w:val="20"/>
          <w:color w:val="auto"/>
        </w:rPr>
      </w:pPr>
      <w:r>
        <w:rPr>
          <w:rFonts w:ascii="Arial" w:cs="Arial" w:eastAsia="Arial" w:hAnsi="Arial"/>
          <w:sz w:val="20"/>
          <w:szCs w:val="20"/>
          <w:color w:val="00004A"/>
        </w:rPr>
        <w:t>Patient enrollment is well underway in medical</w:t>
      </w:r>
    </w:p>
    <w:p>
      <w:pPr>
        <w:ind w:left="679"/>
        <w:spacing w:after="0" w:line="229" w:lineRule="auto"/>
        <w:rPr>
          <w:sz w:val="20"/>
          <w:szCs w:val="20"/>
          <w:color w:val="auto"/>
        </w:rPr>
      </w:pPr>
      <w:r>
        <w:rPr>
          <w:rFonts w:ascii="Arial" w:cs="Arial" w:eastAsia="Arial" w:hAnsi="Arial"/>
          <w:sz w:val="20"/>
          <w:szCs w:val="20"/>
          <w:color w:val="00004A"/>
        </w:rPr>
        <w:t>centers across the U.S. An interim safety analysis</w:t>
      </w:r>
    </w:p>
    <w:p>
      <w:pPr>
        <w:ind w:left="679"/>
        <w:spacing w:after="0" w:line="230" w:lineRule="auto"/>
        <w:rPr>
          <w:sz w:val="20"/>
          <w:szCs w:val="20"/>
          <w:color w:val="auto"/>
        </w:rPr>
      </w:pPr>
      <w:r>
        <w:rPr>
          <w:rFonts w:ascii="Arial" w:cs="Arial" w:eastAsia="Arial" w:hAnsi="Arial"/>
          <w:sz w:val="20"/>
          <w:szCs w:val="20"/>
          <w:color w:val="00004A"/>
        </w:rPr>
        <w:t>was completed with favorable results, and an interim</w:t>
      </w:r>
    </w:p>
    <w:p>
      <w:pPr>
        <w:ind w:left="679"/>
        <w:spacing w:after="0"/>
        <w:rPr>
          <w:sz w:val="20"/>
          <w:szCs w:val="20"/>
          <w:color w:val="auto"/>
        </w:rPr>
      </w:pPr>
      <w:r>
        <w:rPr>
          <w:rFonts w:ascii="Arial" w:cs="Arial" w:eastAsia="Arial" w:hAnsi="Arial"/>
          <w:sz w:val="20"/>
          <w:szCs w:val="20"/>
          <w:color w:val="00004A"/>
        </w:rPr>
        <w:t>efficacy analysis is planned.</w:t>
      </w:r>
    </w:p>
    <w:p>
      <w:pPr>
        <w:sectPr>
          <w:pgSz w:w="12240" w:h="15840" w:orient="portrait"/>
          <w:cols w:equalWidth="0" w:num="1">
            <w:col w:w="10619"/>
          </w:cols>
          <w:pgMar w:left="381" w:top="485"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99" w:hanging="299"/>
        <w:spacing w:after="0"/>
        <w:tabs>
          <w:tab w:leader="none" w:pos="299" w:val="left"/>
        </w:tabs>
        <w:numPr>
          <w:ilvl w:val="0"/>
          <w:numId w:val="3"/>
        </w:numPr>
        <w:rPr>
          <w:rFonts w:ascii="Arial" w:cs="Arial" w:eastAsia="Arial" w:hAnsi="Arial"/>
          <w:sz w:val="16"/>
          <w:szCs w:val="16"/>
          <w:b w:val="1"/>
          <w:bCs w:val="1"/>
          <w:color w:val="FFFFFF"/>
        </w:rPr>
      </w:pPr>
      <w:r>
        <w:rPr>
          <w:rFonts w:ascii="Arial" w:cs="Arial" w:eastAsia="Arial" w:hAnsi="Arial"/>
          <w:sz w:val="14"/>
          <w:szCs w:val="14"/>
          <w:color w:val="FFFFFF"/>
        </w:rPr>
        <w:t>Cumberland Pharmaceuticals</w:t>
      </w:r>
    </w:p>
    <w:p>
      <w:pPr>
        <w:sectPr>
          <w:pgSz w:w="12240" w:h="15840" w:orient="portrait"/>
          <w:cols w:equalWidth="0" w:num="1">
            <w:col w:w="10619"/>
          </w:cols>
          <w:pgMar w:left="381" w:top="485" w:right="124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53"/>
          <w:szCs w:val="53"/>
          <w:b w:val="1"/>
          <w:bCs w:val="1"/>
          <w:color w:val="4889B5"/>
        </w:rPr>
        <w:t>Cumberland Emerging Technologies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0014B"/>
        </w:rPr>
        <w:t>Advancing Biomedical Innovation Through Collaboration</w:t>
      </w:r>
    </w:p>
    <w:p>
      <w:pPr>
        <w:spacing w:after="0" w:line="227" w:lineRule="exact"/>
        <w:rPr>
          <w:sz w:val="20"/>
          <w:szCs w:val="20"/>
          <w:color w:val="auto"/>
        </w:rPr>
      </w:pPr>
    </w:p>
    <w:p>
      <w:pPr>
        <w:ind w:right="1120"/>
        <w:spacing w:after="0" w:line="307" w:lineRule="auto"/>
        <w:rPr>
          <w:sz w:val="20"/>
          <w:szCs w:val="20"/>
          <w:color w:val="auto"/>
        </w:rPr>
      </w:pPr>
      <w:r>
        <w:rPr>
          <w:rFonts w:ascii="Arial" w:cs="Arial" w:eastAsia="Arial" w:hAnsi="Arial"/>
          <w:sz w:val="22"/>
          <w:szCs w:val="22"/>
          <w:color w:val="00014B"/>
        </w:rPr>
        <w:t>The U.S. remains a global leader in biomedical innovation, driving the discovery and development of new medicines. To support our long-term product pipeline and strengthen the regional life sciences ecosystem, we established Cumberland Emerging Technologies (CET).</w:t>
      </w:r>
    </w:p>
    <w:p>
      <w:pPr>
        <w:spacing w:after="0" w:line="229" w:lineRule="exact"/>
        <w:rPr>
          <w:sz w:val="20"/>
          <w:szCs w:val="20"/>
          <w:color w:val="auto"/>
        </w:rPr>
      </w:pPr>
    </w:p>
    <w:p>
      <w:pPr>
        <w:ind w:right="1140"/>
        <w:spacing w:after="0" w:line="307" w:lineRule="auto"/>
        <w:rPr>
          <w:sz w:val="20"/>
          <w:szCs w:val="20"/>
          <w:color w:val="auto"/>
        </w:rPr>
      </w:pPr>
      <w:r>
        <w:rPr>
          <w:rFonts w:ascii="Arial" w:cs="Arial" w:eastAsia="Arial" w:hAnsi="Arial"/>
          <w:sz w:val="22"/>
          <w:szCs w:val="22"/>
          <w:color w:val="00014B"/>
        </w:rPr>
        <w:t>A majority-owned subsidiary of Cumberland Pharmaceuticals, CET is focused on advancing promising biomedical innovations toward commercialization by supporting inventor-scientists and emerging life science companies.</w:t>
      </w:r>
    </w:p>
    <w:p>
      <w:pPr>
        <w:spacing w:after="0" w:line="229" w:lineRule="exact"/>
        <w:rPr>
          <w:sz w:val="20"/>
          <w:szCs w:val="20"/>
          <w:color w:val="auto"/>
        </w:rPr>
      </w:pPr>
    </w:p>
    <w:p>
      <w:pPr>
        <w:ind w:right="1220"/>
        <w:spacing w:after="0" w:line="292" w:lineRule="auto"/>
        <w:rPr>
          <w:sz w:val="20"/>
          <w:szCs w:val="20"/>
          <w:color w:val="auto"/>
        </w:rPr>
      </w:pPr>
      <w:r>
        <w:rPr>
          <w:rFonts w:ascii="Arial" w:cs="Arial" w:eastAsia="Arial" w:hAnsi="Arial"/>
          <w:sz w:val="22"/>
          <w:szCs w:val="22"/>
          <w:color w:val="00014B"/>
        </w:rPr>
        <w:t>CET represents a collaborative initiative between Cumberland Pharmaceuticals, Vanderbilt University, WinHealth Pharmaceuticals, our international partners and Launch Tennessee, a state-backed network supporting entrepreneurship. Through these relationships, we work closely with academic research groups, providing expertise in intellectual property, regulatory pathways, manufacturing and marketing to accelerate the development of promising biomedical products. We also partner with major academic research institutions to identify and develop early-stage biopharmaceutical innovations that can enhance patient care.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54"/>
          <w:szCs w:val="54"/>
          <w:b w:val="1"/>
          <w:bCs w:val="1"/>
          <w:color w:val="4889B5"/>
        </w:rPr>
        <w:t>Nashville Life Sciences Center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00014B"/>
        </w:rPr>
        <w:t>Supporting Growth Within the Regional Life Sciences Ecosystem</w:t>
      </w:r>
    </w:p>
    <w:p>
      <w:pPr>
        <w:spacing w:after="0" w:line="227" w:lineRule="exact"/>
        <w:rPr>
          <w:sz w:val="20"/>
          <w:szCs w:val="20"/>
          <w:color w:val="auto"/>
        </w:rPr>
      </w:pPr>
    </w:p>
    <w:p>
      <w:pPr>
        <w:ind w:right="1720"/>
        <w:spacing w:after="0" w:line="307" w:lineRule="auto"/>
        <w:rPr>
          <w:sz w:val="20"/>
          <w:szCs w:val="20"/>
          <w:color w:val="auto"/>
        </w:rPr>
      </w:pPr>
      <w:r>
        <w:rPr>
          <w:rFonts w:ascii="Arial" w:cs="Arial" w:eastAsia="Arial" w:hAnsi="Arial"/>
          <w:sz w:val="22"/>
          <w:szCs w:val="22"/>
          <w:color w:val="00014B"/>
        </w:rPr>
        <w:t>CET established and manages the Nashville Life Sciences Center (LSC), which houses Cumberland’s formulation and testing laboratories, while also serving as an incubator for Middle Tennessee’s emerging biopharmaceutical industry.</w:t>
      </w:r>
    </w:p>
    <w:p>
      <w:pPr>
        <w:spacing w:after="0" w:line="229" w:lineRule="exact"/>
        <w:rPr>
          <w:sz w:val="20"/>
          <w:szCs w:val="20"/>
          <w:color w:val="auto"/>
        </w:rPr>
      </w:pPr>
    </w:p>
    <w:p>
      <w:pPr>
        <w:ind w:right="1340"/>
        <w:spacing w:after="0" w:line="299" w:lineRule="auto"/>
        <w:rPr>
          <w:sz w:val="20"/>
          <w:szCs w:val="20"/>
          <w:color w:val="auto"/>
        </w:rPr>
      </w:pPr>
      <w:r>
        <w:rPr>
          <w:rFonts w:ascii="Arial" w:cs="Arial" w:eastAsia="Arial" w:hAnsi="Arial"/>
          <w:sz w:val="22"/>
          <w:szCs w:val="22"/>
          <w:color w:val="00014B"/>
        </w:rPr>
        <w:t>The facility offers flexible wet lab, dry lab and office space, with opportunities for custom build-outs, as well as shared laboratory space and essential equipment. This model helps tenants reduce overhead, maximize resources and focus capital on advancing their scientific and commercial objectives.</w:t>
      </w:r>
    </w:p>
    <w:p>
      <w:pPr>
        <w:spacing w:after="0" w:line="240" w:lineRule="exact"/>
        <w:rPr>
          <w:sz w:val="20"/>
          <w:szCs w:val="20"/>
          <w:color w:val="auto"/>
        </w:rPr>
      </w:pPr>
    </w:p>
    <w:p>
      <w:pPr>
        <w:ind w:right="1200"/>
        <w:spacing w:after="0" w:line="299" w:lineRule="auto"/>
        <w:rPr>
          <w:sz w:val="20"/>
          <w:szCs w:val="20"/>
          <w:color w:val="auto"/>
        </w:rPr>
      </w:pPr>
      <w:r>
        <w:rPr>
          <w:rFonts w:ascii="Arial" w:cs="Arial" w:eastAsia="Arial" w:hAnsi="Arial"/>
          <w:sz w:val="22"/>
          <w:szCs w:val="22"/>
          <w:color w:val="00014B"/>
        </w:rPr>
        <w:t>With a dynamic group of current tenants and a growing base of successful graduates, the Life Sciences Center continues to play a meaningful role in building a sustainable and competitive life sciences ecosystem in Middle Tennessee by supporting innovation, collaboration and economic growth.</w:t>
      </w:r>
    </w:p>
    <w:p>
      <w:pPr>
        <w:sectPr>
          <w:pgSz w:w="12240" w:h="15840" w:orient="portrait"/>
          <w:cols w:equalWidth="0" w:num="1">
            <w:col w:w="10540"/>
          </w:cols>
          <w:pgMar w:left="1320" w:top="1440"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800"/>
        <w:spacing w:after="0"/>
        <w:tabs>
          <w:tab w:leader="none" w:pos="10420" w:val="left"/>
        </w:tabs>
        <w:rPr>
          <w:sz w:val="20"/>
          <w:szCs w:val="20"/>
          <w:color w:val="auto"/>
        </w:rPr>
      </w:pPr>
      <w:r>
        <w:rPr>
          <w:rFonts w:ascii="Arial" w:cs="Arial" w:eastAsia="Arial" w:hAnsi="Arial"/>
          <w:sz w:val="16"/>
          <w:szCs w:val="16"/>
          <w:color w:val="FFFFFF"/>
        </w:rPr>
        <w:t>2025 Annual Report</w:t>
      </w:r>
      <w:r>
        <w:rPr>
          <w:sz w:val="20"/>
          <w:szCs w:val="20"/>
          <w:color w:val="auto"/>
        </w:rPr>
        <w:tab/>
      </w:r>
      <w:r>
        <w:rPr>
          <w:rFonts w:ascii="Arial" w:cs="Arial" w:eastAsia="Arial" w:hAnsi="Arial"/>
          <w:sz w:val="16"/>
          <w:szCs w:val="16"/>
          <w:b w:val="1"/>
          <w:bCs w:val="1"/>
          <w:color w:val="FFFFFF"/>
        </w:rPr>
        <w:t>9</w:t>
      </w:r>
    </w:p>
    <w:p>
      <w:pPr>
        <w:sectPr>
          <w:pgSz w:w="12240" w:h="15840" w:orient="portrait"/>
          <w:cols w:equalWidth="0" w:num="1">
            <w:col w:w="10540"/>
          </w:cols>
          <w:pgMar w:left="1320" w:top="1440" w:right="380" w:bottom="0" w:gutter="0" w:footer="0" w:header="0"/>
          <w:type w:val="continuous"/>
        </w:sectPr>
      </w:pPr>
    </w:p>
    <w:bookmarkStart w:id="11" w:name="page12"/>
    <w:bookmarkEnd w:id="11"/>
    <w:p>
      <w:pPr>
        <w:spacing w:after="0"/>
        <w:rPr>
          <w:sz w:val="20"/>
          <w:szCs w:val="20"/>
          <w:color w:val="auto"/>
        </w:rPr>
      </w:pPr>
      <w:r>
        <w:rPr>
          <w:rFonts w:ascii="Arial" w:cs="Arial" w:eastAsia="Arial" w:hAnsi="Arial"/>
          <w:sz w:val="54"/>
          <w:szCs w:val="54"/>
          <w:color w:val="00004D"/>
        </w:rPr>
        <w:t xml:space="preserve">Sustainability </w:t>
      </w:r>
      <w:r>
        <w:rPr>
          <w:rFonts w:ascii="Arial" w:cs="Arial" w:eastAsia="Arial" w:hAnsi="Arial"/>
          <w:sz w:val="38"/>
          <w:szCs w:val="38"/>
          <w:b w:val="1"/>
          <w:bCs w:val="1"/>
          <w:color w:val="00004D"/>
        </w:rPr>
        <w:t>2025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274320</wp:posOffset>
            </wp:positionV>
            <wp:extent cx="6993890" cy="6312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3890" cy="6312535"/>
                    </a:xfrm>
                    <a:prstGeom prst="rect">
                      <a:avLst/>
                    </a:prstGeom>
                    <a:noFill/>
                  </pic:spPr>
                </pic:pic>
              </a:graphicData>
            </a:graphic>
          </wp:anchor>
        </w:drawing>
      </w:r>
    </w:p>
    <w:p>
      <w:pPr>
        <w:sectPr>
          <w:pgSz w:w="12240" w:h="15840" w:orient="portrait"/>
          <w:cols w:equalWidth="0" w:num="1">
            <w:col w:w="10880"/>
          </w:cols>
          <w:pgMar w:left="700" w:top="744" w:right="660" w:bottom="1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377FA7"/>
        </w:rPr>
        <w:t>ENVIRONMENT</w:t>
      </w:r>
    </w:p>
    <w:p>
      <w:pPr>
        <w:spacing w:after="0" w:line="301" w:lineRule="exact"/>
        <w:rPr>
          <w:sz w:val="20"/>
          <w:szCs w:val="20"/>
          <w:color w:val="auto"/>
        </w:rPr>
      </w:pPr>
    </w:p>
    <w:tbl>
      <w:tblPr>
        <w:tblLayout w:type="fixed"/>
        <w:tblInd w:w="80" w:type="dxa"/>
        <w:tblCellMar>
          <w:top w:w="0" w:type="dxa"/>
          <w:left w:w="0" w:type="dxa"/>
          <w:bottom w:w="0" w:type="dxa"/>
          <w:right w:w="0" w:type="dxa"/>
        </w:tblCellMar>
      </w:tblPr>
      <w:tr>
        <w:trPr>
          <w:trHeight w:val="94"/>
        </w:trPr>
        <w:tc>
          <w:tcPr>
            <w:tcW w:w="2480" w:type="dxa"/>
            <w:vAlign w:val="bottom"/>
            <w:vMerge w:val="restart"/>
          </w:tcPr>
          <w:p>
            <w:pPr>
              <w:spacing w:after="0"/>
              <w:rPr>
                <w:sz w:val="20"/>
                <w:szCs w:val="20"/>
                <w:color w:val="auto"/>
              </w:rPr>
            </w:pPr>
            <w:r>
              <w:rPr>
                <w:rFonts w:ascii="Arial" w:cs="Arial" w:eastAsia="Arial" w:hAnsi="Arial"/>
                <w:sz w:val="21"/>
                <w:szCs w:val="21"/>
                <w:b w:val="1"/>
                <w:bCs w:val="1"/>
                <w:color w:val="00004D"/>
              </w:rPr>
              <w:t>Supplies</w:t>
            </w:r>
          </w:p>
        </w:tc>
        <w:tc>
          <w:tcPr>
            <w:tcW w:w="20" w:type="dxa"/>
            <w:vAlign w:val="bottom"/>
          </w:tcPr>
          <w:p>
            <w:pPr>
              <w:spacing w:after="0"/>
              <w:rPr>
                <w:sz w:val="8"/>
                <w:szCs w:val="8"/>
                <w:color w:val="auto"/>
              </w:rPr>
            </w:pPr>
          </w:p>
        </w:tc>
        <w:tc>
          <w:tcPr>
            <w:tcW w:w="2040" w:type="dxa"/>
            <w:vAlign w:val="bottom"/>
            <w:vMerge w:val="restart"/>
          </w:tcPr>
          <w:p>
            <w:pPr>
              <w:ind w:left="140"/>
              <w:spacing w:after="0"/>
              <w:rPr>
                <w:sz w:val="20"/>
                <w:szCs w:val="20"/>
                <w:color w:val="auto"/>
              </w:rPr>
            </w:pPr>
            <w:r>
              <w:rPr>
                <w:rFonts w:ascii="Arial" w:cs="Arial" w:eastAsia="Arial" w:hAnsi="Arial"/>
                <w:sz w:val="21"/>
                <w:szCs w:val="21"/>
                <w:b w:val="1"/>
                <w:bCs w:val="1"/>
                <w:color w:val="00004D"/>
              </w:rPr>
              <w:t>Waste</w:t>
            </w:r>
          </w:p>
        </w:tc>
        <w:tc>
          <w:tcPr>
            <w:tcW w:w="0" w:type="dxa"/>
            <w:vAlign w:val="bottom"/>
          </w:tcPr>
          <w:p>
            <w:pPr>
              <w:spacing w:after="0"/>
              <w:rPr>
                <w:sz w:val="1"/>
                <w:szCs w:val="1"/>
                <w:color w:val="auto"/>
              </w:rPr>
            </w:pPr>
          </w:p>
        </w:tc>
      </w:tr>
      <w:tr>
        <w:trPr>
          <w:trHeight w:val="147"/>
        </w:trPr>
        <w:tc>
          <w:tcPr>
            <w:tcW w:w="2480" w:type="dxa"/>
            <w:vAlign w:val="bottom"/>
            <w:vMerge w:val="continue"/>
          </w:tcPr>
          <w:p>
            <w:pPr>
              <w:spacing w:after="0"/>
              <w:rPr>
                <w:sz w:val="12"/>
                <w:szCs w:val="12"/>
                <w:color w:val="auto"/>
              </w:rPr>
            </w:pPr>
          </w:p>
        </w:tc>
        <w:tc>
          <w:tcPr>
            <w:tcW w:w="20" w:type="dxa"/>
            <w:vAlign w:val="bottom"/>
            <w:shd w:val="clear" w:color="auto" w:fill="377FA7"/>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Contracted with third-</w:t>
            </w:r>
          </w:p>
        </w:tc>
        <w:tc>
          <w:tcPr>
            <w:tcW w:w="20" w:type="dxa"/>
            <w:vAlign w:val="bottom"/>
            <w:shd w:val="clear" w:color="auto" w:fill="377FA7"/>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Ensured strict</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party companies for the</w:t>
            </w:r>
          </w:p>
        </w:tc>
        <w:tc>
          <w:tcPr>
            <w:tcW w:w="20" w:type="dxa"/>
            <w:vAlign w:val="bottom"/>
            <w:shd w:val="clear" w:color="auto" w:fill="377FA7"/>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guidelines and</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manufacturing, packaging</w:t>
            </w:r>
          </w:p>
        </w:tc>
        <w:tc>
          <w:tcPr>
            <w:tcW w:w="20" w:type="dxa"/>
            <w:vAlign w:val="bottom"/>
            <w:shd w:val="clear" w:color="auto" w:fill="377FA7"/>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processes for the safe,</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20"/>
                <w:szCs w:val="20"/>
                <w:color w:val="auto"/>
              </w:rPr>
            </w:pPr>
            <w:r>
              <w:rPr>
                <w:rFonts w:ascii="Arial" w:cs="Arial" w:eastAsia="Arial" w:hAnsi="Arial"/>
                <w:sz w:val="18"/>
                <w:szCs w:val="18"/>
                <w:color w:val="auto"/>
              </w:rPr>
              <w:t>and warehousing of our</w:t>
            </w:r>
          </w:p>
        </w:tc>
        <w:tc>
          <w:tcPr>
            <w:tcW w:w="20" w:type="dxa"/>
            <w:vAlign w:val="bottom"/>
            <w:shd w:val="clear" w:color="auto" w:fill="377FA7"/>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permanent disposal</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0"/>
                <w:szCs w:val="20"/>
                <w:color w:val="auto"/>
              </w:rPr>
            </w:pPr>
            <w:r>
              <w:rPr>
                <w:rFonts w:ascii="Arial" w:cs="Arial" w:eastAsia="Arial" w:hAnsi="Arial"/>
                <w:sz w:val="18"/>
                <w:szCs w:val="18"/>
                <w:color w:val="auto"/>
              </w:rPr>
              <w:t>products</w:t>
            </w:r>
          </w:p>
        </w:tc>
        <w:tc>
          <w:tcPr>
            <w:tcW w:w="20" w:type="dxa"/>
            <w:vAlign w:val="bottom"/>
            <w:shd w:val="clear" w:color="auto" w:fill="377FA7"/>
          </w:tcPr>
          <w:p>
            <w:pPr>
              <w:spacing w:after="0"/>
              <w:rPr>
                <w:sz w:val="21"/>
                <w:szCs w:val="21"/>
                <w:color w:val="auto"/>
              </w:rPr>
            </w:pPr>
          </w:p>
        </w:tc>
        <w:tc>
          <w:tcPr>
            <w:tcW w:w="2040" w:type="dxa"/>
            <w:vAlign w:val="bottom"/>
          </w:tcPr>
          <w:p>
            <w:pPr>
              <w:ind w:left="140"/>
              <w:spacing w:after="0"/>
              <w:rPr>
                <w:sz w:val="20"/>
                <w:szCs w:val="20"/>
                <w:color w:val="auto"/>
              </w:rPr>
            </w:pPr>
            <w:r>
              <w:rPr>
                <w:rFonts w:ascii="Arial" w:cs="Arial" w:eastAsia="Arial" w:hAnsi="Arial"/>
                <w:sz w:val="18"/>
                <w:szCs w:val="18"/>
                <w:color w:val="auto"/>
              </w:rPr>
              <w:t>of all unused products</w:t>
            </w:r>
          </w:p>
        </w:tc>
        <w:tc>
          <w:tcPr>
            <w:tcW w:w="0" w:type="dxa"/>
            <w:vAlign w:val="bottom"/>
          </w:tcPr>
          <w:p>
            <w:pPr>
              <w:spacing w:after="0"/>
              <w:rPr>
                <w:sz w:val="1"/>
                <w:szCs w:val="1"/>
                <w:color w:val="auto"/>
              </w:rPr>
            </w:pPr>
          </w:p>
        </w:tc>
      </w:tr>
      <w:tr>
        <w:trPr>
          <w:trHeight w:val="24"/>
        </w:trPr>
        <w:tc>
          <w:tcPr>
            <w:tcW w:w="2480" w:type="dxa"/>
            <w:vAlign w:val="bottom"/>
          </w:tcPr>
          <w:p>
            <w:pPr>
              <w:spacing w:after="0"/>
              <w:rPr>
                <w:sz w:val="2"/>
                <w:szCs w:val="2"/>
                <w:color w:val="auto"/>
              </w:rPr>
            </w:pPr>
          </w:p>
        </w:tc>
        <w:tc>
          <w:tcPr>
            <w:tcW w:w="20" w:type="dxa"/>
            <w:vAlign w:val="bottom"/>
            <w:shd w:val="clear" w:color="auto" w:fill="377FA7"/>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55245</wp:posOffset>
                </wp:positionH>
                <wp:positionV relativeFrom="paragraph">
                  <wp:posOffset>80645</wp:posOffset>
                </wp:positionV>
                <wp:extent cx="286766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7660"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pt,6.35pt" to="230.15pt,6.35pt" o:allowincell="f" strokecolor="#377FA7" strokeweight="0.5pt"/>
            </w:pict>
          </mc:Fallback>
        </mc:AlternateConten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00004D"/>
        </w:rPr>
        <w:t>Returns</w:t>
      </w:r>
    </w:p>
    <w:p>
      <w:pPr>
        <w:spacing w:after="0" w:line="11" w:lineRule="exact"/>
        <w:rPr>
          <w:sz w:val="20"/>
          <w:szCs w:val="20"/>
          <w:color w:val="auto"/>
        </w:rPr>
      </w:pPr>
    </w:p>
    <w:p>
      <w:pPr>
        <w:ind w:left="80" w:right="1240"/>
        <w:spacing w:after="0" w:line="290" w:lineRule="auto"/>
        <w:rPr>
          <w:sz w:val="20"/>
          <w:szCs w:val="20"/>
          <w:color w:val="auto"/>
        </w:rPr>
      </w:pPr>
      <w:r>
        <w:rPr>
          <w:rFonts w:ascii="Arial" w:cs="Arial" w:eastAsia="Arial" w:hAnsi="Arial"/>
          <w:sz w:val="18"/>
          <w:szCs w:val="18"/>
          <w:color w:val="auto"/>
        </w:rPr>
        <w:t>Received and disposed of 5,515 pounds of damaged and expired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2917190" cy="3928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2917190" cy="392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31"/>
          <w:szCs w:val="31"/>
          <w:b w:val="1"/>
          <w:bCs w:val="1"/>
          <w:color w:val="377FA7"/>
        </w:rPr>
        <w:t>SOCIAL</w:t>
      </w:r>
    </w:p>
    <w:p>
      <w:pPr>
        <w:ind w:left="360"/>
        <w:spacing w:after="0"/>
        <w:rPr>
          <w:sz w:val="20"/>
          <w:szCs w:val="20"/>
          <w:color w:val="auto"/>
        </w:rPr>
      </w:pPr>
      <w:r>
        <w:rPr>
          <w:rFonts w:ascii="Arial" w:cs="Arial" w:eastAsia="Arial" w:hAnsi="Arial"/>
          <w:sz w:val="21"/>
          <w:szCs w:val="21"/>
          <w:b w:val="1"/>
          <w:bCs w:val="1"/>
          <w:color w:val="00004D"/>
        </w:rPr>
        <w:t>Community Involvement</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004D"/>
        </w:rPr>
        <w:t>Cumberland Pharma Foundation</w:t>
      </w:r>
    </w:p>
    <w:p>
      <w:pPr>
        <w:spacing w:after="0" w:line="23" w:lineRule="exact"/>
        <w:rPr>
          <w:sz w:val="20"/>
          <w:szCs w:val="20"/>
          <w:color w:val="auto"/>
        </w:rPr>
      </w:pPr>
    </w:p>
    <w:p>
      <w:pPr>
        <w:ind w:left="360" w:right="700"/>
        <w:spacing w:after="0" w:line="266" w:lineRule="auto"/>
        <w:rPr>
          <w:sz w:val="20"/>
          <w:szCs w:val="20"/>
          <w:color w:val="auto"/>
        </w:rPr>
      </w:pPr>
      <w:r>
        <w:rPr>
          <w:rFonts w:ascii="Arial" w:cs="Arial" w:eastAsia="Arial" w:hAnsi="Arial"/>
          <w:sz w:val="18"/>
          <w:szCs w:val="18"/>
          <w:color w:val="auto"/>
        </w:rPr>
        <w:t>Contributed to Belmont University Health Care Hall of Fame, Denver Health, Mary Parish Center, Easter Seals Nashvillian of the Year, FIGHT DMD Golf Tournament, World Bible School, AACA Museum Endowment Fund, University of Mississippi CPI Researcher of the Year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377FA7"/>
        </w:rPr>
        <w:t>SOCIAL</w:t>
      </w:r>
    </w:p>
    <w:p>
      <w:pPr>
        <w:ind w:left="20"/>
        <w:spacing w:after="0"/>
        <w:rPr>
          <w:sz w:val="20"/>
          <w:szCs w:val="20"/>
          <w:color w:val="auto"/>
        </w:rPr>
      </w:pPr>
      <w:r>
        <w:rPr>
          <w:rFonts w:ascii="Arial" w:cs="Arial" w:eastAsia="Arial" w:hAnsi="Arial"/>
          <w:sz w:val="21"/>
          <w:szCs w:val="21"/>
          <w:b w:val="1"/>
          <w:bCs w:val="1"/>
          <w:color w:val="00004D"/>
        </w:rPr>
        <w:t>Employees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Male – 50%</w:t>
            </w:r>
          </w:p>
        </w:tc>
        <w:tc>
          <w:tcPr>
            <w:tcW w:w="2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00004D"/>
              </w:rPr>
              <w:t xml:space="preserve">Turnover – 3% </w:t>
            </w:r>
            <w:r>
              <w:rPr>
                <w:rFonts w:ascii="Arial" w:cs="Arial" w:eastAsia="Arial" w:hAnsi="Arial"/>
                <w:sz w:val="18"/>
                <w:szCs w:val="18"/>
                <w:color w:val="000000"/>
              </w:rPr>
              <w:t>for corporate team</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00" w:type="dxa"/>
            <w:vAlign w:val="bottom"/>
            <w:gridSpan w:val="2"/>
            <w:vMerge w:val="continue"/>
          </w:tcPr>
          <w:p>
            <w:pPr>
              <w:spacing w:after="0"/>
              <w:rPr>
                <w:sz w:val="6"/>
                <w:szCs w:val="6"/>
                <w:color w:val="auto"/>
              </w:rPr>
            </w:pPr>
          </w:p>
        </w:tc>
        <w:tc>
          <w:tcPr>
            <w:tcW w:w="20" w:type="dxa"/>
            <w:vAlign w:val="bottom"/>
            <w:shd w:val="clear" w:color="auto" w:fill="377FA7"/>
          </w:tcPr>
          <w:p>
            <w:pPr>
              <w:spacing w:after="0"/>
              <w:rPr>
                <w:sz w:val="6"/>
                <w:szCs w:val="6"/>
                <w:color w:val="auto"/>
              </w:rPr>
            </w:pPr>
          </w:p>
        </w:tc>
        <w:tc>
          <w:tcPr>
            <w:tcW w:w="60" w:type="dxa"/>
            <w:vAlign w:val="bottom"/>
            <w:vMerge w:val="continue"/>
          </w:tcPr>
          <w:p>
            <w:pPr>
              <w:spacing w:after="0"/>
              <w:rPr>
                <w:sz w:val="6"/>
                <w:szCs w:val="6"/>
                <w:color w:val="auto"/>
              </w:rPr>
            </w:pPr>
          </w:p>
        </w:tc>
        <w:tc>
          <w:tcPr>
            <w:tcW w:w="316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Female – 50%</w:t>
            </w:r>
          </w:p>
        </w:tc>
        <w:tc>
          <w:tcPr>
            <w:tcW w:w="20" w:type="dxa"/>
            <w:vAlign w:val="bottom"/>
            <w:shd w:val="clear" w:color="auto" w:fill="377FA7"/>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80" w:type="dxa"/>
            <w:vAlign w:val="bottom"/>
            <w:gridSpan w:val="3"/>
          </w:tcPr>
          <w:p>
            <w:pPr>
              <w:ind w:left="940"/>
              <w:spacing w:after="0"/>
              <w:rPr>
                <w:sz w:val="20"/>
                <w:szCs w:val="20"/>
                <w:color w:val="auto"/>
              </w:rPr>
            </w:pPr>
            <w:r>
              <w:rPr>
                <w:rFonts w:ascii="Arial" w:cs="Arial" w:eastAsia="Arial" w:hAnsi="Arial"/>
                <w:sz w:val="18"/>
                <w:szCs w:val="18"/>
                <w:b w:val="1"/>
                <w:bCs w:val="1"/>
                <w:color w:val="00004D"/>
              </w:rPr>
              <w:t xml:space="preserve">4% </w:t>
            </w:r>
            <w:r>
              <w:rPr>
                <w:rFonts w:ascii="Arial" w:cs="Arial" w:eastAsia="Arial" w:hAnsi="Arial"/>
                <w:sz w:val="18"/>
                <w:szCs w:val="18"/>
                <w:color w:val="000000"/>
              </w:rPr>
              <w:t>for sales team</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bottom w:val="single" w:sz="8" w:color="377FA7"/>
            </w:tcBorders>
            <w:shd w:val="clear" w:color="auto" w:fill="377FA7"/>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1440" w:type="dxa"/>
            <w:vAlign w:val="bottom"/>
            <w:tcBorders>
              <w:bottom w:val="single" w:sz="8" w:color="377FA7"/>
            </w:tcBorders>
          </w:tcPr>
          <w:p>
            <w:pPr>
              <w:spacing w:after="0"/>
              <w:rPr>
                <w:sz w:val="5"/>
                <w:szCs w:val="5"/>
                <w:color w:val="auto"/>
              </w:rPr>
            </w:pPr>
          </w:p>
        </w:tc>
        <w:tc>
          <w:tcPr>
            <w:tcW w:w="20" w:type="dxa"/>
            <w:vAlign w:val="bottom"/>
            <w:tcBorders>
              <w:bottom w:val="single" w:sz="8" w:color="377FA7"/>
            </w:tcBorders>
          </w:tcPr>
          <w:p>
            <w:pPr>
              <w:spacing w:after="0"/>
              <w:rPr>
                <w:sz w:val="5"/>
                <w:szCs w:val="5"/>
                <w:color w:val="auto"/>
              </w:rPr>
            </w:pPr>
          </w:p>
        </w:tc>
        <w:tc>
          <w:tcPr>
            <w:tcW w:w="1620" w:type="dxa"/>
            <w:vAlign w:val="bottom"/>
            <w:tcBorders>
              <w:bottom w:val="single" w:sz="8" w:color="377FA7"/>
            </w:tcBorders>
          </w:tcPr>
          <w:p>
            <w:pPr>
              <w:spacing w:after="0"/>
              <w:rPr>
                <w:sz w:val="5"/>
                <w:szCs w:val="5"/>
                <w:color w:val="auto"/>
              </w:rPr>
            </w:pPr>
          </w:p>
        </w:tc>
        <w:tc>
          <w:tcPr>
            <w:tcW w:w="40" w:type="dxa"/>
            <w:vAlign w:val="bottom"/>
            <w:tcBorders>
              <w:bottom w:val="single" w:sz="8" w:color="377FA7"/>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840" w:type="dxa"/>
            <w:vAlign w:val="bottom"/>
            <w:tcBorders>
              <w:bottom w:val="single" w:sz="8" w:color="377FA7"/>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377FA7"/>
            </w:tcBorders>
            <w:vMerge w:val="restart"/>
            <w:shd w:val="clear" w:color="auto" w:fill="377FA7"/>
          </w:tcPr>
          <w:p>
            <w:pPr>
              <w:spacing w:after="0"/>
              <w:rPr>
                <w:sz w:val="2"/>
                <w:szCs w:val="2"/>
                <w:color w:val="auto"/>
              </w:rPr>
            </w:pPr>
          </w:p>
        </w:tc>
        <w:tc>
          <w:tcPr>
            <w:tcW w:w="60" w:type="dxa"/>
            <w:vAlign w:val="bottom"/>
            <w:vMerge w:val="restart"/>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00004D"/>
              </w:rPr>
              <w:t>Additions – 15%</w:t>
            </w: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Minorities – 30%</w:t>
            </w:r>
          </w:p>
        </w:tc>
        <w:tc>
          <w:tcPr>
            <w:tcW w:w="20" w:type="dxa"/>
            <w:vAlign w:val="bottom"/>
            <w:vMerge w:val="continue"/>
            <w:shd w:val="clear" w:color="auto" w:fill="377FA7"/>
          </w:tcPr>
          <w:p>
            <w:pPr>
              <w:spacing w:after="0"/>
              <w:rPr>
                <w:sz w:val="17"/>
                <w:szCs w:val="17"/>
                <w:color w:val="auto"/>
              </w:rPr>
            </w:pPr>
          </w:p>
        </w:tc>
        <w:tc>
          <w:tcPr>
            <w:tcW w:w="60" w:type="dxa"/>
            <w:vAlign w:val="bottom"/>
            <w:vMerge w:val="continue"/>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00" w:type="dxa"/>
            <w:vAlign w:val="bottom"/>
            <w:gridSpan w:val="2"/>
            <w:vMerge w:val="continue"/>
          </w:tcPr>
          <w:p>
            <w:pPr>
              <w:spacing w:after="0"/>
              <w:rPr>
                <w:sz w:val="5"/>
                <w:szCs w:val="5"/>
                <w:color w:val="auto"/>
              </w:rPr>
            </w:pPr>
          </w:p>
        </w:tc>
        <w:tc>
          <w:tcPr>
            <w:tcW w:w="20" w:type="dxa"/>
            <w:vAlign w:val="bottom"/>
            <w:tcBorders>
              <w:bottom w:val="single" w:sz="8" w:color="377FA7"/>
            </w:tcBorders>
            <w:shd w:val="clear" w:color="auto" w:fill="377FA7"/>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377FA7"/>
            </w:tcBorders>
          </w:tcPr>
          <w:p>
            <w:pPr>
              <w:spacing w:after="0"/>
              <w:rPr>
                <w:sz w:val="5"/>
                <w:szCs w:val="5"/>
                <w:color w:val="auto"/>
              </w:rPr>
            </w:pPr>
          </w:p>
        </w:tc>
        <w:tc>
          <w:tcPr>
            <w:tcW w:w="1440" w:type="dxa"/>
            <w:vAlign w:val="bottom"/>
            <w:tcBorders>
              <w:bottom w:val="single" w:sz="8" w:color="377FA7"/>
            </w:tcBorders>
          </w:tcPr>
          <w:p>
            <w:pPr>
              <w:spacing w:after="0"/>
              <w:rPr>
                <w:sz w:val="5"/>
                <w:szCs w:val="5"/>
                <w:color w:val="auto"/>
              </w:rPr>
            </w:pPr>
          </w:p>
        </w:tc>
        <w:tc>
          <w:tcPr>
            <w:tcW w:w="20" w:type="dxa"/>
            <w:vAlign w:val="bottom"/>
            <w:tcBorders>
              <w:bottom w:val="single" w:sz="8" w:color="377FA7"/>
            </w:tcBorders>
          </w:tcPr>
          <w:p>
            <w:pPr>
              <w:spacing w:after="0"/>
              <w:rPr>
                <w:sz w:val="5"/>
                <w:szCs w:val="5"/>
                <w:color w:val="auto"/>
              </w:rPr>
            </w:pPr>
          </w:p>
        </w:tc>
        <w:tc>
          <w:tcPr>
            <w:tcW w:w="1620" w:type="dxa"/>
            <w:vAlign w:val="bottom"/>
            <w:tcBorders>
              <w:bottom w:val="single" w:sz="8" w:color="377FA7"/>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00" w:type="dxa"/>
            <w:vAlign w:val="bottom"/>
            <w:gridSpan w:val="2"/>
            <w:vMerge w:val="continue"/>
          </w:tcPr>
          <w:p>
            <w:pPr>
              <w:spacing w:after="0"/>
              <w:rPr>
                <w:sz w:val="3"/>
                <w:szCs w:val="3"/>
                <w:color w:val="auto"/>
              </w:rPr>
            </w:pPr>
          </w:p>
        </w:tc>
        <w:tc>
          <w:tcPr>
            <w:tcW w:w="20" w:type="dxa"/>
            <w:vAlign w:val="bottom"/>
            <w:shd w:val="clear" w:color="auto" w:fill="377FA7"/>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80" w:type="dxa"/>
            <w:vAlign w:val="bottom"/>
            <w:gridSpan w:val="3"/>
            <w:vMerge w:val="restart"/>
          </w:tcPr>
          <w:p>
            <w:pPr>
              <w:spacing w:after="0" w:line="192" w:lineRule="exact"/>
              <w:rPr>
                <w:sz w:val="20"/>
                <w:szCs w:val="20"/>
                <w:color w:val="auto"/>
              </w:rPr>
            </w:pPr>
            <w:r>
              <w:rPr>
                <w:rFonts w:ascii="Arial" w:cs="Arial" w:eastAsia="Arial" w:hAnsi="Arial"/>
                <w:sz w:val="18"/>
                <w:szCs w:val="18"/>
                <w:b w:val="1"/>
                <w:bCs w:val="1"/>
                <w:color w:val="00004D"/>
              </w:rPr>
              <w:t>Career Development Program</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840" w:type="dxa"/>
            <w:vAlign w:val="bottom"/>
            <w:tcBorders>
              <w:bottom w:val="single" w:sz="8" w:color="377FA7"/>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377FA7"/>
            </w:tcBorders>
            <w:shd w:val="clear" w:color="auto" w:fill="377FA7"/>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Ages</w:t>
            </w:r>
          </w:p>
        </w:tc>
        <w:tc>
          <w:tcPr>
            <w:tcW w:w="20" w:type="dxa"/>
            <w:vAlign w:val="bottom"/>
            <w:shd w:val="clear" w:color="auto" w:fill="377FA7"/>
          </w:tcPr>
          <w:p>
            <w:pPr>
              <w:spacing w:after="0"/>
              <w:rPr>
                <w:sz w:val="22"/>
                <w:szCs w:val="22"/>
                <w:color w:val="auto"/>
              </w:rPr>
            </w:pPr>
          </w:p>
        </w:tc>
        <w:tc>
          <w:tcPr>
            <w:tcW w:w="60" w:type="dxa"/>
            <w:vAlign w:val="bottom"/>
          </w:tcPr>
          <w:p>
            <w:pPr>
              <w:spacing w:after="0"/>
              <w:rPr>
                <w:sz w:val="22"/>
                <w:szCs w:val="22"/>
                <w:color w:val="auto"/>
              </w:rPr>
            </w:pPr>
          </w:p>
        </w:tc>
        <w:tc>
          <w:tcPr>
            <w:tcW w:w="3160" w:type="dxa"/>
            <w:vAlign w:val="bottom"/>
            <w:gridSpan w:val="5"/>
          </w:tcPr>
          <w:p>
            <w:pPr>
              <w:ind w:left="60"/>
              <w:spacing w:after="0"/>
              <w:rPr>
                <w:sz w:val="20"/>
                <w:szCs w:val="20"/>
                <w:color w:val="auto"/>
              </w:rPr>
            </w:pPr>
            <w:r>
              <w:rPr>
                <w:rFonts w:ascii="Arial" w:cs="Arial" w:eastAsia="Arial" w:hAnsi="Arial"/>
                <w:sz w:val="18"/>
                <w:szCs w:val="18"/>
                <w:color w:val="auto"/>
              </w:rPr>
              <w:t>Available to all corporate employees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 xml:space="preserve">8% </w:t>
            </w:r>
            <w:r>
              <w:rPr>
                <w:rFonts w:ascii="Arial" w:cs="Arial" w:eastAsia="Arial" w:hAnsi="Arial"/>
                <w:sz w:val="18"/>
                <w:szCs w:val="18"/>
                <w:color w:val="000000"/>
              </w:rPr>
              <w:t>below 30</w:t>
            </w:r>
          </w:p>
        </w:tc>
        <w:tc>
          <w:tcPr>
            <w:tcW w:w="20" w:type="dxa"/>
            <w:vAlign w:val="bottom"/>
            <w:tcBorders>
              <w:bottom w:val="single" w:sz="8" w:color="377FA7"/>
            </w:tcBorders>
            <w:shd w:val="clear" w:color="auto" w:fill="377FA7"/>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44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620" w:type="dxa"/>
            <w:vAlign w:val="bottom"/>
            <w:tcBorders>
              <w:bottom w:val="single" w:sz="8" w:color="377FA7"/>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00" w:type="dxa"/>
            <w:vAlign w:val="bottom"/>
            <w:gridSpan w:val="2"/>
            <w:vMerge w:val="continue"/>
          </w:tcPr>
          <w:p>
            <w:pPr>
              <w:spacing w:after="0"/>
              <w:rPr>
                <w:sz w:val="9"/>
                <w:szCs w:val="9"/>
                <w:color w:val="auto"/>
              </w:rPr>
            </w:pPr>
          </w:p>
        </w:tc>
        <w:tc>
          <w:tcPr>
            <w:tcW w:w="20" w:type="dxa"/>
            <w:vAlign w:val="bottom"/>
            <w:shd w:val="clear" w:color="auto" w:fill="377FA7"/>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00004D"/>
              </w:rPr>
              <w:t>Cumberland Academy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 xml:space="preserve">30% </w:t>
            </w:r>
            <w:r>
              <w:rPr>
                <w:rFonts w:ascii="Arial" w:cs="Arial" w:eastAsia="Arial" w:hAnsi="Arial"/>
                <w:sz w:val="18"/>
                <w:szCs w:val="18"/>
                <w:color w:val="000000"/>
              </w:rPr>
              <w:t>between 30 &amp; 50</w:t>
            </w:r>
          </w:p>
        </w:tc>
        <w:tc>
          <w:tcPr>
            <w:tcW w:w="20" w:type="dxa"/>
            <w:vAlign w:val="bottom"/>
            <w:shd w:val="clear" w:color="auto" w:fill="377FA7"/>
          </w:tcPr>
          <w:p>
            <w:pPr>
              <w:spacing w:after="0"/>
              <w:rPr>
                <w:sz w:val="10"/>
                <w:szCs w:val="10"/>
                <w:color w:val="auto"/>
              </w:rPr>
            </w:pPr>
          </w:p>
        </w:tc>
        <w:tc>
          <w:tcPr>
            <w:tcW w:w="60" w:type="dxa"/>
            <w:vAlign w:val="bottom"/>
          </w:tcPr>
          <w:p>
            <w:pPr>
              <w:spacing w:after="0"/>
              <w:rPr>
                <w:sz w:val="10"/>
                <w:szCs w:val="10"/>
                <w:color w:val="auto"/>
              </w:rPr>
            </w:pPr>
          </w:p>
        </w:tc>
        <w:tc>
          <w:tcPr>
            <w:tcW w:w="316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0" w:type="dxa"/>
            <w:vAlign w:val="bottom"/>
            <w:gridSpan w:val="2"/>
            <w:vMerge w:val="continue"/>
          </w:tcPr>
          <w:p>
            <w:pPr>
              <w:spacing w:after="0"/>
              <w:rPr>
                <w:sz w:val="8"/>
                <w:szCs w:val="8"/>
                <w:color w:val="auto"/>
              </w:rPr>
            </w:pPr>
          </w:p>
        </w:tc>
        <w:tc>
          <w:tcPr>
            <w:tcW w:w="20" w:type="dxa"/>
            <w:vAlign w:val="bottom"/>
            <w:shd w:val="clear" w:color="auto" w:fill="377FA7"/>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5"/>
            <w:vMerge w:val="restart"/>
          </w:tcPr>
          <w:p>
            <w:pPr>
              <w:ind w:left="60"/>
              <w:spacing w:after="0"/>
              <w:rPr>
                <w:sz w:val="20"/>
                <w:szCs w:val="20"/>
                <w:color w:val="auto"/>
              </w:rPr>
            </w:pPr>
            <w:r>
              <w:rPr>
                <w:rFonts w:ascii="Arial" w:cs="Arial" w:eastAsia="Arial" w:hAnsi="Arial"/>
                <w:sz w:val="18"/>
                <w:szCs w:val="18"/>
                <w:color w:val="auto"/>
              </w:rPr>
              <w:t>Provides industry training for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 xml:space="preserve">62% </w:t>
            </w:r>
            <w:r>
              <w:rPr>
                <w:rFonts w:ascii="Arial" w:cs="Arial" w:eastAsia="Arial" w:hAnsi="Arial"/>
                <w:sz w:val="18"/>
                <w:szCs w:val="18"/>
                <w:color w:val="000000"/>
              </w:rPr>
              <w:t>over 50</w:t>
            </w:r>
          </w:p>
        </w:tc>
        <w:tc>
          <w:tcPr>
            <w:tcW w:w="20" w:type="dxa"/>
            <w:vAlign w:val="bottom"/>
            <w:shd w:val="clear" w:color="auto" w:fill="377FA7"/>
          </w:tcPr>
          <w:p>
            <w:pPr>
              <w:spacing w:after="0"/>
              <w:rPr>
                <w:sz w:val="10"/>
                <w:szCs w:val="10"/>
                <w:color w:val="auto"/>
              </w:rPr>
            </w:pPr>
          </w:p>
        </w:tc>
        <w:tc>
          <w:tcPr>
            <w:tcW w:w="60" w:type="dxa"/>
            <w:vAlign w:val="bottom"/>
          </w:tcPr>
          <w:p>
            <w:pPr>
              <w:spacing w:after="0"/>
              <w:rPr>
                <w:sz w:val="10"/>
                <w:szCs w:val="10"/>
                <w:color w:val="auto"/>
              </w:rPr>
            </w:pPr>
          </w:p>
        </w:tc>
        <w:tc>
          <w:tcPr>
            <w:tcW w:w="316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00" w:type="dxa"/>
            <w:vAlign w:val="bottom"/>
            <w:gridSpan w:val="2"/>
            <w:vMerge w:val="continue"/>
          </w:tcPr>
          <w:p>
            <w:pPr>
              <w:spacing w:after="0"/>
              <w:rPr>
                <w:sz w:val="11"/>
                <w:szCs w:val="11"/>
                <w:color w:val="auto"/>
              </w:rPr>
            </w:pPr>
          </w:p>
        </w:tc>
        <w:tc>
          <w:tcPr>
            <w:tcW w:w="20" w:type="dxa"/>
            <w:vAlign w:val="bottom"/>
            <w:shd w:val="clear" w:color="auto" w:fill="377FA7"/>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5"/>
            <w:vMerge w:val="restart"/>
          </w:tcPr>
          <w:p>
            <w:pPr>
              <w:ind w:left="60"/>
              <w:spacing w:after="0"/>
              <w:rPr>
                <w:sz w:val="20"/>
                <w:szCs w:val="20"/>
                <w:color w:val="auto"/>
              </w:rPr>
            </w:pPr>
            <w:r>
              <w:rPr>
                <w:rFonts w:ascii="Arial" w:cs="Arial" w:eastAsia="Arial" w:hAnsi="Arial"/>
                <w:sz w:val="18"/>
                <w:szCs w:val="18"/>
                <w:color w:val="auto"/>
              </w:rPr>
              <w:t>corporate employees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377FA7"/>
            </w:tcBorders>
            <w:shd w:val="clear" w:color="auto" w:fill="377FA7"/>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840" w:type="dxa"/>
            <w:vAlign w:val="bottom"/>
            <w:tcBorders>
              <w:bottom w:val="single" w:sz="8" w:color="377FA7"/>
            </w:tcBorders>
          </w:tcPr>
          <w:p>
            <w:pPr>
              <w:spacing w:after="0"/>
              <w:rPr>
                <w:sz w:val="7"/>
                <w:szCs w:val="7"/>
                <w:color w:val="auto"/>
              </w:rPr>
            </w:pPr>
          </w:p>
        </w:tc>
        <w:tc>
          <w:tcPr>
            <w:tcW w:w="1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60" w:type="dxa"/>
            <w:vAlign w:val="bottom"/>
            <w:tcBorders>
              <w:bottom w:val="single" w:sz="8" w:color="377FA7"/>
            </w:tcBorders>
          </w:tcPr>
          <w:p>
            <w:pPr>
              <w:spacing w:after="0"/>
              <w:rPr>
                <w:sz w:val="7"/>
                <w:szCs w:val="7"/>
                <w:color w:val="auto"/>
              </w:rPr>
            </w:pPr>
          </w:p>
        </w:tc>
        <w:tc>
          <w:tcPr>
            <w:tcW w:w="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44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620" w:type="dxa"/>
            <w:vAlign w:val="bottom"/>
            <w:tcBorders>
              <w:bottom w:val="single" w:sz="8" w:color="377FA7"/>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Tenures</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vMerge w:val="restart"/>
          </w:tcPr>
          <w:p>
            <w:pPr>
              <w:ind w:left="20"/>
              <w:spacing w:after="0"/>
              <w:rPr>
                <w:sz w:val="20"/>
                <w:szCs w:val="20"/>
                <w:color w:val="auto"/>
              </w:rPr>
            </w:pPr>
            <w:r>
              <w:rPr>
                <w:rFonts w:ascii="Arial" w:cs="Arial" w:eastAsia="Arial" w:hAnsi="Arial"/>
                <w:sz w:val="18"/>
                <w:szCs w:val="18"/>
                <w:b w:val="1"/>
                <w:bCs w:val="1"/>
                <w:color w:val="00004D"/>
              </w:rPr>
              <w:t>Training</w:t>
            </w:r>
          </w:p>
        </w:tc>
        <w:tc>
          <w:tcPr>
            <w:tcW w:w="20" w:type="dxa"/>
            <w:vAlign w:val="bottom"/>
          </w:tcPr>
          <w:p>
            <w:pPr>
              <w:spacing w:after="0"/>
              <w:rPr>
                <w:sz w:val="7"/>
                <w:szCs w:val="7"/>
                <w:color w:val="auto"/>
              </w:rPr>
            </w:pPr>
          </w:p>
        </w:tc>
        <w:tc>
          <w:tcPr>
            <w:tcW w:w="1620" w:type="dxa"/>
            <w:vAlign w:val="bottom"/>
            <w:vMerge w:val="restart"/>
          </w:tcPr>
          <w:p>
            <w:pPr>
              <w:ind w:left="120"/>
              <w:spacing w:after="0"/>
              <w:rPr>
                <w:sz w:val="20"/>
                <w:szCs w:val="20"/>
                <w:color w:val="auto"/>
              </w:rPr>
            </w:pPr>
            <w:r>
              <w:rPr>
                <w:rFonts w:ascii="Arial" w:cs="Arial" w:eastAsia="Arial" w:hAnsi="Arial"/>
                <w:sz w:val="18"/>
                <w:szCs w:val="18"/>
                <w:b w:val="1"/>
                <w:bCs w:val="1"/>
                <w:color w:val="00004D"/>
              </w:rPr>
              <w:t>Work-related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right w:val="single" w:sz="8" w:color="377FA7"/>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0" w:type="dxa"/>
            <w:vAlign w:val="bottom"/>
            <w:shd w:val="clear" w:color="auto" w:fill="377FA7"/>
          </w:tcPr>
          <w:p>
            <w:pPr>
              <w:spacing w:after="0"/>
              <w:rPr>
                <w:sz w:val="13"/>
                <w:szCs w:val="13"/>
                <w:color w:val="auto"/>
              </w:rPr>
            </w:pPr>
          </w:p>
        </w:tc>
        <w:tc>
          <w:tcPr>
            <w:tcW w:w="1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 xml:space="preserve">38% </w:t>
            </w:r>
            <w:r>
              <w:rPr>
                <w:rFonts w:ascii="Arial" w:cs="Arial" w:eastAsia="Arial" w:hAnsi="Arial"/>
                <w:sz w:val="18"/>
                <w:szCs w:val="18"/>
                <w:color w:val="000000"/>
              </w:rPr>
              <w:t>@ 5 or more years</w:t>
            </w:r>
          </w:p>
        </w:tc>
        <w:tc>
          <w:tcPr>
            <w:tcW w:w="20" w:type="dxa"/>
            <w:vAlign w:val="bottom"/>
          </w:tcPr>
          <w:p>
            <w:pPr>
              <w:spacing w:after="0"/>
              <w:rPr>
                <w:sz w:val="19"/>
                <w:szCs w:val="19"/>
                <w:color w:val="auto"/>
              </w:rPr>
            </w:pPr>
          </w:p>
        </w:tc>
        <w:tc>
          <w:tcPr>
            <w:tcW w:w="60" w:type="dxa"/>
            <w:vAlign w:val="bottom"/>
            <w:tcBorders>
              <w:right w:val="single" w:sz="8" w:color="377FA7"/>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b w:val="1"/>
                <w:bCs w:val="1"/>
                <w:color w:val="00004D"/>
              </w:rPr>
              <w:t>$600</w:t>
            </w:r>
          </w:p>
        </w:tc>
        <w:tc>
          <w:tcPr>
            <w:tcW w:w="20" w:type="dxa"/>
            <w:vAlign w:val="bottom"/>
            <w:shd w:val="clear" w:color="auto" w:fill="377FA7"/>
          </w:tcPr>
          <w:p>
            <w:pPr>
              <w:spacing w:after="0"/>
              <w:rPr>
                <w:sz w:val="19"/>
                <w:szCs w:val="19"/>
                <w:color w:val="auto"/>
              </w:rPr>
            </w:pPr>
          </w:p>
        </w:tc>
        <w:tc>
          <w:tcPr>
            <w:tcW w:w="1620" w:type="dxa"/>
            <w:vAlign w:val="bottom"/>
          </w:tcPr>
          <w:p>
            <w:pPr>
              <w:ind w:left="120"/>
              <w:spacing w:after="0"/>
              <w:rPr>
                <w:sz w:val="20"/>
                <w:szCs w:val="20"/>
                <w:color w:val="auto"/>
              </w:rPr>
            </w:pPr>
            <w:r>
              <w:rPr>
                <w:rFonts w:ascii="Arial" w:cs="Arial" w:eastAsia="Arial" w:hAnsi="Arial"/>
                <w:sz w:val="18"/>
                <w:szCs w:val="18"/>
                <w:b w:val="1"/>
                <w:bCs w:val="1"/>
                <w:color w:val="00004D"/>
              </w:rPr>
              <w:t>injuries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w w:val="98"/>
              </w:rPr>
              <w:t xml:space="preserve">22% </w:t>
            </w:r>
            <w:r>
              <w:rPr>
                <w:rFonts w:ascii="Arial" w:cs="Arial" w:eastAsia="Arial" w:hAnsi="Arial"/>
                <w:sz w:val="18"/>
                <w:szCs w:val="18"/>
                <w:color w:val="000000"/>
                <w:w w:val="98"/>
              </w:rPr>
              <w:t>@ 10 or more years</w:t>
            </w:r>
          </w:p>
        </w:tc>
        <w:tc>
          <w:tcPr>
            <w:tcW w:w="20" w:type="dxa"/>
            <w:vAlign w:val="bottom"/>
          </w:tcPr>
          <w:p>
            <w:pPr>
              <w:spacing w:after="0"/>
              <w:rPr>
                <w:sz w:val="19"/>
                <w:szCs w:val="19"/>
                <w:color w:val="auto"/>
              </w:rPr>
            </w:pPr>
          </w:p>
        </w:tc>
        <w:tc>
          <w:tcPr>
            <w:tcW w:w="60" w:type="dxa"/>
            <w:vAlign w:val="bottom"/>
            <w:tcBorders>
              <w:right w:val="single" w:sz="8" w:color="377FA7"/>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per full-time</w:t>
            </w:r>
          </w:p>
        </w:tc>
        <w:tc>
          <w:tcPr>
            <w:tcW w:w="20" w:type="dxa"/>
            <w:vAlign w:val="bottom"/>
            <w:shd w:val="clear" w:color="auto" w:fill="377FA7"/>
          </w:tcPr>
          <w:p>
            <w:pPr>
              <w:spacing w:after="0"/>
              <w:rPr>
                <w:sz w:val="19"/>
                <w:szCs w:val="19"/>
                <w:color w:val="auto"/>
              </w:rPr>
            </w:pPr>
          </w:p>
        </w:tc>
        <w:tc>
          <w:tcPr>
            <w:tcW w:w="1620" w:type="dxa"/>
            <w:vAlign w:val="bottom"/>
          </w:tcPr>
          <w:p>
            <w:pPr>
              <w:ind w:left="12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w w:val="98"/>
              </w:rPr>
              <w:t xml:space="preserve">20% </w:t>
            </w:r>
            <w:r>
              <w:rPr>
                <w:rFonts w:ascii="Arial" w:cs="Arial" w:eastAsia="Arial" w:hAnsi="Arial"/>
                <w:sz w:val="18"/>
                <w:szCs w:val="18"/>
                <w:color w:val="000000"/>
                <w:w w:val="98"/>
              </w:rPr>
              <w:t>@ 15 or more years</w:t>
            </w:r>
          </w:p>
        </w:tc>
        <w:tc>
          <w:tcPr>
            <w:tcW w:w="20" w:type="dxa"/>
            <w:vAlign w:val="bottom"/>
          </w:tcPr>
          <w:p>
            <w:pPr>
              <w:spacing w:after="0"/>
              <w:rPr>
                <w:sz w:val="21"/>
                <w:szCs w:val="21"/>
                <w:color w:val="auto"/>
              </w:rPr>
            </w:pPr>
          </w:p>
        </w:tc>
        <w:tc>
          <w:tcPr>
            <w:tcW w:w="60" w:type="dxa"/>
            <w:vAlign w:val="bottom"/>
            <w:tcBorders>
              <w:right w:val="single" w:sz="8" w:color="377FA7"/>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employee</w:t>
            </w:r>
          </w:p>
        </w:tc>
        <w:tc>
          <w:tcPr>
            <w:tcW w:w="20" w:type="dxa"/>
            <w:vAlign w:val="bottom"/>
            <w:shd w:val="clear" w:color="auto" w:fill="377FA7"/>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right w:val="single" w:sz="8" w:color="377FA7"/>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shd w:val="clear" w:color="auto" w:fill="377FA7"/>
          </w:tcPr>
          <w:p>
            <w:pPr>
              <w:spacing w:after="0"/>
              <w:rPr>
                <w:sz w:val="5"/>
                <w:szCs w:val="5"/>
                <w:color w:val="auto"/>
              </w:rPr>
            </w:pPr>
          </w:p>
        </w:tc>
        <w:tc>
          <w:tcPr>
            <w:tcW w:w="16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31"/>
          <w:szCs w:val="31"/>
          <w:b w:val="1"/>
          <w:bCs w:val="1"/>
          <w:color w:val="377FA7"/>
        </w:rPr>
        <w:t>SOCIAL</w:t>
      </w:r>
    </w:p>
    <w:p>
      <w:pPr>
        <w:spacing w:after="0"/>
        <w:rPr>
          <w:sz w:val="20"/>
          <w:szCs w:val="20"/>
          <w:color w:val="auto"/>
        </w:rPr>
      </w:pPr>
      <w:r>
        <w:rPr>
          <w:rFonts w:ascii="Arial" w:cs="Arial" w:eastAsia="Arial" w:hAnsi="Arial"/>
          <w:sz w:val="21"/>
          <w:szCs w:val="21"/>
          <w:b w:val="1"/>
          <w:bCs w:val="1"/>
          <w:color w:val="00004D"/>
        </w:rPr>
        <w:t>Patients</w:t>
      </w:r>
    </w:p>
    <w:p>
      <w:pPr>
        <w:ind w:left="20"/>
        <w:spacing w:after="0" w:line="187" w:lineRule="auto"/>
        <w:rPr>
          <w:sz w:val="20"/>
          <w:szCs w:val="20"/>
          <w:color w:val="auto"/>
        </w:rPr>
      </w:pPr>
      <w:r>
        <w:rPr>
          <w:rFonts w:ascii="Arial" w:cs="Arial" w:eastAsia="Arial" w:hAnsi="Arial"/>
          <w:sz w:val="18"/>
          <w:szCs w:val="18"/>
          <w:color w:val="auto"/>
        </w:rPr>
        <w:t xml:space="preserve">Provided </w:t>
      </w:r>
      <w:r>
        <w:rPr>
          <w:rFonts w:ascii="Arial" w:cs="Arial" w:eastAsia="Arial" w:hAnsi="Arial"/>
          <w:sz w:val="73"/>
          <w:szCs w:val="73"/>
          <w:b w:val="1"/>
          <w:bCs w:val="1"/>
          <w:color w:val="377FA7"/>
        </w:rPr>
        <w:t>4.9</w:t>
      </w:r>
      <w:r>
        <w:rPr>
          <w:rFonts w:ascii="Arial" w:cs="Arial" w:eastAsia="Arial" w:hAnsi="Arial"/>
          <w:sz w:val="28"/>
          <w:szCs w:val="28"/>
          <w:b w:val="1"/>
          <w:bCs w:val="1"/>
          <w:color w:val="377FA7"/>
        </w:rPr>
        <w:t>million doses</w:t>
      </w:r>
    </w:p>
    <w:p>
      <w:pPr>
        <w:spacing w:after="0" w:line="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of our products to patients</w:t>
      </w:r>
    </w:p>
    <w:p>
      <w:pPr>
        <w:spacing w:after="0" w:line="105" w:lineRule="exact"/>
        <w:rPr>
          <w:sz w:val="20"/>
          <w:szCs w:val="20"/>
          <w:color w:val="auto"/>
        </w:rPr>
      </w:pPr>
    </w:p>
    <w:p>
      <w:pPr>
        <w:sectPr>
          <w:pgSz w:w="12240" w:h="15840" w:orient="portrait"/>
          <w:cols w:equalWidth="0" w:num="2">
            <w:col w:w="4620" w:space="480"/>
            <w:col w:w="5780"/>
          </w:cols>
          <w:pgMar w:left="700" w:top="744" w:right="660" w:bottom="106" w:gutter="0" w:footer="0" w:header="0"/>
          <w:type w:val="continuous"/>
        </w:sectPr>
      </w:pPr>
    </w:p>
    <w:p>
      <w:pPr>
        <w:ind w:left="360" w:right="733"/>
        <w:spacing w:after="0" w:line="314" w:lineRule="auto"/>
        <w:rPr>
          <w:sz w:val="20"/>
          <w:szCs w:val="20"/>
          <w:color w:val="auto"/>
        </w:rPr>
      </w:pPr>
      <w:r>
        <w:rPr>
          <w:rFonts w:ascii="Arial" w:cs="Arial" w:eastAsia="Arial" w:hAnsi="Arial"/>
          <w:sz w:val="18"/>
          <w:szCs w:val="18"/>
          <w:color w:val="auto"/>
        </w:rPr>
        <w:t>the Duchenne Program at UMass Chan Medical School</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004D"/>
        </w:rPr>
        <w:t>Associations</w:t>
      </w:r>
    </w:p>
    <w:p>
      <w:pPr>
        <w:spacing w:after="0" w:line="2" w:lineRule="exact"/>
        <w:rPr>
          <w:sz w:val="20"/>
          <w:szCs w:val="20"/>
          <w:color w:val="auto"/>
        </w:rPr>
      </w:pPr>
    </w:p>
    <w:p>
      <w:pPr>
        <w:ind w:left="500" w:hanging="142"/>
        <w:spacing w:after="0"/>
        <w:tabs>
          <w:tab w:leader="none" w:pos="500" w:val="left"/>
        </w:tabs>
        <w:numPr>
          <w:ilvl w:val="0"/>
          <w:numId w:val="4"/>
        </w:numPr>
        <w:rPr>
          <w:rFonts w:ascii="Arial" w:cs="Arial" w:eastAsia="Arial" w:hAnsi="Arial"/>
          <w:sz w:val="18"/>
          <w:szCs w:val="18"/>
          <w:color w:val="377FA7"/>
        </w:rPr>
      </w:pPr>
      <w:r>
        <w:rPr>
          <w:rFonts w:ascii="Arial" w:cs="Arial" w:eastAsia="Arial" w:hAnsi="Arial"/>
          <w:sz w:val="18"/>
          <w:szCs w:val="18"/>
          <w:color w:val="auto"/>
        </w:rPr>
        <w:t>Nashville Health Care Council</w:t>
      </w:r>
    </w:p>
    <w:p>
      <w:pPr>
        <w:spacing w:after="0" w:line="1" w:lineRule="exact"/>
        <w:rPr>
          <w:rFonts w:ascii="Arial" w:cs="Arial" w:eastAsia="Arial" w:hAnsi="Arial"/>
          <w:sz w:val="18"/>
          <w:szCs w:val="18"/>
          <w:color w:val="377FA7"/>
        </w:rPr>
      </w:pPr>
    </w:p>
    <w:p>
      <w:pPr>
        <w:ind w:left="500" w:hanging="142"/>
        <w:spacing w:after="0"/>
        <w:tabs>
          <w:tab w:leader="none" w:pos="500" w:val="left"/>
        </w:tabs>
        <w:numPr>
          <w:ilvl w:val="0"/>
          <w:numId w:val="4"/>
        </w:numPr>
        <w:rPr>
          <w:rFonts w:ascii="Arial" w:cs="Arial" w:eastAsia="Arial" w:hAnsi="Arial"/>
          <w:sz w:val="18"/>
          <w:szCs w:val="18"/>
          <w:color w:val="377FA7"/>
        </w:rPr>
      </w:pPr>
      <w:r>
        <w:rPr>
          <w:rFonts w:ascii="Arial" w:cs="Arial" w:eastAsia="Arial" w:hAnsi="Arial"/>
          <w:sz w:val="18"/>
          <w:szCs w:val="18"/>
          <w:color w:val="auto"/>
        </w:rPr>
        <w:t>Life Science Tennessee</w:t>
      </w:r>
    </w:p>
    <w:p>
      <w:pPr>
        <w:spacing w:after="0" w:line="1" w:lineRule="exact"/>
        <w:rPr>
          <w:rFonts w:ascii="Arial" w:cs="Arial" w:eastAsia="Arial" w:hAnsi="Arial"/>
          <w:sz w:val="18"/>
          <w:szCs w:val="18"/>
          <w:color w:val="377FA7"/>
        </w:rPr>
      </w:pPr>
    </w:p>
    <w:p>
      <w:pPr>
        <w:ind w:left="500" w:hanging="142"/>
        <w:spacing w:after="0"/>
        <w:tabs>
          <w:tab w:leader="none" w:pos="500" w:val="left"/>
        </w:tabs>
        <w:numPr>
          <w:ilvl w:val="0"/>
          <w:numId w:val="4"/>
        </w:numPr>
        <w:rPr>
          <w:rFonts w:ascii="Arial" w:cs="Arial" w:eastAsia="Arial" w:hAnsi="Arial"/>
          <w:sz w:val="18"/>
          <w:szCs w:val="18"/>
          <w:color w:val="377FA7"/>
        </w:rPr>
      </w:pPr>
      <w:r>
        <w:rPr>
          <w:rFonts w:ascii="Arial" w:cs="Arial" w:eastAsia="Arial" w:hAnsi="Arial"/>
          <w:sz w:val="18"/>
          <w:szCs w:val="18"/>
          <w:color w:val="auto"/>
        </w:rPr>
        <w:t>Nashville Chamber of Commerce</w:t>
      </w:r>
    </w:p>
    <w:p>
      <w:pPr>
        <w:spacing w:after="0" w:line="3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004D"/>
        </w:rPr>
        <w:t>Life Sciences Center</w:t>
      </w:r>
    </w:p>
    <w:p>
      <w:pPr>
        <w:spacing w:after="0" w:line="2" w:lineRule="exact"/>
        <w:rPr>
          <w:sz w:val="20"/>
          <w:szCs w:val="20"/>
          <w:color w:val="auto"/>
        </w:rPr>
      </w:pPr>
    </w:p>
    <w:p>
      <w:pPr>
        <w:ind w:left="360" w:right="533"/>
        <w:spacing w:after="0" w:line="290" w:lineRule="auto"/>
        <w:rPr>
          <w:sz w:val="20"/>
          <w:szCs w:val="20"/>
          <w:color w:val="auto"/>
        </w:rPr>
      </w:pPr>
      <w:r>
        <w:rPr>
          <w:rFonts w:ascii="Arial" w:cs="Arial" w:eastAsia="Arial" w:hAnsi="Arial"/>
          <w:sz w:val="18"/>
          <w:szCs w:val="18"/>
          <w:color w:val="auto"/>
        </w:rPr>
        <w:t>Sponsoring an incubator to help build the biomedical industry in our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229870</wp:posOffset>
            </wp:positionV>
            <wp:extent cx="2395855" cy="2038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2395855" cy="2038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004D"/>
        </w:rPr>
        <w:t>Drug Safety Results</w:t>
      </w:r>
    </w:p>
    <w:p>
      <w:pPr>
        <w:spacing w:after="0" w:line="2" w:lineRule="exact"/>
        <w:rPr>
          <w:sz w:val="20"/>
          <w:szCs w:val="20"/>
          <w:color w:val="auto"/>
        </w:rPr>
      </w:pPr>
    </w:p>
    <w:p>
      <w:pPr>
        <w:jc w:val="both"/>
        <w:ind w:left="147" w:right="160" w:hanging="147"/>
        <w:spacing w:after="0" w:line="241" w:lineRule="auto"/>
        <w:tabs>
          <w:tab w:leader="none" w:pos="147" w:val="left"/>
        </w:tabs>
        <w:numPr>
          <w:ilvl w:val="0"/>
          <w:numId w:val="5"/>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listed in the FDA’ s MedWatch Safety Alerts</w:t>
      </w:r>
    </w:p>
    <w:p>
      <w:pPr>
        <w:spacing w:after="0" w:line="2" w:lineRule="exact"/>
        <w:rPr>
          <w:rFonts w:ascii="Arial" w:cs="Arial" w:eastAsia="Arial" w:hAnsi="Arial"/>
          <w:sz w:val="18"/>
          <w:szCs w:val="18"/>
          <w:color w:val="377FA7"/>
        </w:rPr>
      </w:pPr>
    </w:p>
    <w:p>
      <w:pPr>
        <w:ind w:left="147" w:hanging="147"/>
        <w:spacing w:after="0"/>
        <w:tabs>
          <w:tab w:leader="none" w:pos="147" w:val="left"/>
        </w:tabs>
        <w:numPr>
          <w:ilvl w:val="0"/>
          <w:numId w:val="5"/>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recalled</w:t>
      </w:r>
    </w:p>
    <w:p>
      <w:pPr>
        <w:spacing w:after="0" w:line="200" w:lineRule="exact"/>
        <w:rPr>
          <w:sz w:val="20"/>
          <w:szCs w:val="20"/>
          <w:color w:val="auto"/>
        </w:rPr>
      </w:pPr>
    </w:p>
    <w:p>
      <w:pPr>
        <w:spacing w:after="0" w:line="21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00004D"/>
        </w:rPr>
        <w:t>Patient Affordability</w:t>
      </w:r>
    </w:p>
    <w:p>
      <w:pPr>
        <w:spacing w:after="0" w:line="1" w:lineRule="exact"/>
        <w:rPr>
          <w:sz w:val="20"/>
          <w:szCs w:val="20"/>
          <w:color w:val="auto"/>
        </w:rPr>
      </w:pPr>
    </w:p>
    <w:p>
      <w:pPr>
        <w:ind w:left="7"/>
        <w:spacing w:after="0" w:line="258" w:lineRule="auto"/>
        <w:rPr>
          <w:sz w:val="20"/>
          <w:szCs w:val="20"/>
          <w:color w:val="auto"/>
        </w:rPr>
      </w:pPr>
      <w:r>
        <w:rPr>
          <w:rFonts w:ascii="Arial" w:cs="Arial" w:eastAsia="Arial" w:hAnsi="Arial"/>
          <w:sz w:val="18"/>
          <w:szCs w:val="18"/>
          <w:color w:val="auto"/>
        </w:rPr>
        <w:t xml:space="preserve">We cover up to </w:t>
      </w:r>
      <w:r>
        <w:rPr>
          <w:rFonts w:ascii="Arial" w:cs="Arial" w:eastAsia="Arial" w:hAnsi="Arial"/>
          <w:sz w:val="18"/>
          <w:szCs w:val="18"/>
          <w:b w:val="1"/>
          <w:bCs w:val="1"/>
          <w:color w:val="00004D"/>
        </w:rPr>
        <w:t>80% of</w:t>
      </w:r>
      <w:r>
        <w:rPr>
          <w:rFonts w:ascii="Arial" w:cs="Arial" w:eastAsia="Arial" w:hAnsi="Arial"/>
          <w:sz w:val="18"/>
          <w:szCs w:val="18"/>
          <w:color w:val="auto"/>
        </w:rPr>
        <w:t xml:space="preserve"> </w:t>
      </w:r>
      <w:r>
        <w:rPr>
          <w:rFonts w:ascii="Arial" w:cs="Arial" w:eastAsia="Arial" w:hAnsi="Arial"/>
          <w:sz w:val="18"/>
          <w:szCs w:val="18"/>
          <w:b w:val="1"/>
          <w:bCs w:val="1"/>
          <w:color w:val="00004D"/>
        </w:rPr>
        <w:t xml:space="preserve">patient Rx costs </w:t>
      </w:r>
      <w:r>
        <w:rPr>
          <w:rFonts w:ascii="Arial" w:cs="Arial" w:eastAsia="Arial" w:hAnsi="Arial"/>
          <w:sz w:val="18"/>
          <w:szCs w:val="18"/>
          <w:color w:val="000000"/>
        </w:rPr>
        <w:t>through</w:t>
      </w:r>
      <w:r>
        <w:rPr>
          <w:rFonts w:ascii="Arial" w:cs="Arial" w:eastAsia="Arial" w:hAnsi="Arial"/>
          <w:sz w:val="18"/>
          <w:szCs w:val="18"/>
          <w:b w:val="1"/>
          <w:bCs w:val="1"/>
          <w:color w:val="00004D"/>
        </w:rPr>
        <w:t xml:space="preserve"> </w:t>
      </w:r>
      <w:r>
        <w:rPr>
          <w:rFonts w:ascii="Arial" w:cs="Arial" w:eastAsia="Arial" w:hAnsi="Arial"/>
          <w:sz w:val="18"/>
          <w:szCs w:val="18"/>
          <w:color w:val="000000"/>
        </w:rPr>
        <w:t>coupons for our GI and oncology support brands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977900</wp:posOffset>
                </wp:positionH>
                <wp:positionV relativeFrom="paragraph">
                  <wp:posOffset>368935</wp:posOffset>
                </wp:positionV>
                <wp:extent cx="0" cy="18542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0"/>
                        </a:xfrm>
                        <a:prstGeom prst="line">
                          <a:avLst/>
                        </a:prstGeom>
                        <a:solidFill>
                          <a:srgbClr val="FFFFFF"/>
                        </a:solidFill>
                        <a:ln w="6350">
                          <a:solidFill>
                            <a:srgbClr val="377FA7"/>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29.05pt" to="77pt,175.05pt" o:allowincell="f" strokecolor="#377FA7" strokeweight="0.5pt"/>
            </w:pict>
          </mc:Fallback>
        </mc:AlternateContent>
        <w:drawing>
          <wp:anchor simplePos="0" relativeHeight="251657728" behindDoc="1" locked="0" layoutInCell="0" allowOverlap="1">
            <wp:simplePos x="0" y="0"/>
            <wp:positionH relativeFrom="column">
              <wp:posOffset>-207645</wp:posOffset>
            </wp:positionH>
            <wp:positionV relativeFrom="paragraph">
              <wp:posOffset>194945</wp:posOffset>
            </wp:positionV>
            <wp:extent cx="676910" cy="899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676910" cy="899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004D"/>
        </w:rPr>
        <w:t>Clinical Trials Safety</w:t>
      </w:r>
    </w:p>
    <w:p>
      <w:pPr>
        <w:spacing w:after="0" w:line="2" w:lineRule="exact"/>
        <w:rPr>
          <w:sz w:val="20"/>
          <w:szCs w:val="20"/>
          <w:color w:val="auto"/>
        </w:rPr>
      </w:pPr>
    </w:p>
    <w:p>
      <w:pPr>
        <w:ind w:right="160"/>
        <w:spacing w:after="0" w:line="290" w:lineRule="auto"/>
        <w:rPr>
          <w:sz w:val="20"/>
          <w:szCs w:val="20"/>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trials terminated due to failure to practice good clinical standards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004D"/>
        </w:rPr>
        <w:t>Advocacy Groups Supported</w:t>
      </w:r>
    </w:p>
    <w:p>
      <w:pPr>
        <w:spacing w:after="0" w:line="2" w:lineRule="exact"/>
        <w:rPr>
          <w:sz w:val="20"/>
          <w:szCs w:val="20"/>
          <w:color w:val="auto"/>
        </w:rPr>
      </w:pPr>
    </w:p>
    <w:p>
      <w:pPr>
        <w:ind w:left="140" w:hanging="134"/>
        <w:spacing w:after="0"/>
        <w:tabs>
          <w:tab w:leader="none" w:pos="140" w:val="left"/>
        </w:tabs>
        <w:numPr>
          <w:ilvl w:val="0"/>
          <w:numId w:val="6"/>
        </w:numPr>
        <w:rPr>
          <w:rFonts w:ascii="Arial" w:cs="Arial" w:eastAsia="Arial" w:hAnsi="Arial"/>
          <w:sz w:val="18"/>
          <w:szCs w:val="18"/>
          <w:color w:val="377FA7"/>
        </w:rPr>
      </w:pPr>
      <w:r>
        <w:rPr>
          <w:rFonts w:ascii="Arial" w:cs="Arial" w:eastAsia="Arial" w:hAnsi="Arial"/>
          <w:sz w:val="18"/>
          <w:szCs w:val="18"/>
          <w:color w:val="auto"/>
        </w:rPr>
        <w:t>Muscular Dystrophy Association</w:t>
      </w:r>
    </w:p>
    <w:p>
      <w:pPr>
        <w:spacing w:after="0" w:line="1" w:lineRule="exact"/>
        <w:rPr>
          <w:rFonts w:ascii="Arial" w:cs="Arial" w:eastAsia="Arial" w:hAnsi="Arial"/>
          <w:sz w:val="18"/>
          <w:szCs w:val="18"/>
          <w:color w:val="377FA7"/>
        </w:rPr>
      </w:pPr>
    </w:p>
    <w:p>
      <w:pPr>
        <w:ind w:left="140" w:hanging="134"/>
        <w:spacing w:after="0"/>
        <w:tabs>
          <w:tab w:leader="none" w:pos="140" w:val="left"/>
        </w:tabs>
        <w:numPr>
          <w:ilvl w:val="0"/>
          <w:numId w:val="6"/>
        </w:numPr>
        <w:rPr>
          <w:rFonts w:ascii="Arial" w:cs="Arial" w:eastAsia="Arial" w:hAnsi="Arial"/>
          <w:sz w:val="18"/>
          <w:szCs w:val="18"/>
          <w:color w:val="377FA7"/>
        </w:rPr>
      </w:pPr>
      <w:r>
        <w:rPr>
          <w:rFonts w:ascii="Arial" w:cs="Arial" w:eastAsia="Arial" w:hAnsi="Arial"/>
          <w:sz w:val="18"/>
          <w:szCs w:val="18"/>
          <w:color w:val="auto"/>
        </w:rPr>
        <w:t>Parent Project Muscular Dystrophy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883920</wp:posOffset>
            </wp:positionV>
            <wp:extent cx="2623820" cy="981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2623820" cy="981710"/>
                    </a:xfrm>
                    <a:prstGeom prst="rect">
                      <a:avLst/>
                    </a:prstGeom>
                    <a:noFill/>
                  </pic:spPr>
                </pic:pic>
              </a:graphicData>
            </a:graphic>
          </wp:anchor>
        </w:drawing>
      </w:r>
    </w:p>
    <w:p>
      <w:pPr>
        <w:spacing w:after="0" w:line="1277" w:lineRule="exact"/>
        <w:rPr>
          <w:sz w:val="20"/>
          <w:szCs w:val="20"/>
          <w:color w:val="auto"/>
        </w:rPr>
      </w:pPr>
    </w:p>
    <w:p>
      <w:pPr>
        <w:sectPr>
          <w:pgSz w:w="12240" w:h="15840" w:orient="portrait"/>
          <w:cols w:equalWidth="0" w:num="3">
            <w:col w:w="4393" w:space="720"/>
            <w:col w:w="2127" w:space="540"/>
            <w:col w:w="3100"/>
          </w:cols>
          <w:pgMar w:left="700" w:top="744" w:right="660" w:bottom="106" w:gutter="0" w:footer="0" w:header="0"/>
          <w:type w:val="continuous"/>
        </w:sect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31"/>
          <w:szCs w:val="31"/>
          <w:b w:val="1"/>
          <w:bCs w:val="1"/>
          <w:color w:val="377FA7"/>
        </w:rPr>
        <w:t>GOVERNANCE</w:t>
      </w:r>
    </w:p>
    <w:p>
      <w:pPr>
        <w:ind w:left="60"/>
        <w:spacing w:after="0"/>
        <w:rPr>
          <w:sz w:val="20"/>
          <w:szCs w:val="20"/>
          <w:color w:val="auto"/>
        </w:rPr>
      </w:pPr>
      <w:r>
        <w:rPr>
          <w:rFonts w:ascii="Arial" w:cs="Arial" w:eastAsia="Arial" w:hAnsi="Arial"/>
          <w:sz w:val="20"/>
          <w:szCs w:val="20"/>
          <w:b w:val="1"/>
          <w:bCs w:val="1"/>
          <w:color w:val="00004D"/>
        </w:rPr>
        <w:t>Board</w:t>
      </w:r>
    </w:p>
    <w:p>
      <w:pPr>
        <w:spacing w:after="0" w:line="316" w:lineRule="exact"/>
        <w:rPr>
          <w:sz w:val="20"/>
          <w:szCs w:val="20"/>
          <w:color w:val="auto"/>
        </w:rPr>
      </w:pPr>
    </w:p>
    <w:p>
      <w:pPr>
        <w:ind w:left="60"/>
        <w:spacing w:after="0" w:line="511" w:lineRule="auto"/>
        <w:rPr>
          <w:sz w:val="20"/>
          <w:szCs w:val="20"/>
          <w:color w:val="auto"/>
        </w:rPr>
      </w:pPr>
      <w:r>
        <w:rPr>
          <w:rFonts w:ascii="Arial" w:cs="Arial" w:eastAsia="Arial" w:hAnsi="Arial"/>
          <w:sz w:val="18"/>
          <w:szCs w:val="18"/>
          <w:b w:val="1"/>
          <w:bCs w:val="1"/>
          <w:color w:val="auto"/>
        </w:rPr>
        <w:t xml:space="preserve">Independent – </w:t>
      </w:r>
      <w:r>
        <w:rPr>
          <w:rFonts w:ascii="Arial" w:cs="Arial" w:eastAsia="Arial" w:hAnsi="Arial"/>
          <w:sz w:val="18"/>
          <w:szCs w:val="18"/>
          <w:b w:val="1"/>
          <w:bCs w:val="1"/>
          <w:color w:val="00004D"/>
        </w:rPr>
        <w:t>6 of 7</w:t>
      </w:r>
      <w:r>
        <w:rPr>
          <w:rFonts w:ascii="Arial" w:cs="Arial" w:eastAsia="Arial" w:hAnsi="Arial"/>
          <w:sz w:val="18"/>
          <w:szCs w:val="18"/>
          <w:b w:val="1"/>
          <w:bCs w:val="1"/>
          <w:color w:val="auto"/>
        </w:rPr>
        <w:t xml:space="preserve"> Tenure – </w:t>
      </w:r>
      <w:r>
        <w:rPr>
          <w:rFonts w:ascii="Arial" w:cs="Arial" w:eastAsia="Arial" w:hAnsi="Arial"/>
          <w:sz w:val="18"/>
          <w:szCs w:val="18"/>
          <w:b w:val="1"/>
          <w:bCs w:val="1"/>
          <w:color w:val="00004D"/>
        </w:rPr>
        <w:t>Average 11.8 years</w:t>
      </w:r>
      <w:r>
        <w:rPr>
          <w:rFonts w:ascii="Arial" w:cs="Arial" w:eastAsia="Arial" w:hAnsi="Arial"/>
          <w:sz w:val="18"/>
          <w:szCs w:val="18"/>
          <w:b w:val="1"/>
          <w:bCs w:val="1"/>
          <w:color w:val="auto"/>
        </w:rPr>
        <w:t xml:space="preserve"> Age – </w:t>
      </w:r>
      <w:r>
        <w:rPr>
          <w:rFonts w:ascii="Arial" w:cs="Arial" w:eastAsia="Arial" w:hAnsi="Arial"/>
          <w:sz w:val="18"/>
          <w:szCs w:val="18"/>
          <w:b w:val="1"/>
          <w:bCs w:val="1"/>
          <w:color w:val="00004D"/>
        </w:rPr>
        <w:t>Average 68 years</w:t>
      </w:r>
      <w:r>
        <w:rPr>
          <w:rFonts w:ascii="Arial" w:cs="Arial" w:eastAsia="Arial" w:hAnsi="Arial"/>
          <w:sz w:val="18"/>
          <w:szCs w:val="18"/>
          <w:b w:val="1"/>
          <w:bCs w:val="1"/>
          <w:color w:val="auto"/>
        </w:rPr>
        <w:t xml:space="preserve"> Male/ Female </w:t>
      </w:r>
      <w:r>
        <w:rPr>
          <w:rFonts w:ascii="Arial" w:cs="Arial" w:eastAsia="Arial" w:hAnsi="Arial"/>
          <w:sz w:val="18"/>
          <w:szCs w:val="18"/>
          <w:b w:val="1"/>
          <w:bCs w:val="1"/>
          <w:color w:val="00004D"/>
        </w:rPr>
        <w:t>– 6/1</w:t>
      </w:r>
      <w:r>
        <w:rPr>
          <w:rFonts w:ascii="Arial" w:cs="Arial" w:eastAsia="Arial" w:hAnsi="Arial"/>
          <w:sz w:val="18"/>
          <w:szCs w:val="18"/>
          <w:b w:val="1"/>
          <w:bCs w:val="1"/>
          <w:color w:val="auto"/>
        </w:rPr>
        <w:t xml:space="preserve"> Turnover </w:t>
      </w:r>
      <w:r>
        <w:rPr>
          <w:rFonts w:ascii="Arial" w:cs="Arial" w:eastAsia="Arial" w:hAnsi="Arial"/>
          <w:sz w:val="18"/>
          <w:szCs w:val="18"/>
          <w:b w:val="1"/>
          <w:bCs w:val="1"/>
          <w:color w:val="00004D"/>
        </w:rPr>
        <w:t>– None</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39"/>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Board</w:t>
            </w: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320" w:type="dxa"/>
            <w:vAlign w:val="bottom"/>
            <w:tcBorders>
              <w:right w:val="single" w:sz="8" w:color="377FA7"/>
            </w:tcBorders>
          </w:tcPr>
          <w:p>
            <w:pPr>
              <w:ind w:left="20"/>
              <w:spacing w:after="0" w:line="182" w:lineRule="exact"/>
              <w:rPr>
                <w:sz w:val="20"/>
                <w:szCs w:val="20"/>
                <w:color w:val="auto"/>
              </w:rPr>
            </w:pPr>
            <w:r>
              <w:rPr>
                <w:rFonts w:ascii="Arial" w:cs="Arial" w:eastAsia="Arial" w:hAnsi="Arial"/>
                <w:sz w:val="18"/>
                <w:szCs w:val="18"/>
                <w:b w:val="1"/>
                <w:bCs w:val="1"/>
                <w:color w:val="00004D"/>
              </w:rPr>
              <w:t>Meeting</w:t>
            </w:r>
          </w:p>
        </w:tc>
        <w:tc>
          <w:tcPr>
            <w:tcW w:w="180" w:type="dxa"/>
            <w:vAlign w:val="bottom"/>
          </w:tcPr>
          <w:p>
            <w:pPr>
              <w:spacing w:after="0"/>
              <w:rPr>
                <w:sz w:val="15"/>
                <w:szCs w:val="15"/>
                <w:color w:val="auto"/>
              </w:rPr>
            </w:pPr>
          </w:p>
        </w:tc>
        <w:tc>
          <w:tcPr>
            <w:tcW w:w="2300" w:type="dxa"/>
            <w:vAlign w:val="bottom"/>
            <w:vMerge w:val="restart"/>
          </w:tcPr>
          <w:p>
            <w:pPr>
              <w:spacing w:after="0"/>
              <w:rPr>
                <w:sz w:val="20"/>
                <w:szCs w:val="20"/>
                <w:color w:val="auto"/>
              </w:rPr>
            </w:pPr>
            <w:r>
              <w:rPr>
                <w:rFonts w:ascii="Arial" w:cs="Arial" w:eastAsia="Arial" w:hAnsi="Arial"/>
                <w:sz w:val="31"/>
                <w:szCs w:val="31"/>
                <w:b w:val="1"/>
                <w:bCs w:val="1"/>
                <w:color w:val="377FA7"/>
              </w:rPr>
              <w:t>GOVERNANCE</w:t>
            </w:r>
          </w:p>
        </w:tc>
        <w:tc>
          <w:tcPr>
            <w:tcW w:w="0" w:type="dxa"/>
            <w:vAlign w:val="bottom"/>
          </w:tcPr>
          <w:p>
            <w:pPr>
              <w:spacing w:after="0"/>
              <w:rPr>
                <w:sz w:val="1"/>
                <w:szCs w:val="1"/>
                <w:color w:val="auto"/>
              </w:rPr>
            </w:pPr>
          </w:p>
        </w:tc>
      </w:tr>
      <w:tr>
        <w:trPr>
          <w:trHeight w:val="269"/>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Attendance</w:t>
            </w:r>
          </w:p>
        </w:tc>
        <w:tc>
          <w:tcPr>
            <w:tcW w:w="180" w:type="dxa"/>
            <w:vAlign w:val="bottom"/>
          </w:tcPr>
          <w:p>
            <w:pPr>
              <w:spacing w:after="0"/>
              <w:rPr>
                <w:sz w:val="23"/>
                <w:szCs w:val="23"/>
                <w:color w:val="auto"/>
              </w:rPr>
            </w:pPr>
          </w:p>
        </w:tc>
        <w:tc>
          <w:tcPr>
            <w:tcW w:w="2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1320" w:type="dxa"/>
            <w:vAlign w:val="bottom"/>
            <w:tcBorders>
              <w:right w:val="single" w:sz="8" w:color="377FA7"/>
            </w:tcBorders>
          </w:tcPr>
          <w:p>
            <w:pPr>
              <w:spacing w:after="0" w:line="367" w:lineRule="exact"/>
              <w:rPr>
                <w:sz w:val="20"/>
                <w:szCs w:val="20"/>
                <w:color w:val="auto"/>
              </w:rPr>
            </w:pPr>
            <w:r>
              <w:rPr>
                <w:rFonts w:ascii="Arial" w:cs="Arial" w:eastAsia="Arial" w:hAnsi="Arial"/>
                <w:sz w:val="42"/>
                <w:szCs w:val="42"/>
                <w:b w:val="1"/>
                <w:bCs w:val="1"/>
                <w:color w:val="377FA7"/>
              </w:rPr>
              <w:t>100</w:t>
            </w:r>
            <w:r>
              <w:rPr>
                <w:rFonts w:ascii="Arial" w:cs="Arial" w:eastAsia="Arial" w:hAnsi="Arial"/>
                <w:sz w:val="28"/>
                <w:szCs w:val="28"/>
                <w:color w:val="00004D"/>
              </w:rPr>
              <w:t>%</w:t>
            </w:r>
          </w:p>
        </w:tc>
        <w:tc>
          <w:tcPr>
            <w:tcW w:w="180" w:type="dxa"/>
            <w:vAlign w:val="bottom"/>
          </w:tcPr>
          <w:p>
            <w:pPr>
              <w:spacing w:after="0"/>
              <w:rPr>
                <w:sz w:val="24"/>
                <w:szCs w:val="24"/>
                <w:color w:val="auto"/>
              </w:rPr>
            </w:pPr>
          </w:p>
        </w:tc>
        <w:tc>
          <w:tcPr>
            <w:tcW w:w="2300" w:type="dxa"/>
            <w:vAlign w:val="bottom"/>
            <w:tcBorders>
              <w:bottom w:val="single" w:sz="8" w:color="377FA7"/>
            </w:tcBorders>
          </w:tcPr>
          <w:p>
            <w:pPr>
              <w:spacing w:after="0"/>
              <w:rPr>
                <w:sz w:val="20"/>
                <w:szCs w:val="20"/>
                <w:color w:val="auto"/>
              </w:rPr>
            </w:pPr>
            <w:r>
              <w:rPr>
                <w:rFonts w:ascii="Arial" w:cs="Arial" w:eastAsia="Arial" w:hAnsi="Arial"/>
                <w:sz w:val="20"/>
                <w:szCs w:val="20"/>
                <w:b w:val="1"/>
                <w:bCs w:val="1"/>
                <w:color w:val="00004D"/>
              </w:rPr>
              <w:t>Government Relations</w:t>
            </w:r>
          </w:p>
        </w:tc>
        <w:tc>
          <w:tcPr>
            <w:tcW w:w="0" w:type="dxa"/>
            <w:vAlign w:val="bottom"/>
          </w:tcPr>
          <w:p>
            <w:pPr>
              <w:spacing w:after="0"/>
              <w:rPr>
                <w:sz w:val="1"/>
                <w:szCs w:val="1"/>
                <w:color w:val="auto"/>
              </w:rPr>
            </w:pPr>
          </w:p>
        </w:tc>
      </w:tr>
      <w:tr>
        <w:trPr>
          <w:trHeight w:val="278"/>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Standing</w:t>
            </w:r>
          </w:p>
        </w:tc>
        <w:tc>
          <w:tcPr>
            <w:tcW w:w="1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21"/>
                <w:szCs w:val="21"/>
                <w:b w:val="1"/>
                <w:bCs w:val="1"/>
                <w:color w:val="00004D"/>
              </w:rPr>
              <w:t>Cumberland Health</w:t>
            </w:r>
          </w:p>
        </w:tc>
        <w:tc>
          <w:tcPr>
            <w:tcW w:w="0" w:type="dxa"/>
            <w:vAlign w:val="bottom"/>
          </w:tcPr>
          <w:p>
            <w:pPr>
              <w:spacing w:after="0"/>
              <w:rPr>
                <w:sz w:val="1"/>
                <w:szCs w:val="1"/>
                <w:color w:val="auto"/>
              </w:rPr>
            </w:pPr>
          </w:p>
        </w:tc>
      </w:tr>
      <w:tr>
        <w:trPr>
          <w:trHeight w:val="204"/>
        </w:trPr>
        <w:tc>
          <w:tcPr>
            <w:tcW w:w="1320" w:type="dxa"/>
            <w:vAlign w:val="bottom"/>
            <w:tcBorders>
              <w:right w:val="single" w:sz="8" w:color="377FA7"/>
            </w:tcBorders>
          </w:tcPr>
          <w:p>
            <w:pPr>
              <w:ind w:left="20"/>
              <w:spacing w:after="0" w:line="204" w:lineRule="exact"/>
              <w:rPr>
                <w:sz w:val="20"/>
                <w:szCs w:val="20"/>
                <w:color w:val="auto"/>
              </w:rPr>
            </w:pPr>
            <w:r>
              <w:rPr>
                <w:rFonts w:ascii="Arial" w:cs="Arial" w:eastAsia="Arial" w:hAnsi="Arial"/>
                <w:sz w:val="18"/>
                <w:szCs w:val="18"/>
                <w:b w:val="1"/>
                <w:bCs w:val="1"/>
                <w:color w:val="00004D"/>
              </w:rPr>
              <w:t>Committee</w:t>
            </w:r>
          </w:p>
        </w:tc>
        <w:tc>
          <w:tcPr>
            <w:tcW w:w="180" w:type="dxa"/>
            <w:vAlign w:val="bottom"/>
          </w:tcPr>
          <w:p>
            <w:pPr>
              <w:spacing w:after="0"/>
              <w:rPr>
                <w:sz w:val="17"/>
                <w:szCs w:val="17"/>
                <w:color w:val="auto"/>
              </w:rPr>
            </w:pPr>
          </w:p>
        </w:tc>
        <w:tc>
          <w:tcPr>
            <w:tcW w:w="2300" w:type="dxa"/>
            <w:vAlign w:val="bottom"/>
          </w:tcPr>
          <w:p>
            <w:pPr>
              <w:spacing w:after="0" w:line="204" w:lineRule="exact"/>
              <w:rPr>
                <w:sz w:val="20"/>
                <w:szCs w:val="20"/>
                <w:color w:val="auto"/>
              </w:rPr>
            </w:pPr>
            <w:r>
              <w:rPr>
                <w:rFonts w:ascii="Arial" w:cs="Arial" w:eastAsia="Arial" w:hAnsi="Arial"/>
                <w:sz w:val="21"/>
                <w:szCs w:val="21"/>
                <w:b w:val="1"/>
                <w:bCs w:val="1"/>
                <w:color w:val="00004D"/>
              </w:rPr>
              <w:t>&amp; Wellness PAC</w:t>
            </w:r>
          </w:p>
        </w:tc>
        <w:tc>
          <w:tcPr>
            <w:tcW w:w="0" w:type="dxa"/>
            <w:vAlign w:val="bottom"/>
          </w:tcPr>
          <w:p>
            <w:pPr>
              <w:spacing w:after="0"/>
              <w:rPr>
                <w:sz w:val="1"/>
                <w:szCs w:val="1"/>
                <w:color w:val="auto"/>
              </w:rPr>
            </w:pPr>
          </w:p>
        </w:tc>
      </w:tr>
      <w:tr>
        <w:trPr>
          <w:trHeight w:val="204"/>
        </w:trPr>
        <w:tc>
          <w:tcPr>
            <w:tcW w:w="1320" w:type="dxa"/>
            <w:vAlign w:val="bottom"/>
            <w:tcBorders>
              <w:right w:val="single" w:sz="8" w:color="377FA7"/>
            </w:tcBorders>
          </w:tcPr>
          <w:p>
            <w:pPr>
              <w:ind w:left="20"/>
              <w:spacing w:after="0" w:line="204" w:lineRule="exact"/>
              <w:rPr>
                <w:sz w:val="20"/>
                <w:szCs w:val="20"/>
                <w:color w:val="auto"/>
              </w:rPr>
            </w:pPr>
            <w:r>
              <w:rPr>
                <w:rFonts w:ascii="Arial" w:cs="Arial" w:eastAsia="Arial" w:hAnsi="Arial"/>
                <w:sz w:val="18"/>
                <w:szCs w:val="18"/>
                <w:b w:val="1"/>
                <w:bCs w:val="1"/>
                <w:color w:val="00004D"/>
              </w:rPr>
              <w:t>Attendance</w:t>
            </w:r>
          </w:p>
        </w:tc>
        <w:tc>
          <w:tcPr>
            <w:tcW w:w="180" w:type="dxa"/>
            <w:vAlign w:val="bottom"/>
          </w:tcPr>
          <w:p>
            <w:pPr>
              <w:spacing w:after="0"/>
              <w:rPr>
                <w:sz w:val="17"/>
                <w:szCs w:val="17"/>
                <w:color w:val="auto"/>
              </w:rPr>
            </w:pPr>
          </w:p>
        </w:tc>
        <w:tc>
          <w:tcPr>
            <w:tcW w:w="2300" w:type="dxa"/>
            <w:vAlign w:val="bottom"/>
          </w:tcPr>
          <w:p>
            <w:pPr>
              <w:spacing w:after="0" w:line="204" w:lineRule="exact"/>
              <w:rPr>
                <w:sz w:val="20"/>
                <w:szCs w:val="20"/>
                <w:color w:val="auto"/>
              </w:rPr>
            </w:pPr>
            <w:r>
              <w:rPr>
                <w:rFonts w:ascii="Arial" w:cs="Arial" w:eastAsia="Arial" w:hAnsi="Arial"/>
                <w:sz w:val="18"/>
                <w:szCs w:val="18"/>
                <w:color w:val="auto"/>
              </w:rPr>
              <w:t>Supports candidates,</w:t>
            </w:r>
          </w:p>
        </w:tc>
        <w:tc>
          <w:tcPr>
            <w:tcW w:w="0" w:type="dxa"/>
            <w:vAlign w:val="bottom"/>
          </w:tcPr>
          <w:p>
            <w:pPr>
              <w:spacing w:after="0"/>
              <w:rPr>
                <w:sz w:val="1"/>
                <w:szCs w:val="1"/>
                <w:color w:val="auto"/>
              </w:rPr>
            </w:pPr>
          </w:p>
        </w:tc>
      </w:tr>
      <w:tr>
        <w:trPr>
          <w:trHeight w:val="205"/>
        </w:trPr>
        <w:tc>
          <w:tcPr>
            <w:tcW w:w="1320" w:type="dxa"/>
            <w:vAlign w:val="bottom"/>
            <w:tcBorders>
              <w:right w:val="single" w:sz="8" w:color="377FA7"/>
            </w:tcBorders>
            <w:vMerge w:val="restart"/>
          </w:tcPr>
          <w:p>
            <w:pPr>
              <w:spacing w:after="0" w:line="456" w:lineRule="exact"/>
              <w:rPr>
                <w:sz w:val="20"/>
                <w:szCs w:val="20"/>
                <w:color w:val="auto"/>
              </w:rPr>
            </w:pPr>
            <w:r>
              <w:rPr>
                <w:rFonts w:ascii="Arial" w:cs="Arial" w:eastAsia="Arial" w:hAnsi="Arial"/>
                <w:sz w:val="52"/>
                <w:szCs w:val="52"/>
                <w:b w:val="1"/>
                <w:bCs w:val="1"/>
                <w:color w:val="377FA7"/>
              </w:rPr>
              <w:t>100</w:t>
            </w:r>
            <w:r>
              <w:rPr>
                <w:rFonts w:ascii="Arial" w:cs="Arial" w:eastAsia="Arial" w:hAnsi="Arial"/>
                <w:sz w:val="32"/>
                <w:szCs w:val="32"/>
                <w:color w:val="00004D"/>
              </w:rPr>
              <w:t>%</w:t>
            </w:r>
          </w:p>
        </w:tc>
        <w:tc>
          <w:tcPr>
            <w:tcW w:w="180" w:type="dxa"/>
            <w:vAlign w:val="bottom"/>
          </w:tcPr>
          <w:p>
            <w:pPr>
              <w:spacing w:after="0"/>
              <w:rPr>
                <w:sz w:val="17"/>
                <w:szCs w:val="17"/>
                <w:color w:val="auto"/>
              </w:rPr>
            </w:pPr>
          </w:p>
        </w:tc>
        <w:tc>
          <w:tcPr>
            <w:tcW w:w="2300" w:type="dxa"/>
            <w:vAlign w:val="bottom"/>
          </w:tcPr>
          <w:p>
            <w:pPr>
              <w:spacing w:after="0" w:line="205" w:lineRule="exact"/>
              <w:rPr>
                <w:sz w:val="20"/>
                <w:szCs w:val="20"/>
                <w:color w:val="auto"/>
              </w:rPr>
            </w:pPr>
            <w:r>
              <w:rPr>
                <w:rFonts w:ascii="Arial" w:cs="Arial" w:eastAsia="Arial" w:hAnsi="Arial"/>
                <w:sz w:val="18"/>
                <w:szCs w:val="18"/>
                <w:color w:val="auto"/>
              </w:rPr>
              <w:t>elected officials and</w:t>
            </w:r>
          </w:p>
        </w:tc>
        <w:tc>
          <w:tcPr>
            <w:tcW w:w="0" w:type="dxa"/>
            <w:vAlign w:val="bottom"/>
          </w:tcPr>
          <w:p>
            <w:pPr>
              <w:spacing w:after="0"/>
              <w:rPr>
                <w:sz w:val="1"/>
                <w:szCs w:val="1"/>
                <w:color w:val="auto"/>
              </w:rPr>
            </w:pPr>
          </w:p>
        </w:tc>
      </w:tr>
      <w:tr>
        <w:trPr>
          <w:trHeight w:val="252"/>
        </w:trPr>
        <w:tc>
          <w:tcPr>
            <w:tcW w:w="1320" w:type="dxa"/>
            <w:vAlign w:val="bottom"/>
            <w:tcBorders>
              <w:right w:val="single" w:sz="8" w:color="377FA7"/>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relevant legislation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31"/>
          <w:szCs w:val="31"/>
          <w:b w:val="1"/>
          <w:bCs w:val="1"/>
          <w:color w:val="377FA7"/>
        </w:rPr>
        <w:t>GOVERNANCE</w:t>
      </w:r>
    </w:p>
    <w:p>
      <w:pPr>
        <w:spacing w:after="0"/>
        <w:rPr>
          <w:sz w:val="20"/>
          <w:szCs w:val="20"/>
          <w:color w:val="auto"/>
        </w:rPr>
      </w:pPr>
      <w:r>
        <w:rPr>
          <w:rFonts w:ascii="Arial" w:cs="Arial" w:eastAsia="Arial" w:hAnsi="Arial"/>
          <w:sz w:val="21"/>
          <w:szCs w:val="21"/>
          <w:b w:val="1"/>
          <w:bCs w:val="1"/>
          <w:color w:val="00004D"/>
        </w:rPr>
        <w:t>Compliance</w:t>
      </w: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00004D"/>
        </w:rPr>
        <w:t>Code of Conduct</w:t>
      </w:r>
    </w:p>
    <w:p>
      <w:pPr>
        <w:ind w:right="1280"/>
        <w:spacing w:after="0" w:line="257" w:lineRule="auto"/>
        <w:rPr>
          <w:sz w:val="20"/>
          <w:szCs w:val="20"/>
          <w:color w:val="auto"/>
        </w:rPr>
      </w:pPr>
      <w:r>
        <w:rPr>
          <w:rFonts w:ascii="Arial" w:cs="Arial" w:eastAsia="Arial" w:hAnsi="Arial"/>
          <w:sz w:val="18"/>
          <w:szCs w:val="18"/>
          <w:color w:val="auto"/>
        </w:rPr>
        <w:t>Establishes guidelines for all Board members and employees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96520</wp:posOffset>
                </wp:positionV>
                <wp:extent cx="246253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2530"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6pt" to="194.25pt,7.6pt" o:allowincell="f" strokecolor="#377FA7" strokeweight="0.5pt"/>
            </w:pict>
          </mc:Fallback>
        </mc:AlternateConten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55"/>
        </w:trPr>
        <w:tc>
          <w:tcPr>
            <w:tcW w:w="1860" w:type="dxa"/>
            <w:vAlign w:val="bottom"/>
            <w:vMerge w:val="restart"/>
          </w:tcPr>
          <w:p>
            <w:pPr>
              <w:spacing w:after="0"/>
              <w:rPr>
                <w:sz w:val="20"/>
                <w:szCs w:val="20"/>
                <w:color w:val="auto"/>
              </w:rPr>
            </w:pPr>
            <w:r>
              <w:rPr>
                <w:rFonts w:ascii="Arial" w:cs="Arial" w:eastAsia="Arial" w:hAnsi="Arial"/>
                <w:sz w:val="21"/>
                <w:szCs w:val="21"/>
                <w:b w:val="1"/>
                <w:bCs w:val="1"/>
                <w:color w:val="00004D"/>
              </w:rPr>
              <w:t>Ethical Marketing</w:t>
            </w:r>
          </w:p>
        </w:tc>
        <w:tc>
          <w:tcPr>
            <w:tcW w:w="20" w:type="dxa"/>
            <w:vAlign w:val="bottom"/>
          </w:tcPr>
          <w:p>
            <w:pPr>
              <w:spacing w:after="0"/>
              <w:rPr>
                <w:sz w:val="4"/>
                <w:szCs w:val="4"/>
                <w:color w:val="auto"/>
              </w:rPr>
            </w:pPr>
          </w:p>
        </w:tc>
        <w:tc>
          <w:tcPr>
            <w:tcW w:w="2020" w:type="dxa"/>
            <w:vAlign w:val="bottom"/>
            <w:vMerge w:val="restart"/>
          </w:tcPr>
          <w:p>
            <w:pPr>
              <w:ind w:left="180"/>
              <w:spacing w:after="0"/>
              <w:rPr>
                <w:sz w:val="20"/>
                <w:szCs w:val="20"/>
                <w:color w:val="auto"/>
              </w:rPr>
            </w:pPr>
            <w:r>
              <w:rPr>
                <w:rFonts w:ascii="Arial" w:cs="Arial" w:eastAsia="Arial" w:hAnsi="Arial"/>
                <w:sz w:val="18"/>
                <w:szCs w:val="18"/>
                <w:b w:val="1"/>
                <w:bCs w:val="1"/>
                <w:color w:val="00004D"/>
              </w:rPr>
              <w:t>Health Care</w:t>
            </w:r>
          </w:p>
        </w:tc>
        <w:tc>
          <w:tcPr>
            <w:tcW w:w="0" w:type="dxa"/>
            <w:vAlign w:val="bottom"/>
          </w:tcPr>
          <w:p>
            <w:pPr>
              <w:spacing w:after="0"/>
              <w:rPr>
                <w:sz w:val="1"/>
                <w:szCs w:val="1"/>
                <w:color w:val="auto"/>
              </w:rPr>
            </w:pPr>
          </w:p>
        </w:tc>
      </w:tr>
      <w:tr>
        <w:trPr>
          <w:trHeight w:val="186"/>
        </w:trPr>
        <w:tc>
          <w:tcPr>
            <w:tcW w:w="1860" w:type="dxa"/>
            <w:vAlign w:val="bottom"/>
            <w:vMerge w:val="continue"/>
          </w:tcPr>
          <w:p>
            <w:pPr>
              <w:spacing w:after="0"/>
              <w:rPr>
                <w:sz w:val="16"/>
                <w:szCs w:val="16"/>
                <w:color w:val="auto"/>
              </w:rPr>
            </w:pPr>
          </w:p>
        </w:tc>
        <w:tc>
          <w:tcPr>
            <w:tcW w:w="20" w:type="dxa"/>
            <w:vAlign w:val="bottom"/>
            <w:shd w:val="clear" w:color="auto" w:fill="377FA7"/>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line="182" w:lineRule="exact"/>
              <w:rPr>
                <w:sz w:val="20"/>
                <w:szCs w:val="20"/>
                <w:color w:val="auto"/>
              </w:rPr>
            </w:pPr>
            <w:r>
              <w:rPr>
                <w:rFonts w:ascii="Arial" w:cs="Arial" w:eastAsia="Arial" w:hAnsi="Arial"/>
                <w:sz w:val="18"/>
                <w:szCs w:val="18"/>
                <w:color w:val="auto"/>
              </w:rPr>
              <w:t>No government</w:t>
            </w:r>
          </w:p>
        </w:tc>
        <w:tc>
          <w:tcPr>
            <w:tcW w:w="20" w:type="dxa"/>
            <w:vAlign w:val="bottom"/>
            <w:shd w:val="clear" w:color="auto" w:fill="377FA7"/>
          </w:tcPr>
          <w:p>
            <w:pPr>
              <w:spacing w:after="0"/>
              <w:rPr>
                <w:sz w:val="15"/>
                <w:szCs w:val="15"/>
                <w:color w:val="auto"/>
              </w:rPr>
            </w:pPr>
          </w:p>
        </w:tc>
        <w:tc>
          <w:tcPr>
            <w:tcW w:w="2020" w:type="dxa"/>
            <w:vAlign w:val="bottom"/>
          </w:tcPr>
          <w:p>
            <w:pPr>
              <w:ind w:left="180"/>
              <w:spacing w:after="0" w:line="182" w:lineRule="exact"/>
              <w:rPr>
                <w:sz w:val="20"/>
                <w:szCs w:val="20"/>
                <w:color w:val="auto"/>
              </w:rPr>
            </w:pPr>
            <w:r>
              <w:rPr>
                <w:rFonts w:ascii="Arial" w:cs="Arial" w:eastAsia="Arial" w:hAnsi="Arial"/>
                <w:sz w:val="18"/>
                <w:szCs w:val="18"/>
                <w:b w:val="1"/>
                <w:bCs w:val="1"/>
                <w:color w:val="00004D"/>
              </w:rPr>
              <w:t>Professionals</w:t>
            </w:r>
          </w:p>
        </w:tc>
        <w:tc>
          <w:tcPr>
            <w:tcW w:w="0" w:type="dxa"/>
            <w:vAlign w:val="bottom"/>
          </w:tcPr>
          <w:p>
            <w:pPr>
              <w:spacing w:after="0"/>
              <w:rPr>
                <w:sz w:val="1"/>
                <w:szCs w:val="1"/>
                <w:color w:val="auto"/>
              </w:rPr>
            </w:pPr>
          </w:p>
        </w:tc>
      </w:tr>
      <w:tr>
        <w:trPr>
          <w:trHeight w:val="181"/>
        </w:trPr>
        <w:tc>
          <w:tcPr>
            <w:tcW w:w="1860" w:type="dxa"/>
            <w:vAlign w:val="bottom"/>
          </w:tcPr>
          <w:p>
            <w:pPr>
              <w:spacing w:after="0" w:line="182" w:lineRule="exact"/>
              <w:rPr>
                <w:sz w:val="20"/>
                <w:szCs w:val="20"/>
                <w:color w:val="auto"/>
              </w:rPr>
            </w:pPr>
            <w:r>
              <w:rPr>
                <w:rFonts w:ascii="Arial" w:cs="Arial" w:eastAsia="Arial" w:hAnsi="Arial"/>
                <w:sz w:val="18"/>
                <w:szCs w:val="18"/>
                <w:color w:val="auto"/>
              </w:rPr>
              <w:t>judgments, decrees</w:t>
            </w:r>
          </w:p>
        </w:tc>
        <w:tc>
          <w:tcPr>
            <w:tcW w:w="20" w:type="dxa"/>
            <w:vAlign w:val="bottom"/>
            <w:shd w:val="clear" w:color="auto" w:fill="377FA7"/>
          </w:tcPr>
          <w:p>
            <w:pPr>
              <w:spacing w:after="0"/>
              <w:rPr>
                <w:sz w:val="15"/>
                <w:szCs w:val="15"/>
                <w:color w:val="auto"/>
              </w:rPr>
            </w:pPr>
          </w:p>
        </w:tc>
        <w:tc>
          <w:tcPr>
            <w:tcW w:w="2020" w:type="dxa"/>
            <w:vAlign w:val="bottom"/>
          </w:tcPr>
          <w:p>
            <w:pPr>
              <w:ind w:left="180"/>
              <w:spacing w:after="0" w:line="182" w:lineRule="exact"/>
              <w:rPr>
                <w:sz w:val="20"/>
                <w:szCs w:val="20"/>
                <w:color w:val="auto"/>
              </w:rPr>
            </w:pPr>
            <w:r>
              <w:rPr>
                <w:rFonts w:ascii="Arial" w:cs="Arial" w:eastAsia="Arial" w:hAnsi="Arial"/>
                <w:sz w:val="18"/>
                <w:szCs w:val="18"/>
                <w:color w:val="auto"/>
              </w:rPr>
              <w:t>All reports regarding</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Arial" w:cs="Arial" w:eastAsia="Arial" w:hAnsi="Arial"/>
                <w:sz w:val="18"/>
                <w:szCs w:val="18"/>
                <w:color w:val="auto"/>
              </w:rPr>
              <w:t>or fines</w:t>
            </w:r>
          </w:p>
        </w:tc>
        <w:tc>
          <w:tcPr>
            <w:tcW w:w="20" w:type="dxa"/>
            <w:vAlign w:val="bottom"/>
            <w:shd w:val="clear" w:color="auto" w:fill="377FA7"/>
          </w:tcPr>
          <w:p>
            <w:pPr>
              <w:spacing w:after="0"/>
              <w:rPr>
                <w:sz w:val="17"/>
                <w:szCs w:val="17"/>
                <w:color w:val="auto"/>
              </w:rPr>
            </w:pPr>
          </w:p>
        </w:tc>
        <w:tc>
          <w:tcPr>
            <w:tcW w:w="2020" w:type="dxa"/>
            <w:vAlign w:val="bottom"/>
          </w:tcPr>
          <w:p>
            <w:pPr>
              <w:ind w:left="180"/>
              <w:spacing w:after="0" w:line="203" w:lineRule="exact"/>
              <w:rPr>
                <w:sz w:val="20"/>
                <w:szCs w:val="20"/>
                <w:color w:val="auto"/>
              </w:rPr>
            </w:pPr>
            <w:r>
              <w:rPr>
                <w:rFonts w:ascii="Arial" w:cs="Arial" w:eastAsia="Arial" w:hAnsi="Arial"/>
                <w:sz w:val="18"/>
                <w:szCs w:val="18"/>
                <w:color w:val="auto"/>
              </w:rPr>
              <w:t>relations filed on time</w:t>
            </w:r>
          </w:p>
        </w:tc>
        <w:tc>
          <w:tcPr>
            <w:tcW w:w="0" w:type="dxa"/>
            <w:vAlign w:val="bottom"/>
          </w:tcPr>
          <w:p>
            <w:pPr>
              <w:spacing w:after="0"/>
              <w:rPr>
                <w:sz w:val="1"/>
                <w:szCs w:val="1"/>
                <w:color w:val="auto"/>
              </w:rPr>
            </w:pPr>
          </w:p>
        </w:tc>
      </w:tr>
    </w:tbl>
    <w:p>
      <w:pPr>
        <w:sectPr>
          <w:pgSz w:w="12240" w:h="15840" w:orient="portrait"/>
          <w:cols w:equalWidth="0" w:num="3">
            <w:col w:w="2340" w:space="320"/>
            <w:col w:w="3800" w:space="440"/>
            <w:col w:w="3980"/>
          </w:cols>
          <w:pgMar w:left="700" w:top="744" w:right="660" w:bottom="106" w:gutter="0" w:footer="0" w:header="0"/>
          <w:type w:val="continuous"/>
        </w:sectPr>
      </w:pPr>
    </w:p>
    <w:bookmarkStart w:id="12" w:name="page13"/>
    <w:bookmarkEnd w:id="12"/>
    <w:p>
      <w:pPr>
        <w:spacing w:after="0"/>
        <w:rPr>
          <w:sz w:val="20"/>
          <w:szCs w:val="20"/>
          <w:color w:val="auto"/>
        </w:rPr>
      </w:pPr>
      <w:r>
        <w:rPr>
          <w:rFonts w:ascii="Arial" w:cs="Arial" w:eastAsia="Arial" w:hAnsi="Arial"/>
          <w:sz w:val="54"/>
          <w:szCs w:val="5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4273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7772400" cy="4273550"/>
                    </a:xfrm>
                    <a:prstGeom prst="rect">
                      <a:avLst/>
                    </a:prstGeom>
                    <a:noFill/>
                  </pic:spPr>
                </pic:pic>
              </a:graphicData>
            </a:graphic>
          </wp:anchor>
        </w:drawing>
        <w:t>Selected Financial Data</w:t>
      </w:r>
    </w:p>
    <w:p>
      <w:pPr>
        <w:spacing w:after="0" w:line="298" w:lineRule="exact"/>
        <w:rPr>
          <w:sz w:val="20"/>
          <w:szCs w:val="20"/>
          <w:color w:val="auto"/>
        </w:rPr>
      </w:pPr>
    </w:p>
    <w:p>
      <w:pPr>
        <w:ind w:right="860"/>
        <w:spacing w:after="0" w:line="288" w:lineRule="auto"/>
        <w:rPr>
          <w:sz w:val="20"/>
          <w:szCs w:val="20"/>
          <w:color w:val="auto"/>
        </w:rPr>
      </w:pPr>
      <w:r>
        <w:rPr>
          <w:rFonts w:ascii="Arial" w:cs="Arial" w:eastAsia="Arial" w:hAnsi="Arial"/>
          <w:sz w:val="22"/>
          <w:szCs w:val="22"/>
          <w:color w:val="FFFFFF"/>
        </w:rPr>
        <w:t>Our strategy involves maximizing the potential of our existing brands while continuing to build a portfolio of unique, differentiated products. The result of these efforts has strengthened our market presence and diversified our revenue stream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900" w:type="dxa"/>
        <w:tblCellMar>
          <w:top w:w="0" w:type="dxa"/>
          <w:left w:w="0" w:type="dxa"/>
          <w:bottom w:w="0" w:type="dxa"/>
          <w:right w:w="0" w:type="dxa"/>
        </w:tblCellMar>
      </w:tblPr>
      <w:tr>
        <w:trPr>
          <w:trHeight w:val="219"/>
        </w:trPr>
        <w:tc>
          <w:tcPr>
            <w:tcW w:w="352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2021</w:t>
            </w:r>
          </w:p>
        </w:tc>
        <w:tc>
          <w:tcPr>
            <w:tcW w:w="60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2022</w:t>
            </w:r>
          </w:p>
        </w:tc>
        <w:tc>
          <w:tcPr>
            <w:tcW w:w="60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00004D"/>
              </w:rPr>
              <w:t>2025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520" w:type="dxa"/>
            <w:vAlign w:val="bottom"/>
            <w:tcBorders>
              <w:bottom w:val="single" w:sz="8" w:color="00004D"/>
            </w:tcBorders>
          </w:tcPr>
          <w:p>
            <w:pPr>
              <w:spacing w:after="0"/>
              <w:rPr>
                <w:sz w:val="6"/>
                <w:szCs w:val="6"/>
                <w:color w:val="auto"/>
              </w:rPr>
            </w:pPr>
          </w:p>
        </w:tc>
        <w:tc>
          <w:tcPr>
            <w:tcW w:w="40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56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340" w:type="dxa"/>
            <w:vAlign w:val="bottom"/>
            <w:tcBorders>
              <w:bottom w:val="single" w:sz="8" w:color="00004D"/>
            </w:tcBorders>
          </w:tcPr>
          <w:p>
            <w:pPr>
              <w:spacing w:after="0"/>
              <w:rPr>
                <w:sz w:val="6"/>
                <w:szCs w:val="6"/>
                <w:color w:val="auto"/>
              </w:rPr>
            </w:pPr>
          </w:p>
        </w:tc>
        <w:tc>
          <w:tcPr>
            <w:tcW w:w="48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520" w:type="dxa"/>
            <w:vAlign w:val="bottom"/>
          </w:tcPr>
          <w:p>
            <w:pPr>
              <w:ind w:left="60"/>
              <w:spacing w:after="0"/>
              <w:rPr>
                <w:sz w:val="20"/>
                <w:szCs w:val="20"/>
                <w:color w:val="auto"/>
              </w:rPr>
            </w:pPr>
            <w:r>
              <w:rPr>
                <w:rFonts w:ascii="Arial" w:cs="Arial" w:eastAsia="Arial" w:hAnsi="Arial"/>
                <w:sz w:val="16"/>
                <w:szCs w:val="16"/>
                <w:color w:val="00004D"/>
              </w:rPr>
              <w:t>Net Revenues</w:t>
            </w: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$35,985</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w w:val="96"/>
              </w:rPr>
              <w:t>$42,011</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$39,553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$37,868</w:t>
            </w:r>
          </w:p>
        </w:tc>
        <w:tc>
          <w:tcPr>
            <w:tcW w:w="2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$44,521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20" w:type="dxa"/>
            <w:vAlign w:val="bottom"/>
          </w:tcPr>
          <w:p>
            <w:pPr>
              <w:ind w:left="60"/>
              <w:spacing w:after="0"/>
              <w:rPr>
                <w:sz w:val="20"/>
                <w:szCs w:val="20"/>
                <w:color w:val="auto"/>
              </w:rPr>
            </w:pPr>
            <w:r>
              <w:rPr>
                <w:rFonts w:ascii="Arial" w:cs="Arial" w:eastAsia="Arial" w:hAnsi="Arial"/>
                <w:sz w:val="16"/>
                <w:szCs w:val="16"/>
                <w:color w:val="00004D"/>
              </w:rPr>
              <w:t>Less Total Expenses</w:t>
            </w: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39,493</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47,661</w:t>
            </w:r>
          </w:p>
        </w:tc>
        <w:tc>
          <w:tcPr>
            <w:tcW w:w="580" w:type="dxa"/>
            <w:vAlign w:val="bottom"/>
          </w:tcPr>
          <w:p>
            <w:pPr>
              <w:jc w:val="right"/>
              <w:spacing w:after="0"/>
              <w:rPr>
                <w:sz w:val="20"/>
                <w:szCs w:val="20"/>
                <w:color w:val="auto"/>
              </w:rPr>
            </w:pPr>
            <w:r>
              <w:rPr>
                <w:rFonts w:ascii="Arial" w:cs="Arial" w:eastAsia="Arial" w:hAnsi="Arial"/>
                <w:sz w:val="16"/>
                <w:szCs w:val="16"/>
                <w:color w:val="auto"/>
              </w:rPr>
              <w:t>45,884</w:t>
            </w:r>
          </w:p>
        </w:tc>
        <w:tc>
          <w:tcPr>
            <w:tcW w:w="3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44,312</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47,386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520" w:type="dxa"/>
            <w:vAlign w:val="bottom"/>
            <w:vMerge w:val="restart"/>
          </w:tcPr>
          <w:p>
            <w:pPr>
              <w:ind w:left="60"/>
              <w:spacing w:after="0"/>
              <w:rPr>
                <w:sz w:val="20"/>
                <w:szCs w:val="20"/>
                <w:color w:val="auto"/>
              </w:rPr>
            </w:pPr>
            <w:r>
              <w:rPr>
                <w:rFonts w:ascii="Arial" w:cs="Arial" w:eastAsia="Arial" w:hAnsi="Arial"/>
                <w:sz w:val="16"/>
                <w:szCs w:val="16"/>
                <w:color w:val="00004D"/>
              </w:rPr>
              <w:t>Net Income (Loss)</w:t>
            </w:r>
          </w:p>
        </w:tc>
        <w:tc>
          <w:tcPr>
            <w:tcW w:w="4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00004D"/>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(3,508)</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(5,650)</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(6,331)</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(6,444)</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(2,865)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3520" w:type="dxa"/>
            <w:vAlign w:val="bottom"/>
          </w:tcPr>
          <w:p>
            <w:pPr>
              <w:ind w:left="60"/>
              <w:spacing w:after="0"/>
              <w:rPr>
                <w:sz w:val="20"/>
                <w:szCs w:val="20"/>
                <w:color w:val="auto"/>
              </w:rPr>
            </w:pPr>
            <w:r>
              <w:rPr>
                <w:rFonts w:ascii="Arial" w:cs="Arial" w:eastAsia="Arial" w:hAnsi="Arial"/>
                <w:sz w:val="16"/>
                <w:szCs w:val="16"/>
                <w:color w:val="00004D"/>
              </w:rPr>
              <w:t>Cash Flow from Operating Activities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6,342</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8,453</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6,094</w:t>
            </w:r>
          </w:p>
        </w:tc>
        <w:tc>
          <w:tcPr>
            <w:tcW w:w="3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(612)</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4,932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20" w:type="dxa"/>
            <w:vAlign w:val="bottom"/>
          </w:tcPr>
          <w:p>
            <w:pPr>
              <w:ind w:left="60"/>
              <w:spacing w:after="0"/>
              <w:rPr>
                <w:sz w:val="20"/>
                <w:szCs w:val="20"/>
                <w:color w:val="auto"/>
              </w:rPr>
            </w:pPr>
            <w:r>
              <w:rPr>
                <w:rFonts w:ascii="Arial" w:cs="Arial" w:eastAsia="Arial" w:hAnsi="Arial"/>
                <w:sz w:val="16"/>
                <w:szCs w:val="16"/>
                <w:color w:val="00004D"/>
              </w:rPr>
              <w:t>Total Assets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84,460</w:t>
            </w:r>
          </w:p>
        </w:tc>
        <w:tc>
          <w:tcPr>
            <w:tcW w:w="60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92,925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81,776</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75,583</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76,824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60"/>
              <w:spacing w:after="0"/>
              <w:rPr>
                <w:sz w:val="20"/>
                <w:szCs w:val="20"/>
                <w:color w:val="auto"/>
              </w:rPr>
            </w:pPr>
            <w:r>
              <w:rPr>
                <w:rFonts w:ascii="Arial" w:cs="Arial" w:eastAsia="Arial" w:hAnsi="Arial"/>
                <w:sz w:val="16"/>
                <w:szCs w:val="16"/>
                <w:color w:val="00004D"/>
              </w:rPr>
              <w:t>Total Liabilities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41,858</w:t>
            </w:r>
          </w:p>
        </w:tc>
        <w:tc>
          <w:tcPr>
            <w:tcW w:w="60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56,951</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52,516</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53,037</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52,280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60"/>
              <w:spacing w:after="0"/>
              <w:rPr>
                <w:sz w:val="20"/>
                <w:szCs w:val="20"/>
                <w:color w:val="auto"/>
              </w:rPr>
            </w:pPr>
            <w:r>
              <w:rPr>
                <w:rFonts w:ascii="Arial" w:cs="Arial" w:eastAsia="Arial" w:hAnsi="Arial"/>
                <w:sz w:val="16"/>
                <w:szCs w:val="16"/>
                <w:color w:val="00004D"/>
              </w:rPr>
              <w:t>Total Equity</w:t>
            </w: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42,602</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35,974</w:t>
            </w:r>
          </w:p>
        </w:tc>
        <w:tc>
          <w:tcPr>
            <w:tcW w:w="580" w:type="dxa"/>
            <w:vAlign w:val="bottom"/>
          </w:tcPr>
          <w:p>
            <w:pPr>
              <w:jc w:val="right"/>
              <w:spacing w:after="0"/>
              <w:rPr>
                <w:sz w:val="20"/>
                <w:szCs w:val="20"/>
                <w:color w:val="auto"/>
              </w:rPr>
            </w:pPr>
            <w:r>
              <w:rPr>
                <w:rFonts w:ascii="Arial" w:cs="Arial" w:eastAsia="Arial" w:hAnsi="Arial"/>
                <w:sz w:val="16"/>
                <w:szCs w:val="16"/>
                <w:color w:val="auto"/>
              </w:rPr>
              <w:t>29,260</w:t>
            </w:r>
          </w:p>
        </w:tc>
        <w:tc>
          <w:tcPr>
            <w:tcW w:w="3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22,546</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24,544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592455</wp:posOffset>
            </wp:positionV>
            <wp:extent cx="4912360" cy="5287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4912360" cy="528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60" w:right="2840"/>
        <w:spacing w:after="0" w:line="300" w:lineRule="auto"/>
        <w:rPr>
          <w:sz w:val="20"/>
          <w:szCs w:val="20"/>
          <w:color w:val="auto"/>
        </w:rPr>
      </w:pPr>
      <w:r>
        <w:rPr>
          <w:rFonts w:ascii="Arial" w:cs="Arial" w:eastAsia="Arial" w:hAnsi="Arial"/>
          <w:sz w:val="18"/>
          <w:szCs w:val="18"/>
          <w:color w:val="auto"/>
        </w:rPr>
        <w:t xml:space="preserve">Reconciliation of Net Income (Loss) Attributable to Common Shareholders to Adjusted Earnings and Adjusted Diluted Earnings Per Share </w:t>
      </w:r>
      <w:r>
        <w:rPr>
          <w:rFonts w:ascii="Arial" w:cs="Arial" w:eastAsia="Arial" w:hAnsi="Arial"/>
          <w:sz w:val="10"/>
          <w:szCs w:val="10"/>
          <w:color w:val="auto"/>
        </w:rPr>
        <w:t>(1)</w:t>
      </w:r>
      <w:r>
        <w:rPr>
          <w:rFonts w:ascii="Arial" w:cs="Arial" w:eastAsia="Arial" w:hAnsi="Arial"/>
          <w:sz w:val="18"/>
          <w:szCs w:val="18"/>
          <w:color w:val="auto"/>
        </w:rPr>
        <w:t xml:space="preserve"> (Unaudited)</w:t>
      </w:r>
    </w:p>
    <w:p>
      <w:pPr>
        <w:spacing w:after="0" w:line="200" w:lineRule="exact"/>
        <w:rPr>
          <w:sz w:val="20"/>
          <w:szCs w:val="20"/>
          <w:color w:val="auto"/>
        </w:rPr>
      </w:pPr>
    </w:p>
    <w:p>
      <w:pPr>
        <w:spacing w:after="0" w:line="210" w:lineRule="exact"/>
        <w:rPr>
          <w:sz w:val="20"/>
          <w:szCs w:val="20"/>
          <w:color w:val="auto"/>
        </w:rPr>
      </w:pPr>
    </w:p>
    <w:tbl>
      <w:tblPr>
        <w:tblLayout w:type="fixed"/>
        <w:tblInd w:w="900" w:type="dxa"/>
        <w:tblCellMar>
          <w:top w:w="0" w:type="dxa"/>
          <w:left w:w="0" w:type="dxa"/>
          <w:bottom w:w="0" w:type="dxa"/>
          <w:right w:w="0" w:type="dxa"/>
        </w:tblCellMar>
      </w:tblPr>
      <w:tr>
        <w:trPr>
          <w:trHeight w:val="219"/>
        </w:trPr>
        <w:tc>
          <w:tcPr>
            <w:tcW w:w="354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2022</w:t>
            </w:r>
          </w:p>
        </w:tc>
        <w:tc>
          <w:tcPr>
            <w:tcW w:w="60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00004D"/>
              </w:rPr>
              <w:t>2025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540" w:type="dxa"/>
            <w:vAlign w:val="bottom"/>
            <w:tcBorders>
              <w:bottom w:val="single" w:sz="8" w:color="00004D"/>
            </w:tcBorders>
          </w:tcPr>
          <w:p>
            <w:pPr>
              <w:spacing w:after="0"/>
              <w:rPr>
                <w:sz w:val="6"/>
                <w:szCs w:val="6"/>
                <w:color w:val="auto"/>
              </w:rPr>
            </w:pPr>
          </w:p>
        </w:tc>
        <w:tc>
          <w:tcPr>
            <w:tcW w:w="38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280" w:type="dxa"/>
            <w:vAlign w:val="bottom"/>
            <w:tcBorders>
              <w:bottom w:val="single" w:sz="8" w:color="00004D"/>
            </w:tcBorders>
          </w:tcPr>
          <w:p>
            <w:pPr>
              <w:spacing w:after="0"/>
              <w:rPr>
                <w:sz w:val="6"/>
                <w:szCs w:val="6"/>
                <w:color w:val="auto"/>
              </w:rPr>
            </w:pPr>
          </w:p>
        </w:tc>
        <w:tc>
          <w:tcPr>
            <w:tcW w:w="320" w:type="dxa"/>
            <w:vAlign w:val="bottom"/>
            <w:tcBorders>
              <w:bottom w:val="single" w:sz="8" w:color="00004D"/>
            </w:tcBorders>
          </w:tcPr>
          <w:p>
            <w:pPr>
              <w:spacing w:after="0"/>
              <w:rPr>
                <w:sz w:val="6"/>
                <w:szCs w:val="6"/>
                <w:color w:val="auto"/>
              </w:rPr>
            </w:pPr>
          </w:p>
        </w:tc>
        <w:tc>
          <w:tcPr>
            <w:tcW w:w="54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360" w:type="dxa"/>
            <w:vAlign w:val="bottom"/>
            <w:tcBorders>
              <w:bottom w:val="single" w:sz="8" w:color="00004D"/>
            </w:tcBorders>
          </w:tcPr>
          <w:p>
            <w:pPr>
              <w:spacing w:after="0"/>
              <w:rPr>
                <w:sz w:val="6"/>
                <w:szCs w:val="6"/>
                <w:color w:val="auto"/>
              </w:rPr>
            </w:pPr>
          </w:p>
        </w:tc>
        <w:tc>
          <w:tcPr>
            <w:tcW w:w="460" w:type="dxa"/>
            <w:vAlign w:val="bottom"/>
            <w:tcBorders>
              <w:bottom w:val="single" w:sz="8" w:color="00004D"/>
            </w:tcBorders>
          </w:tcPr>
          <w:p>
            <w:pPr>
              <w:spacing w:after="0"/>
              <w:rPr>
                <w:sz w:val="6"/>
                <w:szCs w:val="6"/>
                <w:color w:val="auto"/>
              </w:rPr>
            </w:pPr>
          </w:p>
        </w:tc>
        <w:tc>
          <w:tcPr>
            <w:tcW w:w="28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60"/>
              <w:spacing w:after="0"/>
              <w:rPr>
                <w:sz w:val="20"/>
                <w:szCs w:val="20"/>
                <w:color w:val="auto"/>
              </w:rPr>
            </w:pPr>
            <w:r>
              <w:rPr>
                <w:rFonts w:ascii="Arial" w:cs="Arial" w:eastAsia="Arial" w:hAnsi="Arial"/>
                <w:sz w:val="16"/>
                <w:szCs w:val="16"/>
                <w:color w:val="00004D"/>
              </w:rPr>
              <w:t>Net Income (Loss) from Continuing</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540" w:type="dxa"/>
            <w:vAlign w:val="bottom"/>
          </w:tcPr>
          <w:p>
            <w:pPr>
              <w:ind w:left="200"/>
              <w:spacing w:after="0"/>
              <w:rPr>
                <w:sz w:val="20"/>
                <w:szCs w:val="20"/>
                <w:color w:val="auto"/>
              </w:rPr>
            </w:pPr>
            <w:r>
              <w:rPr>
                <w:rFonts w:ascii="Arial" w:cs="Arial" w:eastAsia="Arial" w:hAnsi="Arial"/>
                <w:sz w:val="16"/>
                <w:szCs w:val="16"/>
                <w:color w:val="00004D"/>
              </w:rPr>
              <w:t>Operations</w:t>
            </w: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($5,597)</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($5,650)</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3"/>
              </w:rPr>
              <w:t>($6,331)</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($6,444)</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($2,865)</w:t>
            </w:r>
          </w:p>
        </w:tc>
        <w:tc>
          <w:tcPr>
            <w:tcW w:w="0" w:type="dxa"/>
            <w:vAlign w:val="bottom"/>
          </w:tcPr>
          <w:p>
            <w:pPr>
              <w:spacing w:after="0"/>
              <w:rPr>
                <w:sz w:val="1"/>
                <w:szCs w:val="1"/>
                <w:color w:val="auto"/>
              </w:rPr>
            </w:pPr>
          </w:p>
        </w:tc>
      </w:tr>
      <w:tr>
        <w:trPr>
          <w:trHeight w:val="242"/>
        </w:trPr>
        <w:tc>
          <w:tcPr>
            <w:tcW w:w="3540" w:type="dxa"/>
            <w:vAlign w:val="bottom"/>
          </w:tcPr>
          <w:p>
            <w:pPr>
              <w:ind w:left="60"/>
              <w:spacing w:after="0"/>
              <w:rPr>
                <w:sz w:val="20"/>
                <w:szCs w:val="20"/>
                <w:color w:val="auto"/>
              </w:rPr>
            </w:pPr>
            <w:r>
              <w:rPr>
                <w:rFonts w:ascii="Arial" w:cs="Arial" w:eastAsia="Arial" w:hAnsi="Arial"/>
                <w:sz w:val="16"/>
                <w:szCs w:val="16"/>
                <w:color w:val="00004D"/>
              </w:rPr>
              <w:t>Adjustments to Net Income (Loss)</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540" w:type="dxa"/>
            <w:vAlign w:val="bottom"/>
          </w:tcPr>
          <w:p>
            <w:pPr>
              <w:ind w:left="260"/>
              <w:spacing w:after="0"/>
              <w:rPr>
                <w:sz w:val="20"/>
                <w:szCs w:val="20"/>
                <w:color w:val="auto"/>
              </w:rPr>
            </w:pPr>
            <w:r>
              <w:rPr>
                <w:rFonts w:ascii="Arial" w:cs="Arial" w:eastAsia="Arial" w:hAnsi="Arial"/>
                <w:sz w:val="16"/>
                <w:szCs w:val="16"/>
                <w:color w:val="00004D"/>
              </w:rPr>
              <w:t>Income Tax Expense (Benefit)</w:t>
            </w: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35</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69</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46</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(23)</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40</w:t>
            </w:r>
          </w:p>
        </w:tc>
        <w:tc>
          <w:tcPr>
            <w:tcW w:w="0" w:type="dxa"/>
            <w:vAlign w:val="bottom"/>
          </w:tcPr>
          <w:p>
            <w:pPr>
              <w:spacing w:after="0"/>
              <w:rPr>
                <w:sz w:val="1"/>
                <w:szCs w:val="1"/>
                <w:color w:val="auto"/>
              </w:rPr>
            </w:pPr>
          </w:p>
        </w:tc>
      </w:tr>
      <w:tr>
        <w:trPr>
          <w:trHeight w:val="282"/>
        </w:trPr>
        <w:tc>
          <w:tcPr>
            <w:tcW w:w="3540" w:type="dxa"/>
            <w:vAlign w:val="bottom"/>
          </w:tcPr>
          <w:p>
            <w:pPr>
              <w:ind w:left="260"/>
              <w:spacing w:after="0"/>
              <w:rPr>
                <w:sz w:val="20"/>
                <w:szCs w:val="20"/>
                <w:color w:val="auto"/>
              </w:rPr>
            </w:pPr>
            <w:r>
              <w:rPr>
                <w:rFonts w:ascii="Arial" w:cs="Arial" w:eastAsia="Arial" w:hAnsi="Arial"/>
                <w:sz w:val="16"/>
                <w:szCs w:val="16"/>
                <w:color w:val="00004D"/>
              </w:rPr>
              <w:t>Depreciation and Amortization</w:t>
            </w: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4,606</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5,328</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8,280</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4,902</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4,145</w:t>
            </w:r>
          </w:p>
        </w:tc>
        <w:tc>
          <w:tcPr>
            <w:tcW w:w="0" w:type="dxa"/>
            <w:vAlign w:val="bottom"/>
          </w:tcPr>
          <w:p>
            <w:pPr>
              <w:spacing w:after="0"/>
              <w:rPr>
                <w:sz w:val="1"/>
                <w:szCs w:val="1"/>
                <w:color w:val="auto"/>
              </w:rPr>
            </w:pPr>
          </w:p>
        </w:tc>
      </w:tr>
      <w:tr>
        <w:trPr>
          <w:trHeight w:val="282"/>
        </w:trPr>
        <w:tc>
          <w:tcPr>
            <w:tcW w:w="3540" w:type="dxa"/>
            <w:vAlign w:val="bottom"/>
          </w:tcPr>
          <w:p>
            <w:pPr>
              <w:ind w:left="260"/>
              <w:spacing w:after="0"/>
              <w:rPr>
                <w:sz w:val="20"/>
                <w:szCs w:val="20"/>
                <w:color w:val="auto"/>
              </w:rPr>
            </w:pPr>
            <w:r>
              <w:rPr>
                <w:rFonts w:ascii="Arial" w:cs="Arial" w:eastAsia="Arial" w:hAnsi="Arial"/>
                <w:sz w:val="16"/>
                <w:szCs w:val="16"/>
                <w:color w:val="00004D"/>
              </w:rPr>
              <w:t>Share-Based Compensation</w:t>
            </w: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742</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447</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365</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302</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408</w:t>
            </w:r>
          </w:p>
        </w:tc>
        <w:tc>
          <w:tcPr>
            <w:tcW w:w="0" w:type="dxa"/>
            <w:vAlign w:val="bottom"/>
          </w:tcPr>
          <w:p>
            <w:pPr>
              <w:spacing w:after="0"/>
              <w:rPr>
                <w:sz w:val="1"/>
                <w:szCs w:val="1"/>
                <w:color w:val="auto"/>
              </w:rPr>
            </w:pPr>
          </w:p>
        </w:tc>
      </w:tr>
      <w:tr>
        <w:trPr>
          <w:trHeight w:val="282"/>
        </w:trPr>
        <w:tc>
          <w:tcPr>
            <w:tcW w:w="3540" w:type="dxa"/>
            <w:vAlign w:val="bottom"/>
          </w:tcPr>
          <w:p>
            <w:pPr>
              <w:ind w:left="260"/>
              <w:spacing w:after="0"/>
              <w:rPr>
                <w:sz w:val="20"/>
                <w:szCs w:val="20"/>
                <w:color w:val="auto"/>
              </w:rPr>
            </w:pPr>
            <w:r>
              <w:rPr>
                <w:rFonts w:ascii="Arial" w:cs="Arial" w:eastAsia="Arial" w:hAnsi="Arial"/>
                <w:sz w:val="16"/>
                <w:szCs w:val="16"/>
                <w:color w:val="00004D"/>
              </w:rPr>
              <w:t xml:space="preserve">Other Adjustments to Net Income </w:t>
            </w:r>
            <w:r>
              <w:rPr>
                <w:rFonts w:ascii="Arial" w:cs="Arial" w:eastAsia="Arial" w:hAnsi="Arial"/>
                <w:sz w:val="9"/>
                <w:szCs w:val="9"/>
                <w:color w:val="00004D"/>
              </w:rPr>
              <w:t>(1)</w:t>
            </w: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(1,051)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1,368</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40" w:type="dxa"/>
            <w:vAlign w:val="bottom"/>
          </w:tcPr>
          <w:p>
            <w:pPr>
              <w:ind w:left="260"/>
              <w:spacing w:after="0"/>
              <w:rPr>
                <w:sz w:val="20"/>
                <w:szCs w:val="20"/>
                <w:color w:val="auto"/>
              </w:rPr>
            </w:pPr>
            <w:r>
              <w:rPr>
                <w:rFonts w:ascii="Arial" w:cs="Arial" w:eastAsia="Arial" w:hAnsi="Arial"/>
                <w:sz w:val="16"/>
                <w:szCs w:val="16"/>
                <w:color w:val="00004D"/>
              </w:rPr>
              <w:t>Interest Income</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(334)</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(476)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40" w:type="dxa"/>
            <w:vAlign w:val="bottom"/>
          </w:tcPr>
          <w:p>
            <w:pPr>
              <w:ind w:left="260"/>
              <w:spacing w:after="0"/>
              <w:rPr>
                <w:sz w:val="20"/>
                <w:szCs w:val="20"/>
                <w:color w:val="auto"/>
              </w:rPr>
            </w:pPr>
            <w:r>
              <w:rPr>
                <w:rFonts w:ascii="Arial" w:cs="Arial" w:eastAsia="Arial" w:hAnsi="Arial"/>
                <w:sz w:val="16"/>
                <w:szCs w:val="16"/>
                <w:color w:val="00004D"/>
              </w:rPr>
              <w:t>Interest Expense</w:t>
            </w: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586</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606</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496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60"/>
              <w:spacing w:after="0"/>
              <w:rPr>
                <w:sz w:val="20"/>
                <w:szCs w:val="20"/>
                <w:color w:val="auto"/>
              </w:rPr>
            </w:pPr>
            <w:r>
              <w:rPr>
                <w:rFonts w:ascii="Arial" w:cs="Arial" w:eastAsia="Arial" w:hAnsi="Arial"/>
                <w:sz w:val="16"/>
                <w:szCs w:val="16"/>
                <w:color w:val="00004D"/>
              </w:rPr>
              <w:t>Adjusted Earnings</w:t>
            </w: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4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40" w:type="dxa"/>
            <w:vAlign w:val="bottom"/>
            <w:vMerge w:val="continue"/>
          </w:tcPr>
          <w:p>
            <w:pPr>
              <w:spacing w:after="0"/>
              <w:rPr>
                <w:sz w:val="19"/>
                <w:szCs w:val="19"/>
                <w:color w:val="auto"/>
              </w:rPr>
            </w:pPr>
          </w:p>
        </w:tc>
        <w:tc>
          <w:tcPr>
            <w:tcW w:w="380" w:type="dxa"/>
            <w:vAlign w:val="bottom"/>
            <w:vMerge w:val="restart"/>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80"/>
              </w:rPr>
              <w:t>($</w:t>
            </w:r>
            <w:r>
              <w:rPr>
                <w:rFonts w:ascii="Arial" w:cs="Arial" w:eastAsia="Arial" w:hAnsi="Arial"/>
                <w:sz w:val="16"/>
                <w:szCs w:val="16"/>
                <w:color w:val="auto"/>
                <w:w w:val="80"/>
              </w:rPr>
              <w:t>1,193)</w:t>
            </w:r>
          </w:p>
        </w:tc>
        <w:tc>
          <w:tcPr>
            <w:tcW w:w="300" w:type="dxa"/>
            <w:vAlign w:val="bottom"/>
          </w:tcPr>
          <w:p>
            <w:pPr>
              <w:spacing w:after="0"/>
              <w:rPr>
                <w:sz w:val="19"/>
                <w:szCs w:val="19"/>
                <w:color w:val="auto"/>
              </w:rPr>
            </w:pPr>
          </w:p>
        </w:tc>
        <w:tc>
          <w:tcPr>
            <w:tcW w:w="300" w:type="dxa"/>
            <w:vAlign w:val="bottom"/>
            <w:vMerge w:val="restart"/>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2,050</w:t>
            </w:r>
          </w:p>
        </w:tc>
        <w:tc>
          <w:tcPr>
            <w:tcW w:w="60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$2,741</w:t>
            </w:r>
          </w:p>
        </w:tc>
        <w:tc>
          <w:tcPr>
            <w:tcW w:w="280" w:type="dxa"/>
            <w:vAlign w:val="bottom"/>
            <w:vMerge w:val="restart"/>
          </w:tcPr>
          <w:p>
            <w:pPr>
              <w:spacing w:after="0"/>
              <w:rPr>
                <w:sz w:val="19"/>
                <w:szCs w:val="19"/>
                <w:color w:val="auto"/>
              </w:rPr>
            </w:pPr>
          </w:p>
        </w:tc>
        <w:tc>
          <w:tcPr>
            <w:tcW w:w="320" w:type="dxa"/>
            <w:vAlign w:val="bottom"/>
            <w:vMerge w:val="restart"/>
          </w:tcPr>
          <w:p>
            <w:pPr>
              <w:spacing w:after="0"/>
              <w:rPr>
                <w:sz w:val="19"/>
                <w:szCs w:val="19"/>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($991)</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u w:val="single" w:color="auto"/>
                <w:color w:val="00004D"/>
              </w:rPr>
              <w:t>$</w:t>
            </w:r>
            <w:r>
              <w:rPr>
                <w:rFonts w:ascii="Arial" w:cs="Arial" w:eastAsia="Arial" w:hAnsi="Arial"/>
                <w:sz w:val="16"/>
                <w:szCs w:val="16"/>
                <w:color w:val="00004D"/>
              </w:rPr>
              <w:t>1,748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4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540" w:type="dxa"/>
            <w:vAlign w:val="bottom"/>
          </w:tcPr>
          <w:p>
            <w:pPr>
              <w:ind w:left="60"/>
              <w:spacing w:after="0"/>
              <w:rPr>
                <w:sz w:val="20"/>
                <w:szCs w:val="20"/>
                <w:color w:val="auto"/>
              </w:rPr>
            </w:pPr>
            <w:r>
              <w:rPr>
                <w:rFonts w:ascii="Arial" w:cs="Arial" w:eastAsia="Arial" w:hAnsi="Arial"/>
                <w:sz w:val="16"/>
                <w:szCs w:val="16"/>
                <w:color w:val="00004D"/>
              </w:rPr>
              <w:t>Adjusted Diluted Earnings per Share</w:t>
            </w: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4"/>
              </w:rPr>
              <w:t>($0.08)</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$0.14</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($0.07)</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$0.12</w:t>
            </w:r>
          </w:p>
        </w:tc>
        <w:tc>
          <w:tcPr>
            <w:tcW w:w="0" w:type="dxa"/>
            <w:vAlign w:val="bottom"/>
          </w:tcPr>
          <w:p>
            <w:pPr>
              <w:spacing w:after="0"/>
              <w:rPr>
                <w:sz w:val="1"/>
                <w:szCs w:val="1"/>
                <w:color w:val="auto"/>
              </w:rPr>
            </w:pPr>
          </w:p>
        </w:tc>
      </w:tr>
      <w:tr>
        <w:trPr>
          <w:trHeight w:val="393"/>
        </w:trPr>
        <w:tc>
          <w:tcPr>
            <w:tcW w:w="3540" w:type="dxa"/>
            <w:vAlign w:val="bottom"/>
          </w:tcPr>
          <w:p>
            <w:pPr>
              <w:ind w:left="60"/>
              <w:spacing w:after="0"/>
              <w:rPr>
                <w:sz w:val="20"/>
                <w:szCs w:val="20"/>
                <w:color w:val="auto"/>
              </w:rPr>
            </w:pPr>
            <w:r>
              <w:rPr>
                <w:rFonts w:ascii="Arial" w:cs="Arial" w:eastAsia="Arial" w:hAnsi="Arial"/>
                <w:sz w:val="16"/>
                <w:szCs w:val="16"/>
                <w:color w:val="00004D"/>
              </w:rPr>
              <w:t>Diluted Weighted-Average Common</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200"/>
              <w:spacing w:after="0"/>
              <w:rPr>
                <w:sz w:val="20"/>
                <w:szCs w:val="20"/>
                <w:color w:val="auto"/>
              </w:rPr>
            </w:pPr>
            <w:r>
              <w:rPr>
                <w:rFonts w:ascii="Arial" w:cs="Arial" w:eastAsia="Arial" w:hAnsi="Arial"/>
                <w:sz w:val="16"/>
                <w:szCs w:val="16"/>
                <w:color w:val="00004D"/>
              </w:rPr>
              <w:t>Shares Outstanding:</w:t>
            </w: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14,905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14,809</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14,526</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14,060</w:t>
            </w: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00004D"/>
              </w:rPr>
              <w:t>15,145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60"/>
        <w:spacing w:after="0"/>
        <w:rPr>
          <w:sz w:val="20"/>
          <w:szCs w:val="20"/>
          <w:color w:val="auto"/>
        </w:rPr>
      </w:pPr>
      <w:r>
        <w:rPr>
          <w:rFonts w:ascii="Arial" w:cs="Arial" w:eastAsia="Arial" w:hAnsi="Arial"/>
          <w:sz w:val="12"/>
          <w:szCs w:val="12"/>
          <w:color w:val="auto"/>
        </w:rPr>
        <w:t>(1) The supplemental financial measures are Non-GAAP as defined, the reconciliation of these supplemental measures is above.</w:t>
      </w:r>
    </w:p>
    <w:p>
      <w:pPr>
        <w:sectPr>
          <w:pgSz w:w="12240" w:h="15840" w:orient="portrait"/>
          <w:cols w:equalWidth="0" w:num="1">
            <w:col w:w="11000"/>
          </w:cols>
          <w:pgMar w:left="900" w:top="757" w:right="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20"/>
        <w:spacing w:after="0"/>
        <w:tabs>
          <w:tab w:leader="none" w:pos="10840" w:val="left"/>
        </w:tabs>
        <w:rPr>
          <w:sz w:val="20"/>
          <w:szCs w:val="20"/>
          <w:color w:val="auto"/>
        </w:rPr>
      </w:pPr>
      <w:r>
        <w:rPr>
          <w:rFonts w:ascii="Arial" w:cs="Arial" w:eastAsia="Arial" w:hAnsi="Arial"/>
          <w:sz w:val="16"/>
          <w:szCs w:val="16"/>
          <w:color w:val="FFFFFF"/>
        </w:rPr>
        <w:t>2025 Annual Report</w:t>
      </w:r>
      <w:r>
        <w:rPr>
          <w:sz w:val="20"/>
          <w:szCs w:val="20"/>
          <w:color w:val="auto"/>
        </w:rPr>
        <w:tab/>
      </w:r>
      <w:r>
        <w:rPr>
          <w:rFonts w:ascii="Arial" w:cs="Arial" w:eastAsia="Arial" w:hAnsi="Arial"/>
          <w:sz w:val="12"/>
          <w:szCs w:val="12"/>
          <w:b w:val="1"/>
          <w:bCs w:val="1"/>
          <w:color w:val="FFFFFF"/>
        </w:rPr>
        <w:t>11</w:t>
      </w:r>
    </w:p>
    <w:p>
      <w:pPr>
        <w:sectPr>
          <w:pgSz w:w="12240" w:h="15840" w:orient="portrait"/>
          <w:cols w:equalWidth="0" w:num="1">
            <w:col w:w="11000"/>
          </w:cols>
          <w:pgMar w:left="900" w:top="757" w:right="34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7"/>
        <w:spacing w:after="0"/>
        <w:rPr>
          <w:sz w:val="20"/>
          <w:szCs w:val="20"/>
          <w:color w:val="auto"/>
        </w:rPr>
      </w:pPr>
      <w:r>
        <w:rPr>
          <w:rFonts w:ascii="Arial" w:cs="Arial" w:eastAsia="Arial" w:hAnsi="Arial"/>
          <w:sz w:val="54"/>
          <w:szCs w:val="54"/>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987"/>
        <w:spacing w:after="0"/>
        <w:rPr>
          <w:sz w:val="20"/>
          <w:szCs w:val="20"/>
          <w:color w:val="auto"/>
        </w:rPr>
      </w:pPr>
      <w:r>
        <w:rPr>
          <w:rFonts w:ascii="Arial" w:cs="Arial" w:eastAsia="Arial" w:hAnsi="Arial"/>
          <w:sz w:val="29"/>
          <w:szCs w:val="29"/>
          <w:b w:val="1"/>
          <w:bCs w:val="1"/>
          <w:color w:val="377FA7"/>
        </w:rPr>
        <w:t>A.J. Kazimi</w:t>
      </w:r>
    </w:p>
    <w:p>
      <w:pPr>
        <w:ind w:left="5987"/>
        <w:spacing w:after="0"/>
        <w:rPr>
          <w:sz w:val="20"/>
          <w:szCs w:val="20"/>
          <w:color w:val="auto"/>
        </w:rPr>
      </w:pPr>
      <w:r>
        <w:rPr>
          <w:rFonts w:ascii="Arial" w:cs="Arial" w:eastAsia="Arial" w:hAnsi="Arial"/>
          <w:sz w:val="23"/>
          <w:szCs w:val="23"/>
          <w:b w:val="1"/>
          <w:bCs w:val="1"/>
          <w:color w:val="377FA7"/>
        </w:rPr>
        <w:t>Chairman</w:t>
      </w:r>
    </w:p>
    <w:p>
      <w:pPr>
        <w:spacing w:after="0" w:line="35" w:lineRule="exact"/>
        <w:rPr>
          <w:sz w:val="20"/>
          <w:szCs w:val="20"/>
          <w:color w:val="auto"/>
        </w:rPr>
      </w:pPr>
    </w:p>
    <w:p>
      <w:pPr>
        <w:ind w:left="5987"/>
        <w:spacing w:after="0"/>
        <w:rPr>
          <w:sz w:val="20"/>
          <w:szCs w:val="20"/>
          <w:color w:val="auto"/>
        </w:rPr>
      </w:pPr>
      <w:r>
        <w:rPr>
          <w:rFonts w:ascii="Arial" w:cs="Arial" w:eastAsia="Arial" w:hAnsi="Arial"/>
          <w:sz w:val="18"/>
          <w:szCs w:val="18"/>
          <w:color w:val="00004D"/>
        </w:rPr>
        <w:t>Chief Executive Officer</w:t>
      </w:r>
    </w:p>
    <w:p>
      <w:pPr>
        <w:spacing w:after="0" w:line="4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Cumberland Pharmaceuticals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327"/>
        <w:spacing w:after="0"/>
        <w:rPr>
          <w:sz w:val="20"/>
          <w:szCs w:val="20"/>
          <w:color w:val="auto"/>
        </w:rPr>
      </w:pPr>
      <w:r>
        <w:rPr>
          <w:rFonts w:ascii="Arial" w:cs="Arial" w:eastAsia="Arial" w:hAnsi="Arial"/>
          <w:sz w:val="29"/>
          <w:szCs w:val="29"/>
          <w:b w:val="1"/>
          <w:bCs w:val="1"/>
          <w:color w:val="377FA7"/>
        </w:rPr>
        <w:t>Kenneth J. Krogulski</w:t>
      </w:r>
    </w:p>
    <w:p>
      <w:pPr>
        <w:ind w:left="3327"/>
        <w:spacing w:after="0"/>
        <w:rPr>
          <w:sz w:val="20"/>
          <w:szCs w:val="20"/>
          <w:color w:val="auto"/>
        </w:rPr>
      </w:pPr>
      <w:r>
        <w:rPr>
          <w:rFonts w:ascii="Arial" w:cs="Arial" w:eastAsia="Arial" w:hAnsi="Arial"/>
          <w:sz w:val="23"/>
          <w:szCs w:val="23"/>
          <w:b w:val="1"/>
          <w:bCs w:val="1"/>
          <w:color w:val="377FA7"/>
        </w:rPr>
        <w:t xml:space="preserve">Lead </w:t>
      </w:r>
      <w:r>
        <w:rPr>
          <w:rFonts w:ascii="Arial" w:cs="Arial" w:eastAsia="Arial" w:hAnsi="Arial"/>
          <w:sz w:val="25"/>
          <w:szCs w:val="25"/>
          <w:b w:val="1"/>
          <w:bCs w:val="1"/>
          <w:color w:val="377FA7"/>
        </w:rPr>
        <w:t>Director</w:t>
      </w:r>
    </w:p>
    <w:p>
      <w:pPr>
        <w:spacing w:after="0" w:line="50" w:lineRule="exact"/>
        <w:rPr>
          <w:sz w:val="20"/>
          <w:szCs w:val="20"/>
          <w:color w:val="auto"/>
        </w:rPr>
      </w:pPr>
    </w:p>
    <w:p>
      <w:pPr>
        <w:ind w:left="3327" w:right="2820"/>
        <w:spacing w:after="0" w:line="289" w:lineRule="auto"/>
        <w:rPr>
          <w:sz w:val="20"/>
          <w:szCs w:val="20"/>
          <w:color w:val="auto"/>
        </w:rPr>
      </w:pPr>
      <w:r>
        <w:rPr>
          <w:rFonts w:ascii="Arial" w:cs="Arial" w:eastAsia="Arial" w:hAnsi="Arial"/>
          <w:sz w:val="18"/>
          <w:szCs w:val="18"/>
          <w:color w:val="00004D"/>
        </w:rPr>
        <w:t>Managing Partner and Chief Investment Officer</w:t>
      </w:r>
    </w:p>
    <w:p>
      <w:pPr>
        <w:spacing w:after="0" w:line="1" w:lineRule="exact"/>
        <w:rPr>
          <w:sz w:val="20"/>
          <w:szCs w:val="20"/>
          <w:color w:val="auto"/>
        </w:rPr>
      </w:pPr>
    </w:p>
    <w:p>
      <w:pPr>
        <w:ind w:left="3327"/>
        <w:spacing w:after="0"/>
        <w:rPr>
          <w:sz w:val="20"/>
          <w:szCs w:val="20"/>
          <w:color w:val="auto"/>
        </w:rPr>
      </w:pPr>
      <w:r>
        <w:rPr>
          <w:rFonts w:ascii="Arial" w:cs="Arial" w:eastAsia="Arial" w:hAnsi="Arial"/>
          <w:sz w:val="16"/>
          <w:szCs w:val="16"/>
          <w:color w:val="auto"/>
        </w:rPr>
        <w:t>Berkshire Asset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27"/>
        <w:spacing w:after="0"/>
        <w:rPr>
          <w:sz w:val="20"/>
          <w:szCs w:val="20"/>
          <w:color w:val="auto"/>
        </w:rPr>
      </w:pPr>
      <w:r>
        <w:rPr>
          <w:rFonts w:ascii="Arial" w:cs="Arial" w:eastAsia="Arial" w:hAnsi="Arial"/>
          <w:sz w:val="29"/>
          <w:szCs w:val="29"/>
          <w:b w:val="1"/>
          <w:bCs w:val="1"/>
          <w:color w:val="377FA7"/>
        </w:rPr>
        <w:t>Dr. Gordon R. Bernard</w:t>
      </w:r>
    </w:p>
    <w:p>
      <w:pPr>
        <w:ind w:left="3327"/>
        <w:spacing w:after="0"/>
        <w:rPr>
          <w:sz w:val="20"/>
          <w:szCs w:val="20"/>
          <w:color w:val="auto"/>
        </w:rPr>
      </w:pPr>
      <w:r>
        <w:rPr>
          <w:rFonts w:ascii="Arial" w:cs="Arial" w:eastAsia="Arial" w:hAnsi="Arial"/>
          <w:sz w:val="23"/>
          <w:szCs w:val="23"/>
          <w:b w:val="1"/>
          <w:bCs w:val="1"/>
          <w:color w:val="377FA7"/>
        </w:rPr>
        <w:t>Director</w:t>
      </w:r>
    </w:p>
    <w:p>
      <w:pPr>
        <w:spacing w:after="0" w:line="35" w:lineRule="exact"/>
        <w:rPr>
          <w:sz w:val="20"/>
          <w:szCs w:val="20"/>
          <w:color w:val="auto"/>
        </w:rPr>
      </w:pPr>
    </w:p>
    <w:p>
      <w:pPr>
        <w:ind w:left="3327"/>
        <w:spacing w:after="0"/>
        <w:rPr>
          <w:sz w:val="20"/>
          <w:szCs w:val="20"/>
          <w:color w:val="auto"/>
        </w:rPr>
      </w:pPr>
      <w:r>
        <w:rPr>
          <w:rFonts w:ascii="Arial" w:cs="Arial" w:eastAsia="Arial" w:hAnsi="Arial"/>
          <w:sz w:val="18"/>
          <w:szCs w:val="18"/>
          <w:color w:val="00004D"/>
        </w:rPr>
        <w:t>Professor of Medicine</w:t>
      </w:r>
    </w:p>
    <w:p>
      <w:pPr>
        <w:spacing w:after="0" w:line="44" w:lineRule="exact"/>
        <w:rPr>
          <w:sz w:val="20"/>
          <w:szCs w:val="20"/>
          <w:color w:val="auto"/>
        </w:rPr>
      </w:pPr>
    </w:p>
    <w:p>
      <w:pPr>
        <w:ind w:left="3327" w:right="1500"/>
        <w:spacing w:after="0" w:line="335" w:lineRule="auto"/>
        <w:rPr>
          <w:sz w:val="20"/>
          <w:szCs w:val="20"/>
          <w:color w:val="auto"/>
        </w:rPr>
      </w:pPr>
      <w:r>
        <w:rPr>
          <w:rFonts w:ascii="Arial" w:cs="Arial" w:eastAsia="Arial" w:hAnsi="Arial"/>
          <w:sz w:val="16"/>
          <w:szCs w:val="16"/>
          <w:color w:val="auto"/>
        </w:rPr>
        <w:t>Division of Pulmonary &amp; Critical Care Medicine Vanderbilt University Medical Center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7"/>
        <w:spacing w:after="0"/>
        <w:rPr>
          <w:sz w:val="20"/>
          <w:szCs w:val="20"/>
          <w:color w:val="auto"/>
        </w:rPr>
      </w:pPr>
      <w:r>
        <w:rPr>
          <w:rFonts w:ascii="Arial" w:cs="Arial" w:eastAsia="Arial" w:hAnsi="Arial"/>
          <w:sz w:val="29"/>
          <w:szCs w:val="29"/>
          <w:b w:val="1"/>
          <w:bCs w:val="1"/>
          <w:color w:val="377FA7"/>
        </w:rPr>
        <w:t>Caroline R. Young</w:t>
      </w:r>
    </w:p>
    <w:p>
      <w:pPr>
        <w:ind w:left="3327"/>
        <w:spacing w:after="0"/>
        <w:rPr>
          <w:sz w:val="20"/>
          <w:szCs w:val="20"/>
          <w:color w:val="auto"/>
        </w:rPr>
      </w:pPr>
      <w:r>
        <w:rPr>
          <w:rFonts w:ascii="Arial" w:cs="Arial" w:eastAsia="Arial" w:hAnsi="Arial"/>
          <w:sz w:val="23"/>
          <w:szCs w:val="23"/>
          <w:b w:val="1"/>
          <w:bCs w:val="1"/>
          <w:color w:val="377FA7"/>
        </w:rPr>
        <w:t>Director</w:t>
      </w:r>
    </w:p>
    <w:p>
      <w:pPr>
        <w:spacing w:after="0" w:line="35" w:lineRule="exact"/>
        <w:rPr>
          <w:sz w:val="20"/>
          <w:szCs w:val="20"/>
          <w:color w:val="auto"/>
        </w:rPr>
      </w:pPr>
    </w:p>
    <w:p>
      <w:pPr>
        <w:ind w:left="3327" w:right="2460"/>
        <w:spacing w:after="0" w:line="289" w:lineRule="auto"/>
        <w:rPr>
          <w:sz w:val="20"/>
          <w:szCs w:val="20"/>
          <w:color w:val="auto"/>
        </w:rPr>
      </w:pPr>
      <w:r>
        <w:rPr>
          <w:rFonts w:ascii="Arial" w:cs="Arial" w:eastAsia="Arial" w:hAnsi="Arial"/>
          <w:sz w:val="18"/>
          <w:szCs w:val="18"/>
          <w:color w:val="00004D"/>
        </w:rPr>
        <w:t>Vice President of Partnership Development</w:t>
      </w:r>
    </w:p>
    <w:p>
      <w:pPr>
        <w:spacing w:after="0" w:line="1" w:lineRule="exact"/>
        <w:rPr>
          <w:sz w:val="20"/>
          <w:szCs w:val="20"/>
          <w:color w:val="auto"/>
        </w:rPr>
      </w:pPr>
    </w:p>
    <w:p>
      <w:pPr>
        <w:ind w:left="3327"/>
        <w:spacing w:after="0"/>
        <w:rPr>
          <w:sz w:val="20"/>
          <w:szCs w:val="20"/>
          <w:color w:val="auto"/>
        </w:rPr>
      </w:pPr>
      <w:r>
        <w:rPr>
          <w:rFonts w:ascii="Arial" w:cs="Arial" w:eastAsia="Arial" w:hAnsi="Arial"/>
          <w:sz w:val="16"/>
          <w:szCs w:val="16"/>
          <w:color w:val="auto"/>
        </w:rPr>
        <w:t>Frist Cressey Ventures</w:t>
      </w:r>
    </w:p>
    <w:p>
      <w:pPr>
        <w:spacing w:after="0" w:line="42" w:lineRule="exact"/>
        <w:rPr>
          <w:sz w:val="20"/>
          <w:szCs w:val="20"/>
          <w:color w:val="auto"/>
        </w:rPr>
      </w:pPr>
    </w:p>
    <w:p>
      <w:pPr>
        <w:ind w:left="3327"/>
        <w:spacing w:after="0"/>
        <w:rPr>
          <w:sz w:val="20"/>
          <w:szCs w:val="20"/>
          <w:color w:val="auto"/>
        </w:rPr>
      </w:pPr>
      <w:r>
        <w:rPr>
          <w:rFonts w:ascii="Arial" w:cs="Arial" w:eastAsia="Arial" w:hAnsi="Arial"/>
          <w:sz w:val="16"/>
          <w:szCs w:val="16"/>
          <w:color w:val="00004D"/>
        </w:rPr>
        <w:t>Former President</w:t>
      </w:r>
    </w:p>
    <w:p>
      <w:pPr>
        <w:spacing w:after="0" w:line="42" w:lineRule="exact"/>
        <w:rPr>
          <w:sz w:val="20"/>
          <w:szCs w:val="20"/>
          <w:color w:val="auto"/>
        </w:rPr>
      </w:pPr>
    </w:p>
    <w:p>
      <w:pPr>
        <w:ind w:left="3327"/>
        <w:spacing w:after="0"/>
        <w:rPr>
          <w:sz w:val="20"/>
          <w:szCs w:val="20"/>
          <w:color w:val="auto"/>
        </w:rPr>
      </w:pPr>
      <w:r>
        <w:rPr>
          <w:rFonts w:ascii="Arial" w:cs="Arial" w:eastAsia="Arial" w:hAnsi="Arial"/>
          <w:sz w:val="16"/>
          <w:szCs w:val="16"/>
          <w:color w:val="auto"/>
        </w:rPr>
        <w:t>Nashville Health Care Council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377FA7"/>
        </w:rPr>
        <w:t>James R. Jones</w:t>
      </w:r>
    </w:p>
    <w:p>
      <w:pPr>
        <w:spacing w:after="0"/>
        <w:rPr>
          <w:sz w:val="20"/>
          <w:szCs w:val="20"/>
          <w:color w:val="auto"/>
        </w:rPr>
      </w:pPr>
      <w:r>
        <w:rPr>
          <w:rFonts w:ascii="Arial" w:cs="Arial" w:eastAsia="Arial" w:hAnsi="Arial"/>
          <w:sz w:val="23"/>
          <w:szCs w:val="23"/>
          <w:b w:val="1"/>
          <w:bCs w:val="1"/>
          <w:color w:val="377FA7"/>
        </w:rPr>
        <w:t>Director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004D"/>
        </w:rPr>
        <w:t>Former Managing Partner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KPMG LLP-Nashville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b w:val="1"/>
          <w:bCs w:val="1"/>
          <w:color w:val="377FA7"/>
        </w:rPr>
        <w:t>Joseph C. Galante</w:t>
      </w:r>
    </w:p>
    <w:p>
      <w:pPr>
        <w:spacing w:after="0"/>
        <w:rPr>
          <w:sz w:val="20"/>
          <w:szCs w:val="20"/>
          <w:color w:val="auto"/>
        </w:rPr>
      </w:pPr>
      <w:r>
        <w:rPr>
          <w:rFonts w:ascii="Arial" w:cs="Arial" w:eastAsia="Arial" w:hAnsi="Arial"/>
          <w:sz w:val="23"/>
          <w:szCs w:val="23"/>
          <w:b w:val="1"/>
          <w:bCs w:val="1"/>
          <w:color w:val="377FA7"/>
        </w:rPr>
        <w:t>Director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004D"/>
        </w:rPr>
        <w:t>Former Chairman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Sony Music Nashville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00004D"/>
        </w:rPr>
        <w:t>Former President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RCA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377FA7"/>
        </w:rPr>
        <w:t>Martin S. Brown</w:t>
      </w:r>
    </w:p>
    <w:p>
      <w:pPr>
        <w:spacing w:after="0"/>
        <w:rPr>
          <w:sz w:val="20"/>
          <w:szCs w:val="20"/>
          <w:color w:val="auto"/>
        </w:rPr>
      </w:pPr>
      <w:r>
        <w:rPr>
          <w:rFonts w:ascii="Arial" w:cs="Arial" w:eastAsia="Arial" w:hAnsi="Arial"/>
          <w:sz w:val="23"/>
          <w:szCs w:val="23"/>
          <w:b w:val="1"/>
          <w:bCs w:val="1"/>
          <w:color w:val="377FA7"/>
        </w:rPr>
        <w:t>Director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004D"/>
        </w:rPr>
        <w:t>Attorney of Counsel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Adams and Reese LLP</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00004D"/>
        </w:rPr>
        <w:t>Former Board Director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Brown-Forman Corporation</w:t>
      </w:r>
    </w:p>
    <w:p>
      <w:pPr>
        <w:spacing w:after="0" w:line="324" w:lineRule="exact"/>
        <w:rPr>
          <w:sz w:val="20"/>
          <w:szCs w:val="20"/>
          <w:color w:val="auto"/>
        </w:rPr>
      </w:pPr>
    </w:p>
    <w:p>
      <w:pPr>
        <w:sectPr>
          <w:pgSz w:w="12240" w:h="15840" w:orient="portrait"/>
          <w:cols w:equalWidth="0" w:num="2">
            <w:col w:w="8227" w:space="720"/>
            <w:col w:w="2460"/>
          </w:cols>
          <w:pgMar w:left="313" w:top="1440"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7" w:hanging="367"/>
        <w:spacing w:after="0"/>
        <w:tabs>
          <w:tab w:leader="none" w:pos="367" w:val="left"/>
        </w:tabs>
        <w:numPr>
          <w:ilvl w:val="0"/>
          <w:numId w:val="7"/>
        </w:numPr>
        <w:rPr>
          <w:rFonts w:ascii="Arial" w:cs="Arial" w:eastAsia="Arial" w:hAnsi="Arial"/>
          <w:sz w:val="16"/>
          <w:szCs w:val="16"/>
          <w:b w:val="1"/>
          <w:bCs w:val="1"/>
          <w:color w:val="FFFFFF"/>
        </w:rPr>
      </w:pPr>
      <w:r>
        <w:rPr>
          <w:rFonts w:ascii="Arial" w:cs="Arial" w:eastAsia="Arial" w:hAnsi="Arial"/>
          <w:sz w:val="14"/>
          <w:szCs w:val="14"/>
          <w:color w:val="FFFFFF"/>
        </w:rPr>
        <w:t>Cumberland Pharmaceuticals</w:t>
      </w:r>
    </w:p>
    <w:p>
      <w:pPr>
        <w:sectPr>
          <w:pgSz w:w="12240" w:h="15840" w:orient="portrait"/>
          <w:cols w:equalWidth="0" w:num="1">
            <w:col w:w="11407"/>
          </w:cols>
          <w:pgMar w:left="313" w:top="1440" w:right="52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54"/>
          <w:szCs w:val="54"/>
          <w:color w:val="FFFFFF"/>
        </w:rPr>
        <w:t>Corporate Information</w:t>
      </w:r>
    </w:p>
    <w:p>
      <w:pPr>
        <w:sectPr>
          <w:pgSz w:w="12240" w:h="15840" w:orient="portrait"/>
          <w:cols w:equalWidth="0" w:num="1">
            <w:col w:w="11200"/>
          </w:cols>
          <w:pgMar w:left="720" w:top="1440"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60"/>
        <w:spacing w:after="0"/>
        <w:rPr>
          <w:sz w:val="20"/>
          <w:szCs w:val="20"/>
          <w:color w:val="auto"/>
        </w:rPr>
      </w:pPr>
      <w:r>
        <w:rPr>
          <w:rFonts w:ascii="Arial" w:cs="Arial" w:eastAsia="Arial" w:hAnsi="Arial"/>
          <w:sz w:val="29"/>
          <w:szCs w:val="29"/>
          <w:b w:val="1"/>
          <w:bCs w:val="1"/>
          <w:color w:val="00065C"/>
        </w:rPr>
        <w:t>Stock Listing</w:t>
      </w:r>
    </w:p>
    <w:p>
      <w:pPr>
        <w:spacing w:after="0" w:line="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Nasdaq Global Select</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Market Ticker Symbol: CPIX</w:t>
      </w:r>
    </w:p>
    <w:p>
      <w:pPr>
        <w:spacing w:after="0" w:line="345" w:lineRule="exact"/>
        <w:rPr>
          <w:sz w:val="20"/>
          <w:szCs w:val="20"/>
          <w:color w:val="auto"/>
        </w:rPr>
      </w:pPr>
    </w:p>
    <w:p>
      <w:pPr>
        <w:ind w:left="1160"/>
        <w:spacing w:after="0"/>
        <w:rPr>
          <w:sz w:val="20"/>
          <w:szCs w:val="20"/>
          <w:color w:val="auto"/>
        </w:rPr>
      </w:pPr>
      <w:r>
        <w:rPr>
          <w:rFonts w:ascii="Arial" w:cs="Arial" w:eastAsia="Arial" w:hAnsi="Arial"/>
          <w:sz w:val="29"/>
          <w:szCs w:val="29"/>
          <w:b w:val="1"/>
          <w:bCs w:val="1"/>
          <w:color w:val="00065C"/>
        </w:rPr>
        <w:t>Annual Meeting</w:t>
      </w:r>
    </w:p>
    <w:p>
      <w:pPr>
        <w:spacing w:after="0" w:line="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9:30 a.m. Central Time</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Tuesday, April 21, 2026</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Cumberland Headquarters</w:t>
      </w:r>
    </w:p>
    <w:p>
      <w:pPr>
        <w:spacing w:after="0" w:line="38" w:lineRule="exact"/>
        <w:rPr>
          <w:sz w:val="20"/>
          <w:szCs w:val="20"/>
          <w:color w:val="auto"/>
        </w:rPr>
      </w:pPr>
    </w:p>
    <w:p>
      <w:pPr>
        <w:ind w:left="1160" w:right="300"/>
        <w:spacing w:after="0" w:line="319" w:lineRule="auto"/>
        <w:rPr>
          <w:sz w:val="20"/>
          <w:szCs w:val="20"/>
          <w:color w:val="auto"/>
        </w:rPr>
      </w:pPr>
      <w:r>
        <w:rPr>
          <w:rFonts w:ascii="Arial" w:cs="Arial" w:eastAsia="Arial" w:hAnsi="Arial"/>
          <w:sz w:val="22"/>
          <w:szCs w:val="22"/>
          <w:color w:val="auto"/>
        </w:rPr>
        <w:t>1600 West End Avenue, Suite 1300 Nashville, TN 37203</w:t>
      </w:r>
    </w:p>
    <w:p>
      <w:pPr>
        <w:spacing w:after="0" w:line="337" w:lineRule="exact"/>
        <w:rPr>
          <w:sz w:val="20"/>
          <w:szCs w:val="20"/>
          <w:color w:val="auto"/>
        </w:rPr>
      </w:pPr>
    </w:p>
    <w:p>
      <w:pPr>
        <w:ind w:left="1160" w:right="300"/>
        <w:spacing w:after="0" w:line="256" w:lineRule="auto"/>
        <w:rPr>
          <w:sz w:val="20"/>
          <w:szCs w:val="20"/>
          <w:color w:val="auto"/>
        </w:rPr>
      </w:pPr>
      <w:r>
        <w:rPr>
          <w:rFonts w:ascii="Arial" w:cs="Arial" w:eastAsia="Arial" w:hAnsi="Arial"/>
          <w:sz w:val="29"/>
          <w:szCs w:val="29"/>
          <w:b w:val="1"/>
          <w:bCs w:val="1"/>
          <w:color w:val="00004D"/>
        </w:rPr>
        <w:t>Independent Registered Public Accounting Firm</w:t>
      </w:r>
    </w:p>
    <w:p>
      <w:pPr>
        <w:spacing w:after="0" w:line="1" w:lineRule="exact"/>
        <w:rPr>
          <w:sz w:val="20"/>
          <w:szCs w:val="20"/>
          <w:color w:val="auto"/>
        </w:rPr>
      </w:pPr>
    </w:p>
    <w:p>
      <w:pPr>
        <w:ind w:left="1160" w:right="880"/>
        <w:spacing w:after="0" w:line="290" w:lineRule="auto"/>
        <w:rPr>
          <w:sz w:val="20"/>
          <w:szCs w:val="20"/>
          <w:color w:val="auto"/>
        </w:rPr>
      </w:pPr>
      <w:r>
        <w:rPr>
          <w:rFonts w:ascii="Arial" w:cs="Arial" w:eastAsia="Arial" w:hAnsi="Arial"/>
          <w:sz w:val="22"/>
          <w:szCs w:val="22"/>
          <w:color w:val="auto"/>
        </w:rPr>
        <w:t>Carr, Riggs &amp; Ingram, LLC 3011 Armory Drive, Suite 300 Nashville, TN 37204 (615) 665-1811</w:t>
      </w:r>
    </w:p>
    <w:p>
      <w:pPr>
        <w:spacing w:after="0" w:line="369" w:lineRule="exact"/>
        <w:rPr>
          <w:sz w:val="20"/>
          <w:szCs w:val="20"/>
          <w:color w:val="auto"/>
        </w:rPr>
      </w:pPr>
    </w:p>
    <w:p>
      <w:pPr>
        <w:ind w:left="1160"/>
        <w:spacing w:after="0"/>
        <w:rPr>
          <w:sz w:val="20"/>
          <w:szCs w:val="20"/>
          <w:color w:val="auto"/>
        </w:rPr>
      </w:pPr>
      <w:r>
        <w:rPr>
          <w:rFonts w:ascii="Arial" w:cs="Arial" w:eastAsia="Arial" w:hAnsi="Arial"/>
          <w:sz w:val="29"/>
          <w:szCs w:val="29"/>
          <w:b w:val="1"/>
          <w:bCs w:val="1"/>
          <w:color w:val="00065C"/>
        </w:rPr>
        <w:t>Transfer Agent and</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29"/>
          <w:szCs w:val="29"/>
          <w:b w:val="1"/>
          <w:bCs w:val="1"/>
          <w:color w:val="00065C"/>
        </w:rPr>
        <w:t>Registrar</w:t>
      </w:r>
    </w:p>
    <w:p>
      <w:pPr>
        <w:spacing w:after="0" w:line="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Continental Stock Transfer</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&amp; Trust Company</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1 State Street, 30th Floor</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New York, NY 10004</w:t>
      </w:r>
    </w:p>
    <w:p>
      <w:pPr>
        <w:spacing w:after="0" w:line="38" w:lineRule="exact"/>
        <w:rPr>
          <w:sz w:val="20"/>
          <w:szCs w:val="20"/>
          <w:color w:val="auto"/>
        </w:rPr>
      </w:pPr>
    </w:p>
    <w:p>
      <w:pPr>
        <w:ind w:left="1740" w:hanging="574"/>
        <w:spacing w:after="0"/>
        <w:tabs>
          <w:tab w:leader="none" w:pos="1740" w:val="left"/>
        </w:tabs>
        <w:numPr>
          <w:ilvl w:val="0"/>
          <w:numId w:val="8"/>
        </w:numPr>
        <w:rPr>
          <w:rFonts w:ascii="Arial" w:cs="Arial" w:eastAsia="Arial" w:hAnsi="Arial"/>
          <w:sz w:val="22"/>
          <w:szCs w:val="22"/>
          <w:color w:val="auto"/>
        </w:rPr>
      </w:pPr>
      <w:r>
        <w:rPr>
          <w:rFonts w:ascii="Arial" w:cs="Arial" w:eastAsia="Arial" w:hAnsi="Arial"/>
          <w:sz w:val="22"/>
          <w:szCs w:val="22"/>
          <w:color w:val="auto"/>
        </w:rPr>
        <w:t>509-5586</w:t>
      </w:r>
    </w:p>
    <w:p>
      <w:pPr>
        <w:spacing w:after="0" w:line="37" w:lineRule="exact"/>
        <w:rPr>
          <w:rFonts w:ascii="Arial" w:cs="Arial" w:eastAsia="Arial" w:hAnsi="Arial"/>
          <w:sz w:val="22"/>
          <w:szCs w:val="22"/>
          <w:color w:val="auto"/>
        </w:rPr>
      </w:pPr>
    </w:p>
    <w:p>
      <w:pPr>
        <w:ind w:left="1160" w:right="600" w:firstLine="6"/>
        <w:spacing w:after="0" w:line="375" w:lineRule="auto"/>
        <w:tabs>
          <w:tab w:leader="none" w:pos="1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509-4000 cstmail@continentalstock.com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004D"/>
        </w:rPr>
        <w:t>Forward-Looking</w:t>
      </w:r>
    </w:p>
    <w:p>
      <w:pPr>
        <w:spacing w:after="0" w:line="6" w:lineRule="exact"/>
        <w:rPr>
          <w:sz w:val="20"/>
          <w:szCs w:val="20"/>
          <w:color w:val="auto"/>
        </w:rPr>
      </w:pPr>
    </w:p>
    <w:p>
      <w:pPr>
        <w:spacing w:after="0"/>
        <w:rPr>
          <w:sz w:val="20"/>
          <w:szCs w:val="20"/>
          <w:color w:val="auto"/>
        </w:rPr>
      </w:pPr>
      <w:r>
        <w:rPr>
          <w:rFonts w:ascii="Arial" w:cs="Arial" w:eastAsia="Arial" w:hAnsi="Arial"/>
          <w:sz w:val="29"/>
          <w:szCs w:val="29"/>
          <w:b w:val="1"/>
          <w:bCs w:val="1"/>
          <w:color w:val="00004D"/>
        </w:rPr>
        <w:t>Statements</w:t>
      </w:r>
    </w:p>
    <w:p>
      <w:pPr>
        <w:spacing w:after="0" w:line="39" w:lineRule="exact"/>
        <w:rPr>
          <w:sz w:val="20"/>
          <w:szCs w:val="20"/>
          <w:color w:val="auto"/>
        </w:rPr>
      </w:pPr>
    </w:p>
    <w:p>
      <w:pPr>
        <w:ind w:right="1580"/>
        <w:spacing w:after="0" w:line="280" w:lineRule="auto"/>
        <w:rPr>
          <w:sz w:val="20"/>
          <w:szCs w:val="20"/>
          <w:color w:val="auto"/>
        </w:rPr>
      </w:pPr>
      <w:r>
        <w:rPr>
          <w:rFonts w:ascii="Arial" w:cs="Arial" w:eastAsia="Arial" w:hAnsi="Arial"/>
          <w:sz w:val="22"/>
          <w:szCs w:val="22"/>
          <w:color w:val="auto"/>
        </w:rPr>
        <w:t>This annual report includes forward-looking statements regarding expected future results of the Company. A variety of factors could cause actual results to differ materially from expected results. Please see the risk factors more fully described in our Annual Report on Form 10- K for the year ended December 31, 2025, which is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b w:val="1"/>
          <w:bCs w:val="1"/>
          <w:color w:val="00004D"/>
        </w:rPr>
        <w:t>Company Headquarters</w:t>
      </w:r>
    </w:p>
    <w:p>
      <w:pPr>
        <w:spacing w:after="0" w:line="39" w:lineRule="exact"/>
        <w:rPr>
          <w:sz w:val="20"/>
          <w:szCs w:val="20"/>
          <w:color w:val="auto"/>
        </w:rPr>
      </w:pPr>
    </w:p>
    <w:p>
      <w:pPr>
        <w:ind w:right="2140"/>
        <w:spacing w:after="0" w:line="286" w:lineRule="auto"/>
        <w:rPr>
          <w:sz w:val="20"/>
          <w:szCs w:val="20"/>
          <w:color w:val="auto"/>
        </w:rPr>
      </w:pPr>
      <w:r>
        <w:rPr>
          <w:rFonts w:ascii="Arial" w:cs="Arial" w:eastAsia="Arial" w:hAnsi="Arial"/>
          <w:sz w:val="22"/>
          <w:szCs w:val="22"/>
          <w:color w:val="auto"/>
        </w:rPr>
        <w:t>Cumberland Pharmaceuticals Inc. 1600 West End Avenue, Suite 1300 Nashville, TN 37203 Phone: (615) 255-0068 Toll Free: (877) 484-2700 Fax: (615) 255-0094</w:t>
      </w:r>
    </w:p>
    <w:p>
      <w:pPr>
        <w:spacing w:after="0" w:line="2684" w:lineRule="exact"/>
        <w:rPr>
          <w:sz w:val="20"/>
          <w:szCs w:val="20"/>
          <w:color w:val="auto"/>
        </w:rPr>
      </w:pPr>
    </w:p>
    <w:p>
      <w:pPr>
        <w:sectPr>
          <w:pgSz w:w="12240" w:h="15840" w:orient="portrait"/>
          <w:cols w:equalWidth="0" w:num="2">
            <w:col w:w="4900" w:space="720"/>
            <w:col w:w="5580"/>
          </w:cols>
          <w:pgMar w:left="720" w:top="1440" w:right="320" w:bottom="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9400"/>
        <w:spacing w:after="0"/>
        <w:tabs>
          <w:tab w:leader="none" w:pos="11020" w:val="left"/>
        </w:tabs>
        <w:rPr>
          <w:sz w:val="20"/>
          <w:szCs w:val="20"/>
          <w:color w:val="auto"/>
        </w:rPr>
      </w:pPr>
      <w:r>
        <w:rPr>
          <w:rFonts w:ascii="Arial" w:cs="Arial" w:eastAsia="Arial" w:hAnsi="Arial"/>
          <w:sz w:val="16"/>
          <w:szCs w:val="16"/>
          <w:color w:val="FFFFFF"/>
        </w:rPr>
        <w:t>2025 Annual Report</w:t>
      </w:r>
      <w:r>
        <w:rPr>
          <w:sz w:val="20"/>
          <w:szCs w:val="20"/>
          <w:color w:val="auto"/>
        </w:rPr>
        <w:tab/>
      </w:r>
      <w:r>
        <w:rPr>
          <w:rFonts w:ascii="Arial" w:cs="Arial" w:eastAsia="Arial" w:hAnsi="Arial"/>
          <w:sz w:val="14"/>
          <w:szCs w:val="14"/>
          <w:b w:val="1"/>
          <w:bCs w:val="1"/>
          <w:color w:val="FFFFFF"/>
        </w:rPr>
        <w:t>13</w:t>
      </w:r>
    </w:p>
    <w:p>
      <w:pPr>
        <w:spacing w:after="0" w:line="20" w:lineRule="exact"/>
        <w:rPr>
          <w:sz w:val="20"/>
          <w:szCs w:val="20"/>
          <w:color w:val="auto"/>
        </w:rPr>
      </w:pPr>
    </w:p>
    <w:p>
      <w:pPr>
        <w:sectPr>
          <w:pgSz w:w="12240" w:h="15840" w:orient="portrait"/>
          <w:cols w:equalWidth="0" w:num="1">
            <w:col w:w="11200"/>
          </w:cols>
          <w:pgMar w:left="720" w:top="1440" w:right="32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46"/>
          <w:szCs w:val="46"/>
          <w:b w:val="1"/>
          <w:bCs w:val="1"/>
          <w:color w:val="FFFFFF"/>
        </w:rPr>
        <w:t>NASHVILLE’S SPECIALTY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FFFFFF"/>
        </w:rPr>
        <w:t>PHARMACEUTICAL COMPANY</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4"/>
    </w:lvl>
  </w:abstractNum>
  <w:abstractNum w:abstractNumId="2">
    <w:nsid w:val="507ED7AB"/>
    <w:multiLevelType w:val="hybridMultilevel"/>
    <w:lvl w:ilvl="0">
      <w:lvlJc w:val="left"/>
      <w:lvlText w:val="%1"/>
      <w:numFmt w:val="decimal"/>
      <w:start w:val="8"/>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decimal"/>
      <w:start w:val="800"/>
    </w:lvl>
  </w:abstractNum>
  <w:abstractNum w:abstractNumId="8">
    <w:nsid w:val="5BD062C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2026-03-15T03:12:29Z</dcterms:created>
  <dcterms:modified xsi:type="dcterms:W3CDTF">2026-03-15T03:12:29Z</dcterms:modified>
</cp:coreProperties>
</file>