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80" w:type="dxa"/>
            <w:vAlign w:val="bottom"/>
            <w:gridSpan w:val="17"/>
            <w:vMerge w:val="restart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restart"/>
          </w:tcPr>
          <w:p>
            <w:pPr>
              <w:jc w:val="center"/>
              <w:ind w:left="9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Galante Joseph C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CUMBERLAND PHARMACEUTICALS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Issuer's Fiscal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  <w:tcBorders>
              <w:top w:val="single" w:sz="8" w:color="808080"/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-9600565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-9609455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-9584055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-9414510</wp:posOffset>
            </wp:positionV>
            <wp:extent cx="7031355" cy="992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-9414510</wp:posOffset>
            </wp:positionV>
            <wp:extent cx="7031355" cy="9923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9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"/>
                <w:szCs w:val="1"/>
                <w:b w:val="1"/>
                <w:bCs w:val="1"/>
                <w:color w:val="auto"/>
              </w:rPr>
              <w:t xml:space="preserve">if any  </w:t>
            </w: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0"/>
              </w:rPr>
              <w:t>5.DisposedNumber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73.andTitle4)and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9.ReportedNumber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derivativeTransaction(s)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1"/>
              </w:rPr>
              <w:t>Derivative(Instr.3,4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Securities(Instr.4)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1"/>
              </w:rPr>
              <w:t>Securitiesand5)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SecurityAmount(Instr.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7"/>
              </w:rPr>
              <w:t>and(A)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920" w:type="dxa"/>
            <w:vAlign w:val="bottom"/>
            <w:gridSpan w:val="15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</w:rPr>
              <w:t>1. The purchases reported in this Form 5 were effected pursuant to a Rule 10b5-1 trading plan adopted by the reporting person during March 2020.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Filing 3 of 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Joseph C. Galante by /s/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Bonner as attorney-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959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95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8" Type="http://schemas.openxmlformats.org/officeDocument/2006/relationships/hyperlink" Target="http://www.sec.gov/cgi-bin/browse-edgar?action=getcompany&amp;CIK=0001632384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2021-02-05T17:02:22Z</dcterms:created>
  <dcterms:modified xsi:type="dcterms:W3CDTF">2021-02-05T17:02:22Z</dcterms:modified>
</cp:coreProperties>
</file>