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700" w:hanging="654"/>
        <w:spacing w:after="0"/>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19" w:lineRule="exact"/>
        <w:rPr>
          <w:sz w:val="24"/>
          <w:szCs w:val="24"/>
          <w:color w:val="auto"/>
        </w:rPr>
      </w:pPr>
    </w:p>
    <w:p>
      <w:pPr>
        <w:ind w:left="3780"/>
        <w:spacing w:after="0"/>
        <w:tabs>
          <w:tab w:leader="none" w:pos="666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001-33637</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Cumberland Pharmaceuticals Inc.</w:t>
      </w:r>
    </w:p>
    <w:p>
      <w:pPr>
        <w:spacing w:after="0" w:line="45"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6340" w:type="dxa"/>
            <w:vAlign w:val="bottom"/>
          </w:tcPr>
          <w:p>
            <w:pPr>
              <w:jc w:val="center"/>
              <w:ind w:left="1838"/>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340" w:type="dxa"/>
            <w:vAlign w:val="bottom"/>
          </w:tcPr>
          <w:p>
            <w:pPr>
              <w:jc w:val="center"/>
              <w:ind w:right="3658"/>
              <w:spacing w:after="0"/>
              <w:rPr>
                <w:sz w:val="20"/>
                <w:szCs w:val="20"/>
                <w:color w:val="auto"/>
              </w:rPr>
            </w:pPr>
            <w:r>
              <w:rPr>
                <w:rFonts w:ascii="Arial" w:cs="Arial" w:eastAsia="Arial" w:hAnsi="Arial"/>
                <w:sz w:val="18"/>
                <w:szCs w:val="18"/>
                <w:b w:val="1"/>
                <w:bCs w:val="1"/>
                <w:color w:val="auto"/>
                <w:w w:val="81"/>
              </w:rPr>
              <w:t>Tennessee</w:t>
            </w:r>
          </w:p>
        </w:tc>
        <w:tc>
          <w:tcPr>
            <w:tcW w:w="1280" w:type="dxa"/>
            <w:vAlign w:val="bottom"/>
          </w:tcPr>
          <w:p>
            <w:pPr>
              <w:jc w:val="right"/>
              <w:ind w:right="61"/>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44"/>
        </w:trPr>
        <w:tc>
          <w:tcPr>
            <w:tcW w:w="6340" w:type="dxa"/>
            <w:vAlign w:val="bottom"/>
          </w:tcPr>
          <w:p>
            <w:pPr>
              <w:jc w:val="center"/>
              <w:ind w:right="3678"/>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41"/>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340" w:type="dxa"/>
            <w:vAlign w:val="bottom"/>
          </w:tcPr>
          <w:p>
            <w:pPr>
              <w:jc w:val="center"/>
              <w:ind w:right="3678"/>
              <w:spacing w:after="0"/>
              <w:rPr>
                <w:sz w:val="20"/>
                <w:szCs w:val="20"/>
                <w:color w:val="auto"/>
              </w:rPr>
            </w:pPr>
            <w:r>
              <w:rPr>
                <w:rFonts w:ascii="Arial" w:cs="Arial" w:eastAsia="Arial" w:hAnsi="Arial"/>
                <w:sz w:val="14"/>
                <w:szCs w:val="14"/>
                <w:b w:val="1"/>
                <w:bCs w:val="1"/>
                <w:color w:val="auto"/>
                <w:w w:val="95"/>
              </w:rPr>
              <w:t>Incorporation or Organization)</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46"/>
        </w:trPr>
        <w:tc>
          <w:tcPr>
            <w:tcW w:w="6340" w:type="dxa"/>
            <w:vAlign w:val="bottom"/>
          </w:tcPr>
          <w:p>
            <w:pPr>
              <w:jc w:val="center"/>
              <w:ind w:right="3658"/>
              <w:spacing w:after="0"/>
              <w:rPr>
                <w:sz w:val="20"/>
                <w:szCs w:val="20"/>
                <w:color w:val="auto"/>
              </w:rPr>
            </w:pPr>
            <w:r>
              <w:rPr>
                <w:rFonts w:ascii="Arial" w:cs="Arial" w:eastAsia="Arial" w:hAnsi="Arial"/>
                <w:sz w:val="18"/>
                <w:szCs w:val="18"/>
                <w:b w:val="1"/>
                <w:bCs w:val="1"/>
                <w:color w:val="auto"/>
                <w:w w:val="89"/>
              </w:rPr>
              <w:t>2525 West End Avenue, Suite 950,</w:t>
            </w:r>
          </w:p>
        </w:tc>
        <w:tc>
          <w:tcPr>
            <w:tcW w:w="128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37203</w:t>
            </w:r>
          </w:p>
        </w:tc>
        <w:tc>
          <w:tcPr>
            <w:tcW w:w="0" w:type="dxa"/>
            <w:vAlign w:val="bottom"/>
          </w:tcPr>
          <w:p>
            <w:pPr>
              <w:spacing w:after="0"/>
              <w:rPr>
                <w:sz w:val="1"/>
                <w:szCs w:val="1"/>
                <w:color w:val="auto"/>
              </w:rPr>
            </w:pPr>
          </w:p>
        </w:tc>
      </w:tr>
      <w:tr>
        <w:trPr>
          <w:trHeight w:val="220"/>
        </w:trPr>
        <w:tc>
          <w:tcPr>
            <w:tcW w:w="6340" w:type="dxa"/>
            <w:vAlign w:val="bottom"/>
          </w:tcPr>
          <w:p>
            <w:pPr>
              <w:jc w:val="center"/>
              <w:ind w:right="3658"/>
              <w:spacing w:after="0"/>
              <w:rPr>
                <w:sz w:val="20"/>
                <w:szCs w:val="20"/>
                <w:color w:val="auto"/>
              </w:rPr>
            </w:pPr>
            <w:r>
              <w:rPr>
                <w:rFonts w:ascii="Arial" w:cs="Arial" w:eastAsia="Arial" w:hAnsi="Arial"/>
                <w:sz w:val="18"/>
                <w:szCs w:val="18"/>
                <w:b w:val="1"/>
                <w:bCs w:val="1"/>
                <w:color w:val="auto"/>
                <w:w w:val="85"/>
              </w:rPr>
              <w:t>Nashville, Tennessee</w:t>
            </w: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340" w:type="dxa"/>
            <w:vAlign w:val="bottom"/>
          </w:tcPr>
          <w:p>
            <w:pPr>
              <w:jc w:val="center"/>
              <w:ind w:right="367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62"/>
        </w:trPr>
        <w:tc>
          <w:tcPr>
            <w:tcW w:w="6340" w:type="dxa"/>
            <w:vAlign w:val="bottom"/>
          </w:tcPr>
          <w:p>
            <w:pPr>
              <w:jc w:val="center"/>
              <w:ind w:left="1818"/>
              <w:spacing w:after="0"/>
              <w:rPr>
                <w:sz w:val="20"/>
                <w:szCs w:val="20"/>
                <w:color w:val="auto"/>
              </w:rPr>
            </w:pPr>
            <w:r>
              <w:rPr>
                <w:rFonts w:ascii="Arial" w:cs="Arial" w:eastAsia="Arial" w:hAnsi="Arial"/>
                <w:sz w:val="18"/>
                <w:szCs w:val="18"/>
                <w:b w:val="1"/>
                <w:bCs w:val="1"/>
                <w:color w:val="auto"/>
                <w:w w:val="90"/>
              </w:rPr>
              <w:t>(615) 255-0068</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340" w:type="dxa"/>
            <w:vAlign w:val="bottom"/>
          </w:tcPr>
          <w:p>
            <w:pPr>
              <w:jc w:val="center"/>
              <w:ind w:left="181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5"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jc w:val="both"/>
        <w:spacing w:after="0" w:line="28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jc w:val="both"/>
        <w:spacing w:after="0" w:line="29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20"/>
                <w:szCs w:val="20"/>
                <w:color w:val="auto"/>
              </w:rPr>
            </w:pPr>
            <w:r>
              <w:rPr>
                <w:rFonts w:ascii="Arial" w:cs="Arial" w:eastAsia="Arial" w:hAnsi="Arial"/>
                <w:sz w:val="17"/>
                <w:szCs w:val="17"/>
                <w:color w:val="auto"/>
              </w:rPr>
              <w:t>of</w:t>
            </w:r>
          </w:p>
        </w:tc>
        <w:tc>
          <w:tcPr>
            <w:tcW w:w="2900" w:type="dxa"/>
            <w:vAlign w:val="bottom"/>
          </w:tcPr>
          <w:p>
            <w:pPr>
              <w:ind w:left="1040"/>
              <w:spacing w:after="0"/>
              <w:rPr>
                <w:sz w:val="20"/>
                <w:szCs w:val="20"/>
                <w:color w:val="auto"/>
              </w:rPr>
            </w:pPr>
            <w:r>
              <w:rPr>
                <w:rFonts w:ascii="Arial" w:cs="Arial" w:eastAsia="Arial" w:hAnsi="Arial"/>
                <w:sz w:val="17"/>
                <w:szCs w:val="17"/>
                <w:color w:val="auto"/>
              </w:rPr>
              <w:t>the</w:t>
            </w:r>
          </w:p>
        </w:tc>
        <w:tc>
          <w:tcPr>
            <w:tcW w:w="5100" w:type="dxa"/>
            <w:vAlign w:val="bottom"/>
          </w:tcPr>
          <w:p>
            <w:pPr>
              <w:ind w:left="1640"/>
              <w:spacing w:after="0"/>
              <w:rPr>
                <w:sz w:val="20"/>
                <w:szCs w:val="20"/>
                <w:color w:val="auto"/>
              </w:rPr>
            </w:pPr>
            <w:r>
              <w:rPr>
                <w:rFonts w:ascii="Arial" w:cs="Arial" w:eastAsia="Arial" w:hAnsi="Arial"/>
                <w:sz w:val="17"/>
                <w:szCs w:val="17"/>
                <w:color w:val="auto"/>
              </w:rPr>
              <w:t>Exchange</w:t>
            </w:r>
          </w:p>
        </w:tc>
        <w:tc>
          <w:tcPr>
            <w:tcW w:w="820" w:type="dxa"/>
            <w:vAlign w:val="bottom"/>
          </w:tcPr>
          <w:p>
            <w:pPr>
              <w:ind w:left="520"/>
              <w:spacing w:after="0"/>
              <w:rPr>
                <w:sz w:val="20"/>
                <w:szCs w:val="20"/>
                <w:color w:val="auto"/>
              </w:rPr>
            </w:pPr>
            <w:r>
              <w:rPr>
                <w:rFonts w:ascii="Arial" w:cs="Arial" w:eastAsia="Arial" w:hAnsi="Arial"/>
                <w:sz w:val="17"/>
                <w:szCs w:val="17"/>
                <w:color w:val="auto"/>
                <w:w w:val="95"/>
              </w:rPr>
              <w:t>Act.</w:t>
            </w:r>
          </w:p>
        </w:tc>
      </w:tr>
      <w:tr>
        <w:trPr>
          <w:trHeight w:val="216"/>
        </w:trPr>
        <w:tc>
          <w:tcPr>
            <w:tcW w:w="242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00"/>
              <w:spacing w:after="0"/>
              <w:rPr>
                <w:sz w:val="20"/>
                <w:szCs w:val="20"/>
                <w:color w:val="auto"/>
              </w:rPr>
            </w:pPr>
            <w:r>
              <w:rPr>
                <w:rFonts w:ascii="Arial" w:cs="Arial" w:eastAsia="Arial" w:hAnsi="Arial"/>
                <w:sz w:val="17"/>
                <w:szCs w:val="17"/>
                <w:color w:val="auto"/>
              </w:rPr>
              <w:t>Accelerated filer</w:t>
            </w:r>
          </w:p>
        </w:tc>
        <w:tc>
          <w:tcPr>
            <w:tcW w:w="8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16"/>
        </w:trPr>
        <w:tc>
          <w:tcPr>
            <w:tcW w:w="242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00"/>
              <w:spacing w:after="0"/>
              <w:rPr>
                <w:sz w:val="20"/>
                <w:szCs w:val="20"/>
                <w:color w:val="auto"/>
              </w:rPr>
            </w:pPr>
            <w:r>
              <w:rPr>
                <w:rFonts w:ascii="Arial" w:cs="Arial" w:eastAsia="Arial" w:hAnsi="Arial"/>
                <w:sz w:val="17"/>
                <w:szCs w:val="17"/>
                <w:color w:val="auto"/>
              </w:rPr>
              <w:t>Smaller reporting company</w:t>
            </w:r>
          </w:p>
        </w:tc>
        <w:tc>
          <w:tcPr>
            <w:tcW w:w="8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69"/>
        </w:trPr>
        <w:tc>
          <w:tcPr>
            <w:tcW w:w="2420" w:type="dxa"/>
            <w:vAlign w:val="bottom"/>
          </w:tcPr>
          <w:p>
            <w:pPr>
              <w:ind w:left="20"/>
              <w:spacing w:after="0"/>
              <w:rPr>
                <w:sz w:val="20"/>
                <w:szCs w:val="20"/>
                <w:color w:val="auto"/>
              </w:rPr>
            </w:pPr>
            <w:r>
              <w:rPr>
                <w:rFonts w:ascii="Arial" w:cs="Arial" w:eastAsia="Arial" w:hAnsi="Arial"/>
                <w:sz w:val="17"/>
                <w:szCs w:val="17"/>
                <w:color w:val="auto"/>
              </w:rPr>
              <w:t>Emerging growth company</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155"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6" w:lineRule="exact"/>
        <w:rPr>
          <w:sz w:val="24"/>
          <w:szCs w:val="24"/>
          <w:color w:val="auto"/>
        </w:rPr>
      </w:pPr>
    </w:p>
    <w:p>
      <w:pPr>
        <w:spacing w:after="0" w:line="196" w:lineRule="exact"/>
        <w:tabs>
          <w:tab w:leader="none" w:pos="84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ind w:right="160"/>
        <w:spacing w:after="0" w:line="274" w:lineRule="auto"/>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 15,050,025 shares of common stock as of May 10, 2021.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Class</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w:t>
            </w:r>
          </w:p>
        </w:tc>
        <w:tc>
          <w:tcPr>
            <w:tcW w:w="5240" w:type="dxa"/>
            <w:vAlign w:val="bottom"/>
            <w:gridSpan w:val="2"/>
          </w:tcPr>
          <w:p>
            <w:pPr>
              <w:jc w:val="center"/>
              <w:ind w:right="1460"/>
              <w:spacing w:after="0"/>
              <w:rPr>
                <w:sz w:val="20"/>
                <w:szCs w:val="20"/>
                <w:color w:val="auto"/>
              </w:rPr>
            </w:pPr>
            <w:r>
              <w:rPr>
                <w:rFonts w:ascii="Arial" w:cs="Arial" w:eastAsia="Arial" w:hAnsi="Arial"/>
                <w:sz w:val="18"/>
                <w:szCs w:val="18"/>
                <w:color w:val="auto"/>
                <w:w w:val="90"/>
              </w:rPr>
              <w:t>Name of exchange on which registered</w:t>
            </w:r>
          </w:p>
        </w:tc>
      </w:tr>
      <w:tr>
        <w:trPr>
          <w:trHeight w:val="224"/>
        </w:trPr>
        <w:tc>
          <w:tcPr>
            <w:tcW w:w="1460" w:type="dxa"/>
            <w:vAlign w:val="bottom"/>
          </w:tcPr>
          <w:p>
            <w:pPr>
              <w:spacing w:after="0"/>
              <w:rPr>
                <w:sz w:val="19"/>
                <w:szCs w:val="19"/>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0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CPIX</w:t>
            </w:r>
          </w:p>
        </w:tc>
        <w:tc>
          <w:tcPr>
            <w:tcW w:w="10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1440" w:type="dxa"/>
            <w:vAlign w:val="bottom"/>
          </w:tcPr>
          <w:p>
            <w:pPr>
              <w:spacing w:after="0"/>
              <w:rPr>
                <w:sz w:val="19"/>
                <w:szCs w:val="19"/>
                <w:color w:val="auto"/>
              </w:rPr>
            </w:pPr>
          </w:p>
        </w:tc>
      </w:tr>
      <w:tr>
        <w:trPr>
          <w:trHeight w:val="1019"/>
        </w:trPr>
        <w:tc>
          <w:tcPr>
            <w:tcW w:w="14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 w:name="page2"/>
    <w:bookmarkEnd w:id="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CUMBERLAND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gridSpan w:val="9"/>
          </w:tcPr>
          <w:p>
            <w:pPr>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PART I – FINANCIAL INFORMATION</w:t>
              </w:r>
            </w:hyperlink>
          </w:p>
        </w:tc>
        <w:tc>
          <w:tcPr>
            <w:tcW w:w="6180" w:type="dxa"/>
            <w:vAlign w:val="bottom"/>
            <w:gridSpan w:val="9"/>
          </w:tcPr>
          <w:p>
            <w:pPr>
              <w:spacing w:after="0"/>
              <w:rPr>
                <w:sz w:val="17"/>
                <w:szCs w:val="17"/>
                <w:color w:val="auto"/>
              </w:rPr>
            </w:pPr>
          </w:p>
        </w:tc>
        <w:tc>
          <w:tcPr>
            <w:tcW w:w="2060" w:type="dxa"/>
            <w:vAlign w:val="bottom"/>
            <w:gridSpan w:val="4"/>
          </w:tcPr>
          <w:p>
            <w:pPr>
              <w:jc w:val="right"/>
              <w:ind w:right="60"/>
              <w:spacing w:after="0"/>
              <w:rPr>
                <w:rFonts w:ascii="Arial" w:cs="Arial" w:eastAsia="Arial" w:hAnsi="Arial"/>
                <w:sz w:val="18"/>
                <w:szCs w:val="18"/>
                <w:color w:val="0000FF"/>
              </w:rPr>
            </w:pPr>
            <w:hyperlink w:anchor="page2">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206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9"/>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Condensed Consolidated Balance Sheets</w:t>
              </w:r>
            </w:hyperlink>
          </w:p>
        </w:tc>
        <w:tc>
          <w:tcPr>
            <w:tcW w:w="5780" w:type="dxa"/>
            <w:vAlign w:val="bottom"/>
            <w:gridSpan w:val="7"/>
          </w:tcPr>
          <w:p>
            <w:pPr>
              <w:spacing w:after="0"/>
              <w:rPr>
                <w:sz w:val="24"/>
                <w:szCs w:val="24"/>
                <w:color w:val="auto"/>
              </w:rPr>
            </w:pPr>
          </w:p>
        </w:tc>
        <w:tc>
          <w:tcPr>
            <w:tcW w:w="206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11"/>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w:t>
              </w:r>
            </w:hyperlink>
          </w:p>
        </w:tc>
        <w:tc>
          <w:tcPr>
            <w:tcW w:w="5060" w:type="dxa"/>
            <w:vAlign w:val="bottom"/>
            <w:gridSpan w:val="5"/>
          </w:tcPr>
          <w:p>
            <w:pPr>
              <w:spacing w:after="0"/>
              <w:rPr>
                <w:sz w:val="24"/>
                <w:szCs w:val="24"/>
                <w:color w:val="auto"/>
              </w:rPr>
            </w:pPr>
          </w:p>
        </w:tc>
        <w:tc>
          <w:tcPr>
            <w:tcW w:w="206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Cash Flows</w:t>
              </w:r>
            </w:hyperlink>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Equity</w:t>
              </w:r>
            </w:hyperlink>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14"/>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the Unaudited Condensed Consolidated Financial Statements</w:t>
              </w:r>
            </w:hyperlink>
          </w:p>
        </w:tc>
        <w:tc>
          <w:tcPr>
            <w:tcW w:w="3660" w:type="dxa"/>
            <w:vAlign w:val="bottom"/>
            <w:gridSpan w:val="2"/>
          </w:tcPr>
          <w:p>
            <w:pPr>
              <w:spacing w:after="0"/>
              <w:rPr>
                <w:sz w:val="24"/>
                <w:szCs w:val="24"/>
                <w:color w:val="auto"/>
              </w:rPr>
            </w:pPr>
          </w:p>
        </w:tc>
        <w:tc>
          <w:tcPr>
            <w:tcW w:w="2060" w:type="dxa"/>
            <w:vAlign w:val="bottom"/>
            <w:gridSpan w:val="4"/>
          </w:tcPr>
          <w:p>
            <w:pPr>
              <w:jc w:val="right"/>
              <w:ind w:right="6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rFonts w:ascii="Arial" w:cs="Arial" w:eastAsia="Arial" w:hAnsi="Arial"/>
                <w:sz w:val="18"/>
                <w:szCs w:val="18"/>
                <w:color w:val="0000FF"/>
              </w:rPr>
            </w:pPr>
            <w:hyperlink w:anchor="page15">
              <w:r>
                <w:rPr>
                  <w:rFonts w:ascii="Arial" w:cs="Arial" w:eastAsia="Arial" w:hAnsi="Arial"/>
                  <w:sz w:val="18"/>
                  <w:szCs w:val="18"/>
                  <w:color w:val="0000FF"/>
                </w:rPr>
                <w:t>Item 2. Management’s Discussion and Analysis of Financial Condition and Results of Operations</w:t>
              </w:r>
            </w:hyperlink>
          </w:p>
        </w:tc>
        <w:tc>
          <w:tcPr>
            <w:tcW w:w="2060" w:type="dxa"/>
            <w:vAlign w:val="bottom"/>
            <w:gridSpan w:val="4"/>
          </w:tcPr>
          <w:p>
            <w:pPr>
              <w:jc w:val="right"/>
              <w:ind w:right="60"/>
              <w:spacing w:after="0"/>
              <w:rPr>
                <w:rFonts w:ascii="Arial" w:cs="Arial" w:eastAsia="Arial" w:hAnsi="Arial"/>
                <w:sz w:val="18"/>
                <w:szCs w:val="18"/>
                <w:color w:val="0000FF"/>
              </w:rPr>
            </w:pPr>
            <w:hyperlink w:anchor="page15">
              <w:r>
                <w:rPr>
                  <w:rFonts w:ascii="Arial" w:cs="Arial" w:eastAsia="Arial" w:hAnsi="Arial"/>
                  <w:sz w:val="18"/>
                  <w:szCs w:val="18"/>
                  <w:color w:val="0000FF"/>
                </w:rPr>
                <w:t>14</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14"/>
          </w:tcPr>
          <w:p>
            <w:pPr>
              <w:ind w:left="20"/>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Item 3. Quantitative and Qualitative Disclosures About Market Risk</w:t>
              </w:r>
            </w:hyperlink>
          </w:p>
        </w:tc>
        <w:tc>
          <w:tcPr>
            <w:tcW w:w="210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24</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3920" w:type="dxa"/>
            <w:vAlign w:val="bottom"/>
            <w:tcBorders>
              <w:left w:val="single" w:sz="8" w:color="0000FF"/>
            </w:tcBorders>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Controls and Procedures</w:t>
              </w:r>
            </w:hyperlink>
          </w:p>
        </w:tc>
        <w:tc>
          <w:tcPr>
            <w:tcW w:w="2580" w:type="dxa"/>
            <w:vAlign w:val="bottom"/>
            <w:gridSpan w:val="7"/>
          </w:tcPr>
          <w:p>
            <w:pPr>
              <w:spacing w:after="0"/>
              <w:rPr>
                <w:sz w:val="24"/>
                <w:szCs w:val="24"/>
                <w:color w:val="auto"/>
              </w:rPr>
            </w:pPr>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24</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160" w:type="dxa"/>
            <w:vAlign w:val="bottom"/>
            <w:gridSpan w:val="18"/>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PART II – OTHER INFORMATION</w:t>
              </w:r>
            </w:hyperlink>
          </w:p>
        </w:tc>
        <w:tc>
          <w:tcPr>
            <w:tcW w:w="2060" w:type="dxa"/>
            <w:vAlign w:val="bottom"/>
            <w:gridSpan w:val="4"/>
          </w:tcPr>
          <w:p>
            <w:pPr>
              <w:jc w:val="right"/>
              <w:ind w:right="60"/>
              <w:spacing w:after="0"/>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1.</w:t>
              </w:r>
            </w:hyperlink>
          </w:p>
        </w:tc>
        <w:tc>
          <w:tcPr>
            <w:tcW w:w="1360" w:type="dxa"/>
            <w:vAlign w:val="bottom"/>
            <w:gridSpan w:val="4"/>
          </w:tcPr>
          <w:p>
            <w:pPr>
              <w:ind w:left="20"/>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Legal Proceedings</w:t>
              </w:r>
            </w:hyperlink>
          </w:p>
        </w:tc>
        <w:tc>
          <w:tcPr>
            <w:tcW w:w="440" w:type="dxa"/>
            <w:vAlign w:val="bottom"/>
          </w:tcPr>
          <w:p>
            <w:pPr>
              <w:spacing w:after="0"/>
              <w:rPr>
                <w:sz w:val="24"/>
                <w:szCs w:val="24"/>
                <w:color w:val="auto"/>
              </w:rPr>
            </w:pPr>
          </w:p>
        </w:tc>
        <w:tc>
          <w:tcPr>
            <w:tcW w:w="6500" w:type="dxa"/>
            <w:vAlign w:val="bottom"/>
            <w:gridSpan w:val="10"/>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25</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5"/>
          </w:tcPr>
          <w:p>
            <w:pPr>
              <w:ind w:left="20"/>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694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25</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2.</w:t>
              </w:r>
            </w:hyperlink>
          </w:p>
        </w:tc>
        <w:tc>
          <w:tcPr>
            <w:tcW w:w="4380" w:type="dxa"/>
            <w:vAlign w:val="bottom"/>
            <w:gridSpan w:val="12"/>
          </w:tcPr>
          <w:p>
            <w:pPr>
              <w:ind w:left="2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Unregistered Sales of Equity Securities and Use of Proceeds</w:t>
              </w:r>
            </w:hyperlink>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25</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760" w:type="dxa"/>
            <w:vAlign w:val="bottom"/>
            <w:gridSpan w:val="10"/>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6.</w:t>
              </w:r>
            </w:hyperlink>
          </w:p>
        </w:tc>
        <w:tc>
          <w:tcPr>
            <w:tcW w:w="4380" w:type="dxa"/>
            <w:vAlign w:val="bottom"/>
            <w:gridSpan w:val="12"/>
          </w:tcPr>
          <w:p>
            <w:pPr>
              <w:ind w:left="20"/>
              <w:spacing w:after="0"/>
              <w:rPr>
                <w:rFonts w:ascii="Arial" w:cs="Arial" w:eastAsia="Arial" w:hAnsi="Arial"/>
                <w:sz w:val="18"/>
                <w:szCs w:val="18"/>
                <w:color w:val="0000FF"/>
              </w:rPr>
            </w:pPr>
            <w:hyperlink w:anchor="page27">
              <w:r>
                <w:rPr>
                  <w:rFonts w:ascii="Arial" w:cs="Arial" w:eastAsia="Arial" w:hAnsi="Arial"/>
                  <w:sz w:val="18"/>
                  <w:szCs w:val="18"/>
                  <w:color w:val="0000FF"/>
                </w:rPr>
                <w:t>Exhibits</w:t>
              </w:r>
            </w:hyperlink>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26</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160" w:type="dxa"/>
            <w:vAlign w:val="bottom"/>
            <w:gridSpan w:val="1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SIGNATURES</w:t>
              </w:r>
            </w:hyperlink>
          </w:p>
        </w:tc>
        <w:tc>
          <w:tcPr>
            <w:tcW w:w="2060" w:type="dxa"/>
            <w:vAlign w:val="bottom"/>
            <w:gridSpan w:val="4"/>
          </w:tcPr>
          <w:p>
            <w:pPr>
              <w:jc w:val="right"/>
              <w:ind w:right="60"/>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128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24,922,925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0" w:type="dxa"/>
            <w:vAlign w:val="bottom"/>
          </w:tcPr>
          <w:p>
            <w:pPr>
              <w:spacing w:after="0"/>
              <w:rPr>
                <w:sz w:val="1"/>
                <w:szCs w:val="1"/>
                <w:color w:val="auto"/>
              </w:rPr>
            </w:pP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12,549,297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12,377,713</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10,010,763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10,638,157</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2,199,926</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49,383,017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49,969,592</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Non-current inventories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10,415,786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11,656,742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574,169</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27,024,544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28,118,316</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1,784,142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2,028,148</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3,323,603</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3,234,338</w:t>
            </w:r>
          </w:p>
        </w:tc>
        <w:tc>
          <w:tcPr>
            <w:tcW w:w="0" w:type="dxa"/>
            <w:vAlign w:val="bottom"/>
          </w:tcPr>
          <w:p>
            <w:pPr>
              <w:spacing w:after="0"/>
              <w:rPr>
                <w:sz w:val="1"/>
                <w:szCs w:val="1"/>
                <w:color w:val="auto"/>
              </w:rPr>
            </w:pP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93,348,025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96,463,305</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10,466,281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13,396,286</w:t>
            </w:r>
          </w:p>
        </w:tc>
        <w:tc>
          <w:tcPr>
            <w:tcW w:w="0" w:type="dxa"/>
            <w:vAlign w:val="bottom"/>
          </w:tcPr>
          <w:p>
            <w:pPr>
              <w:spacing w:after="0"/>
              <w:rPr>
                <w:sz w:val="1"/>
                <w:szCs w:val="1"/>
                <w:color w:val="auto"/>
              </w:rPr>
            </w:pP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Operating lease 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1,042,074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1,016,779</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11,339,215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11,254,381</w:t>
            </w:r>
          </w:p>
        </w:tc>
        <w:tc>
          <w:tcPr>
            <w:tcW w:w="0" w:type="dxa"/>
            <w:vAlign w:val="bottom"/>
          </w:tcPr>
          <w:p>
            <w:pPr>
              <w:spacing w:after="0"/>
              <w:rPr>
                <w:sz w:val="1"/>
                <w:szCs w:val="1"/>
                <w:color w:val="auto"/>
              </w:rPr>
            </w:pP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22,847,570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25,667,446</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789,200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1,059,693</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7,833,328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7,862,772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46,470,098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49,589,911</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340"/>
              <w:spacing w:after="0" w:line="176" w:lineRule="exact"/>
              <w:rPr>
                <w:sz w:val="20"/>
                <w:szCs w:val="20"/>
                <w:color w:val="auto"/>
              </w:rPr>
            </w:pPr>
            <w:r>
              <w:rPr>
                <w:rFonts w:ascii="Arial" w:cs="Arial" w:eastAsia="Arial" w:hAnsi="Arial"/>
                <w:sz w:val="18"/>
                <w:szCs w:val="18"/>
                <w:color w:val="auto"/>
                <w:w w:val="99"/>
              </w:rPr>
              <w:t>Common stock—no par value; 100,000,000 shares authorized; 15,084,464 and</w:t>
            </w: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340"/>
              <w:spacing w:after="0" w:line="176" w:lineRule="exact"/>
              <w:rPr>
                <w:sz w:val="20"/>
                <w:szCs w:val="20"/>
                <w:color w:val="auto"/>
              </w:rPr>
            </w:pPr>
            <w:r>
              <w:rPr>
                <w:rFonts w:ascii="Arial" w:cs="Arial" w:eastAsia="Arial" w:hAnsi="Arial"/>
                <w:sz w:val="18"/>
                <w:szCs w:val="18"/>
                <w:color w:val="auto"/>
                <w:w w:val="94"/>
              </w:rPr>
              <w:t>14,988,429 shares issued and outstanding as of March 31, 2021 and December 31,</w:t>
            </w:r>
          </w:p>
        </w:tc>
        <w:tc>
          <w:tcPr>
            <w:tcW w:w="300" w:type="dxa"/>
            <w:vAlign w:val="bottom"/>
          </w:tcPr>
          <w:p>
            <w:pPr>
              <w:spacing w:after="0"/>
              <w:rPr>
                <w:sz w:val="15"/>
                <w:szCs w:val="15"/>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48,981,395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49,121,523</w:t>
            </w:r>
          </w:p>
        </w:tc>
        <w:tc>
          <w:tcPr>
            <w:tcW w:w="0" w:type="dxa"/>
            <w:vAlign w:val="bottom"/>
          </w:tcPr>
          <w:p>
            <w:pPr>
              <w:spacing w:after="0"/>
              <w:rPr>
                <w:sz w:val="1"/>
                <w:szCs w:val="1"/>
                <w:color w:val="auto"/>
              </w:rPr>
            </w:pP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2020, respectively</w:t>
            </w:r>
          </w:p>
        </w:tc>
        <w:tc>
          <w:tcPr>
            <w:tcW w:w="30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 (deficit)</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(1,964,185)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(2,131,013)</w:t>
            </w:r>
          </w:p>
        </w:tc>
        <w:tc>
          <w:tcPr>
            <w:tcW w:w="0" w:type="dxa"/>
            <w:vAlign w:val="bottom"/>
          </w:tcPr>
          <w:p>
            <w:pPr>
              <w:spacing w:after="0"/>
              <w:rPr>
                <w:sz w:val="1"/>
                <w:szCs w:val="1"/>
                <w:color w:val="auto"/>
              </w:rPr>
            </w:pP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47,017,210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46,990,510</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46,877,927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46,873,394</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93,348,025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96,463,305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4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10,537,159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8,330,734</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2,417,329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1,634,181</w:t>
            </w: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3,787,340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3,707,676</w:t>
            </w: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1,257,367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1,722,555</w:t>
            </w: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2,230,509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2,036,284</w:t>
            </w: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1,168,914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1,076,039</w:t>
            </w:r>
          </w:p>
        </w:tc>
      </w:tr>
      <w:tr>
        <w:trPr>
          <w:trHeight w:val="22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10,861,459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10,176,735</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(1,846,001)</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29,888</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(33,065)</w:t>
            </w:r>
          </w:p>
        </w:tc>
      </w:tr>
      <w:tr>
        <w:trPr>
          <w:trHeight w:val="223"/>
        </w:trPr>
        <w:tc>
          <w:tcPr>
            <w:tcW w:w="7640" w:type="dxa"/>
            <w:vAlign w:val="bottom"/>
          </w:tcPr>
          <w:p>
            <w:pPr>
              <w:ind w:left="360"/>
              <w:spacing w:after="0"/>
              <w:rPr>
                <w:sz w:val="20"/>
                <w:szCs w:val="20"/>
                <w:color w:val="auto"/>
              </w:rPr>
            </w:pPr>
            <w:r>
              <w:rPr>
                <w:rFonts w:ascii="Arial" w:cs="Arial" w:eastAsia="Arial" w:hAnsi="Arial"/>
                <w:sz w:val="18"/>
                <w:szCs w:val="18"/>
                <w:color w:val="auto"/>
              </w:rPr>
              <w:t>Income (loss) from continuing operations before income taxes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(343,291)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(1,849,178)</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(34,240)</w:t>
            </w:r>
          </w:p>
        </w:tc>
      </w:tr>
      <w:tr>
        <w:trPr>
          <w:trHeight w:val="223"/>
        </w:trPr>
        <w:tc>
          <w:tcPr>
            <w:tcW w:w="764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(350,749)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(1,883,418)</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818,273</w:t>
            </w:r>
          </w:p>
        </w:tc>
      </w:tr>
      <w:tr>
        <w:trPr>
          <w:trHeight w:val="223"/>
        </w:trPr>
        <w:tc>
          <w:tcPr>
            <w:tcW w:w="764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144,661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(1,065,145)</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 subsidiary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w:t>
            </w:r>
          </w:p>
        </w:tc>
      </w:tr>
      <w:tr>
        <w:trPr>
          <w:trHeight w:val="223"/>
        </w:trPr>
        <w:tc>
          <w:tcPr>
            <w:tcW w:w="7640" w:type="dxa"/>
            <w:vAlign w:val="bottom"/>
          </w:tcPr>
          <w:p>
            <w:pPr>
              <w:ind w:left="360"/>
              <w:spacing w:after="0"/>
              <w:rPr>
                <w:sz w:val="20"/>
                <w:szCs w:val="20"/>
                <w:color w:val="auto"/>
              </w:rPr>
            </w:pPr>
            <w:r>
              <w:rPr>
                <w:rFonts w:ascii="Arial" w:cs="Arial" w:eastAsia="Arial" w:hAnsi="Arial"/>
                <w:sz w:val="18"/>
                <w:szCs w:val="18"/>
                <w:color w:val="auto"/>
              </w:rPr>
              <w:t>Net income (loss) attributable to common shareholders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166,828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(1,055,620)</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7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attributable to common shareholders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 Continuing operations - basic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Discontinued operations - basic</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3"/>
        </w:trPr>
        <w:tc>
          <w:tcPr>
            <w:tcW w:w="76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70"/>
        </w:trPr>
        <w:tc>
          <w:tcPr>
            <w:tcW w:w="76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 Continuing operations - 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Discontinued operations - diluted</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3"/>
        </w:trPr>
        <w:tc>
          <w:tcPr>
            <w:tcW w:w="76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 basic</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14,974,663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15,240,614</w:t>
            </w: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15,244,146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15,578,309</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6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144,661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(1,065,145)</w:t>
            </w:r>
          </w:p>
        </w:tc>
      </w:tr>
      <w:tr>
        <w:trPr>
          <w:trHeight w:val="230"/>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818,273</w:t>
            </w:r>
          </w:p>
        </w:tc>
      </w:tr>
      <w:tr>
        <w:trPr>
          <w:trHeight w:val="223"/>
        </w:trPr>
        <w:tc>
          <w:tcPr>
            <w:tcW w:w="7620" w:type="dxa"/>
            <w:vAlign w:val="bottom"/>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(350,749)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(1,883,418)</w:t>
            </w:r>
          </w:p>
        </w:tc>
      </w:tr>
      <w:tr>
        <w:trPr>
          <w:trHeight w:val="176"/>
        </w:trPr>
        <w:tc>
          <w:tcPr>
            <w:tcW w:w="76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Adjustments to reconcile net income (loss) from continuing operations to net cash provided by (used</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9"/>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 operating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2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1,227,607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1,152,062</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264,574</w:t>
            </w:r>
          </w:p>
        </w:tc>
      </w:tr>
      <w:tr>
        <w:trPr>
          <w:trHeight w:val="229"/>
        </w:trPr>
        <w:tc>
          <w:tcPr>
            <w:tcW w:w="7620" w:type="dxa"/>
            <w:vAlign w:val="bottom"/>
          </w:tcPr>
          <w:p>
            <w:pPr>
              <w:ind w:left="680"/>
              <w:spacing w:after="0"/>
              <w:rPr>
                <w:sz w:val="20"/>
                <w:szCs w:val="20"/>
                <w:color w:val="auto"/>
              </w:rPr>
            </w:pPr>
            <w:r>
              <w:rPr>
                <w:rFonts w:ascii="Arial" w:cs="Arial" w:eastAsia="Arial" w:hAnsi="Arial"/>
                <w:sz w:val="18"/>
                <w:szCs w:val="18"/>
                <w:color w:val="auto"/>
              </w:rPr>
              <w:t>Decrease in non-cash contingent consideration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(280,020)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(543,006)</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7"/>
              </w:rPr>
              <w:t>Decrease (increase) in cash surrender value of life insurance policies over premiums paid</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548,261</w:t>
            </w:r>
          </w:p>
        </w:tc>
      </w:tr>
      <w:tr>
        <w:trPr>
          <w:trHeight w:val="229"/>
        </w:trPr>
        <w:tc>
          <w:tcPr>
            <w:tcW w:w="7620" w:type="dxa"/>
            <w:vAlign w:val="bottom"/>
          </w:tcPr>
          <w:p>
            <w:pPr>
              <w:ind w:left="680"/>
              <w:spacing w:after="0"/>
              <w:rPr>
                <w:sz w:val="20"/>
                <w:szCs w:val="20"/>
                <w:color w:val="auto"/>
              </w:rPr>
            </w:pPr>
            <w:r>
              <w:rPr>
                <w:rFonts w:ascii="Arial" w:cs="Arial" w:eastAsia="Arial" w:hAnsi="Arial"/>
                <w:sz w:val="18"/>
                <w:szCs w:val="18"/>
                <w:color w:val="auto"/>
              </w:rPr>
              <w:t>Noncash interest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11,333</w:t>
            </w:r>
          </w:p>
        </w:tc>
      </w:tr>
      <w:tr>
        <w:trPr>
          <w:trHeight w:val="229"/>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620" w:type="dxa"/>
            <w:vAlign w:val="bottom"/>
          </w:tcPr>
          <w:p>
            <w:pPr>
              <w:ind w:left="100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(171,584)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2,014,438</w:t>
            </w:r>
          </w:p>
        </w:tc>
      </w:tr>
      <w:tr>
        <w:trPr>
          <w:trHeight w:val="229"/>
        </w:trPr>
        <w:tc>
          <w:tcPr>
            <w:tcW w:w="76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1,868,350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706,102</w:t>
            </w:r>
          </w:p>
        </w:tc>
      </w:tr>
      <w:tr>
        <w:trPr>
          <w:trHeight w:val="230"/>
        </w:trPr>
        <w:tc>
          <w:tcPr>
            <w:tcW w:w="7620" w:type="dxa"/>
            <w:vAlign w:val="bottom"/>
          </w:tcPr>
          <w:p>
            <w:pPr>
              <w:ind w:left="1000"/>
              <w:spacing w:after="0"/>
              <w:rPr>
                <w:sz w:val="20"/>
                <w:szCs w:val="20"/>
                <w:color w:val="auto"/>
              </w:rPr>
            </w:pPr>
            <w:r>
              <w:rPr>
                <w:rFonts w:ascii="Arial" w:cs="Arial" w:eastAsia="Arial" w:hAnsi="Arial"/>
                <w:sz w:val="18"/>
                <w:szCs w:val="18"/>
                <w:color w:val="auto"/>
              </w:rPr>
              <w:t>Other current assets and other assets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507,102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545,256</w:t>
            </w:r>
          </w:p>
        </w:tc>
      </w:tr>
      <w:tr>
        <w:trPr>
          <w:trHeight w:val="229"/>
        </w:trPr>
        <w:tc>
          <w:tcPr>
            <w:tcW w:w="76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Accounts payable and other current liabilities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(1,311,123)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(2,394,824)</w:t>
            </w:r>
          </w:p>
        </w:tc>
      </w:tr>
      <w:tr>
        <w:trPr>
          <w:trHeight w:val="229"/>
        </w:trPr>
        <w:tc>
          <w:tcPr>
            <w:tcW w:w="762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(865,109)</w:t>
            </w:r>
          </w:p>
        </w:tc>
      </w:tr>
      <w:tr>
        <w:trPr>
          <w:trHeight w:val="223"/>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(444,331)</w:t>
            </w:r>
          </w:p>
        </w:tc>
      </w:tr>
      <w:tr>
        <w:trPr>
          <w:trHeight w:val="229"/>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1,332,870</w:t>
            </w:r>
          </w:p>
        </w:tc>
      </w:tr>
      <w:tr>
        <w:trPr>
          <w:trHeight w:val="223"/>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1,785,549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888,539</w:t>
            </w:r>
          </w:p>
        </w:tc>
      </w:tr>
      <w:tr>
        <w:trPr>
          <w:trHeight w:val="209"/>
        </w:trPr>
        <w:tc>
          <w:tcPr>
            <w:tcW w:w="76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Additions to property and equipment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(22,726)</w:t>
            </w: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Note receivable investment funding</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Additions to intangible assets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(548,435)</w:t>
            </w:r>
          </w:p>
        </w:tc>
      </w:tr>
      <w:tr>
        <w:trPr>
          <w:trHeight w:val="223"/>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(571,161)</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620" w:type="dxa"/>
            <w:vAlign w:val="bottom"/>
          </w:tcPr>
          <w:p>
            <w:pPr>
              <w:ind w:left="680"/>
              <w:spacing w:after="0"/>
              <w:rPr>
                <w:sz w:val="20"/>
                <w:szCs w:val="20"/>
                <w:color w:val="auto"/>
              </w:rPr>
            </w:pPr>
            <w:r>
              <w:rPr>
                <w:rFonts w:ascii="Arial" w:cs="Arial" w:eastAsia="Arial" w:hAnsi="Arial"/>
                <w:sz w:val="18"/>
                <w:szCs w:val="18"/>
                <w:color w:val="auto"/>
              </w:rPr>
              <w:t>Borrowings on line of credit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18,500,000</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Repayments on line of credit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(18,500,000)</w:t>
            </w: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Cash payment of contingent consideration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(995,277)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(260,735)</w:t>
            </w:r>
          </w:p>
        </w:tc>
      </w:tr>
      <w:tr>
        <w:trPr>
          <w:trHeight w:val="230"/>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Repurchase of subsidiary shares from noncontrolling interest</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r>
      <w:tr>
        <w:trPr>
          <w:trHeight w:val="229"/>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Repurchase of common shares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(442,544)</w:t>
            </w:r>
          </w:p>
        </w:tc>
      </w:tr>
      <w:tr>
        <w:trPr>
          <w:trHeight w:val="223"/>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(1,298,079)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(1,503,279)</w:t>
            </w:r>
          </w:p>
        </w:tc>
      </w:tr>
      <w:tr>
        <w:trPr>
          <w:trHeight w:val="223"/>
        </w:trPr>
        <w:tc>
          <w:tcPr>
            <w:tcW w:w="7620" w:type="dxa"/>
            <w:vAlign w:val="bottom"/>
          </w:tcPr>
          <w:p>
            <w:pPr>
              <w:ind w:left="68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169,129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(1,185,901)</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28,212,635</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24,922,925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27,026,734</w:t>
            </w:r>
          </w:p>
        </w:tc>
      </w:tr>
      <w:tr>
        <w:trPr>
          <w:trHeight w:val="20"/>
        </w:trPr>
        <w:tc>
          <w:tcPr>
            <w:tcW w:w="7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Retained</w:t>
            </w:r>
          </w:p>
        </w:tc>
        <w:tc>
          <w:tcPr>
            <w:tcW w:w="1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Noncontrolling</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1520" w:type="dxa"/>
            <w:vAlign w:val="bottom"/>
            <w:gridSpan w:val="2"/>
          </w:tcPr>
          <w:p>
            <w:pPr>
              <w:ind w:left="44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earnings</w:t>
            </w: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interests</w:t>
            </w:r>
          </w:p>
        </w:tc>
        <w:tc>
          <w:tcPr>
            <w:tcW w:w="18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Total equity</w:t>
            </w:r>
          </w:p>
        </w:tc>
      </w:tr>
      <w:tr>
        <w:trPr>
          <w:trHeight w:val="223"/>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4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15,263,555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49,914,478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1,208,395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51,085,253</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20" w:type="dxa"/>
            <w:vAlign w:val="bottom"/>
          </w:tcPr>
          <w:p>
            <w:pPr>
              <w:jc w:val="right"/>
              <w:spacing w:after="0"/>
              <w:rPr>
                <w:sz w:val="20"/>
                <w:szCs w:val="20"/>
                <w:color w:val="auto"/>
              </w:rPr>
            </w:pPr>
            <w:r>
              <w:rPr>
                <w:rFonts w:ascii="Arial" w:cs="Arial" w:eastAsia="Arial" w:hAnsi="Arial"/>
                <w:sz w:val="18"/>
                <w:szCs w:val="18"/>
                <w:color w:val="auto"/>
              </w:rPr>
              <w:t>219,850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264,574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264,574</w:t>
            </w:r>
          </w:p>
        </w:tc>
      </w:tr>
      <w:tr>
        <w:trPr>
          <w:trHeight w:val="22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(441,624)</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(1,055,620)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(1,065,145)</w:t>
            </w:r>
          </w:p>
        </w:tc>
      </w:tr>
      <w:tr>
        <w:trPr>
          <w:trHeight w:val="223"/>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15,318,539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49,737,428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49,843,058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Retained</w:t>
            </w:r>
          </w:p>
        </w:tc>
        <w:tc>
          <w:tcPr>
            <w:tcW w:w="140" w:type="dxa"/>
            <w:vAlign w:val="bottom"/>
          </w:tcPr>
          <w:p>
            <w:pPr>
              <w:spacing w:after="0"/>
              <w:rPr>
                <w:sz w:val="20"/>
                <w:szCs w:val="20"/>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Noncontrolling</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520" w:type="dxa"/>
            <w:vAlign w:val="bottom"/>
          </w:tcPr>
          <w:p>
            <w:pPr>
              <w:spacing w:after="0"/>
              <w:rPr>
                <w:sz w:val="10"/>
                <w:szCs w:val="10"/>
                <w:color w:val="auto"/>
              </w:rPr>
            </w:pPr>
          </w:p>
        </w:tc>
        <w:tc>
          <w:tcPr>
            <w:tcW w:w="15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0"/>
                <w:szCs w:val="10"/>
                <w:color w:val="auto"/>
              </w:rPr>
            </w:pP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6"/>
              </w:rPr>
              <w:t>Total equity</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earnings (deficit)</w:t>
            </w:r>
          </w:p>
        </w:tc>
        <w:tc>
          <w:tcPr>
            <w:tcW w:w="1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interests</w:t>
            </w: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14,988,429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49,121,523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46,873,394</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187,759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162,960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162,960</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(303,088)</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1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166,828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(22,167)</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144,661</w:t>
            </w: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15,084,464</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48,981,395</w:t>
            </w:r>
          </w:p>
        </w:tc>
        <w:tc>
          <w:tcPr>
            <w:tcW w:w="3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(1,964,185)</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(139,283)</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46,877,927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gastroenterology and rheumatology.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 The Company promotes its approved products through its hospital and field sales forces in the United States and is establishing a network of international partners to bring its medicines to patients in their countries.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control and manufacturing professionals. The Company works closely with its third-party distribution partners to make its products available in the United States.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of the Company have been prepared on a basis consistent with the December 31, 2020,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2020 (the “2020 Annual Report on Form 10-K”). The results of operations for the three months ended March 31, 2021, are not necessarily indicative of the results to be expected for the entire fiscal year or any future period.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discussed further in Note 9, during May 2019, Cumberland entered into a Dissolution Agreement ("Dissolution Agreement") with Clinigen Healthcare Limited ("Clinigen") in which the Company returned the exclusive rights to commercialize Ethyol</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and Totect</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in the United States to Clinigen. Under the terms of the Dissolution Agreement, Cumberland is no longer involved directly or indirectly with the distribution, marketing and promotion of either Ethyol or Totect or any competing products following December 31, 2019. The Company's exit from Ethyol and Totect meets the accounting criteria to be reported as discontinued operations and the discontinued operating results have been presented in the financial statements and footnotes to reflect the discontinued status of Ethyol and Totect. Refer to Note 9,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prior period condensed consolidated statement of cash flows presentation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made a revision to prior period amounts to conform to the current year presentation of the cash surrender value of life insurance policies over premiums paid on the condensed consolidated statement of cash flows. The revised amounts were previously included as net changes in assets affecting operating activities. These revisions have no net effect on the reported net cash provided by operating activities nor any impact on the reported operating results or balance sheet for the 2020 period presented.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2020, the U.S. declared a health care emergency following the outbreak of the SARS-CoV-2, a novel strain of coronavirus that causes COVID-19, a respiratory illness.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has remained open for business, as the Company is considered to be essential by the United States Department of Homeland Security. The Company has implemented measures to address the impact of the novel coronavirus on the business and taken appropriate action to protect its employees, secure the supply chain, and support the patients who can benefit from its medicines. All of the Company's employees have been given the opportunity to work remotely, and those that wish to work from Cumberland's office and laboratories are encouraged to practice the behaviors outlined by the Centers for Disease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Throughout the pandemic, Cumberland has faced the same headwinds affecting other companies that rely on hospital admissions and patient visits to drive revenue. Our business and our clinical studies were impacted as less patients sought elective surgeries and our access to medical facilities was substantially limited. During 2020, we carefully monitored our supply chain during the pandemic including the flow of raw materials into the plants that manufacture our products as well as the batches of finished product emerging from those facilities. Several of our brands were negatively impacted by the lockdowns and postponement of physician office visits and elective procedures. However, we are fortunate to have a diversified product portfolio, with other brands delivering a strong performance.</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relies on third-party organizations around the world to supply components, manufacture and distribute its products. The Company is aware that it may experience revenue loss, supply interruptions, time delays and incur unplanned expenses as a result of the impact of the ongoing COVID-19 pandemic. The Company continues to monitor the COVID-19 pandemic situation both in the U.S. and internationally in order to maintain its employees’ safety and well-being, while also keeping its business operating. Given the uncertainty, magnitude and impact of such changes, the Company is unable to quantify the impact on the future results as of the date of this filing.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Financial Accounting Standards Board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as of the beginning of the first reporting period in which the guidance is adopted.</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electing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will adopt both ASU 2016-13 and ASU 2019-05 on January 1, 2023. The adoption of ASU 2016-13 and ASU 2019-05 are not expected to have a material impact on the Company’s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a contingent consideration liability associated with a business combination.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Segments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EARNINGS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numerator and denominator used to calculate diluted earnings (loss) per share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 March 31,</w:t>
            </w:r>
          </w:p>
        </w:tc>
        <w:tc>
          <w:tcPr>
            <w:tcW w:w="9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19"/>
                <w:szCs w:val="19"/>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(350,749)</w:t>
            </w:r>
          </w:p>
        </w:tc>
        <w:tc>
          <w:tcPr>
            <w:tcW w:w="14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(1,883,418)</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495,410</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818,273</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144,661</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(1,065,145)</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 subsidiary attributable to noncontrolling interest</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166,828</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(1,055,620)</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14,974,663</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15,240,614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other securities</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269,483</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337,695</w:t>
            </w:r>
          </w:p>
        </w:tc>
      </w:tr>
      <w:tr>
        <w:trPr>
          <w:trHeight w:val="224"/>
        </w:trPr>
        <w:tc>
          <w:tcPr>
            <w:tcW w:w="6740" w:type="dxa"/>
            <w:vAlign w:val="bottom"/>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15,244,146</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15,578,309</w:t>
            </w:r>
          </w:p>
        </w:tc>
      </w:tr>
    </w:tbl>
    <w:p>
      <w:pPr>
        <w:spacing w:after="0" w:line="200" w:lineRule="exact"/>
        <w:rPr>
          <w:sz w:val="20"/>
          <w:szCs w:val="20"/>
          <w:color w:val="auto"/>
        </w:rPr>
      </w:pPr>
    </w:p>
    <w:p>
      <w:pPr>
        <w:spacing w:after="0" w:line="2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2021 and 2020, restricted stock awards and options to purchase 215,600 and 431,226 shares of common stock, respectively, were outstanding but were not included in the computation of diluted earnings per share because the effect would be antidilutive.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accounts for revenues from contracts with customers under ASC 606, which became effective January 1,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The   Company’s   net   revenues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consisted   of   the   following   for   the   three   months   ended</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March   31,</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c>
          <w:tcPr>
            <w:tcW w:w="1060" w:type="dxa"/>
            <w:vAlign w:val="bottom"/>
          </w:tcPr>
          <w:p>
            <w:pPr>
              <w:jc w:val="right"/>
              <w:spacing w:after="0"/>
              <w:rPr>
                <w:sz w:val="20"/>
                <w:szCs w:val="20"/>
                <w:color w:val="auto"/>
              </w:rPr>
            </w:pPr>
            <w:r>
              <w:rPr>
                <w:rFonts w:ascii="Arial" w:cs="Arial" w:eastAsia="Arial" w:hAnsi="Arial"/>
                <w:sz w:val="18"/>
                <w:szCs w:val="18"/>
                <w:color w:val="auto"/>
              </w:rPr>
              <w:t>and   2020:</w:t>
            </w:r>
          </w:p>
        </w:tc>
      </w:tr>
      <w:tr>
        <w:trPr>
          <w:trHeight w:val="256"/>
        </w:trPr>
        <w:tc>
          <w:tcPr>
            <w:tcW w:w="280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1"/>
              </w:rPr>
              <w:t>Three months ended March 31,</w:t>
            </w:r>
          </w:p>
        </w:tc>
      </w:tr>
      <w:tr>
        <w:trPr>
          <w:trHeight w:val="223"/>
        </w:trPr>
        <w:tc>
          <w:tcPr>
            <w:tcW w:w="280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1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5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280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5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2,994,378</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3,311,696</w:t>
            </w:r>
          </w:p>
        </w:tc>
      </w:tr>
      <w:tr>
        <w:trPr>
          <w:trHeight w:val="230"/>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Vibativ</w:t>
            </w:r>
          </w:p>
        </w:tc>
        <w:tc>
          <w:tcPr>
            <w:tcW w:w="5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5,052,243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2,425,755</w:t>
            </w:r>
          </w:p>
        </w:tc>
      </w:tr>
      <w:tr>
        <w:trPr>
          <w:trHeight w:val="229"/>
        </w:trPr>
        <w:tc>
          <w:tcPr>
            <w:tcW w:w="2800" w:type="dxa"/>
            <w:vAlign w:val="bottom"/>
          </w:tcPr>
          <w:p>
            <w:pPr>
              <w:ind w:left="360"/>
              <w:spacing w:after="0"/>
              <w:rPr>
                <w:sz w:val="20"/>
                <w:szCs w:val="20"/>
                <w:color w:val="auto"/>
              </w:rPr>
            </w:pPr>
            <w:r>
              <w:rPr>
                <w:rFonts w:ascii="Arial" w:cs="Arial" w:eastAsia="Arial" w:hAnsi="Arial"/>
                <w:sz w:val="18"/>
                <w:szCs w:val="18"/>
                <w:color w:val="auto"/>
              </w:rPr>
              <w:t>Caldolor</w:t>
            </w:r>
          </w:p>
        </w:tc>
        <w:tc>
          <w:tcPr>
            <w:tcW w:w="5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1,539,496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1,096,291</w:t>
            </w:r>
          </w:p>
        </w:tc>
      </w:tr>
      <w:tr>
        <w:trPr>
          <w:trHeight w:val="230"/>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Acetadote</w:t>
            </w:r>
          </w:p>
        </w:tc>
        <w:tc>
          <w:tcPr>
            <w:tcW w:w="5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117,191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713,899</w:t>
            </w:r>
          </w:p>
        </w:tc>
      </w:tr>
      <w:tr>
        <w:trPr>
          <w:trHeight w:val="230"/>
        </w:trPr>
        <w:tc>
          <w:tcPr>
            <w:tcW w:w="280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5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(450,263)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114,770</w:t>
            </w:r>
          </w:p>
        </w:tc>
      </w:tr>
      <w:tr>
        <w:trPr>
          <w:trHeight w:val="230"/>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Vaprisol</w:t>
            </w:r>
          </w:p>
        </w:tc>
        <w:tc>
          <w:tcPr>
            <w:tcW w:w="5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1,134,264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208,763</w:t>
            </w:r>
          </w:p>
        </w:tc>
      </w:tr>
      <w:tr>
        <w:trPr>
          <w:trHeight w:val="229"/>
        </w:trPr>
        <w:tc>
          <w:tcPr>
            <w:tcW w:w="2800" w:type="dxa"/>
            <w:vAlign w:val="bottom"/>
          </w:tcPr>
          <w:p>
            <w:pPr>
              <w:ind w:left="360"/>
              <w:spacing w:after="0"/>
              <w:rPr>
                <w:sz w:val="20"/>
                <w:szCs w:val="20"/>
                <w:color w:val="auto"/>
              </w:rPr>
            </w:pPr>
            <w:r>
              <w:rPr>
                <w:rFonts w:ascii="Arial" w:cs="Arial" w:eastAsia="Arial" w:hAnsi="Arial"/>
                <w:sz w:val="18"/>
                <w:szCs w:val="18"/>
                <w:color w:val="auto"/>
              </w:rPr>
              <w:t>RediTrex</w:t>
            </w:r>
          </w:p>
        </w:tc>
        <w:tc>
          <w:tcPr>
            <w:tcW w:w="5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(32,252)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5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182,102</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459,560</w:t>
            </w: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5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10,537,159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8,330,734</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Omeclamox-Pak revenue for the first quarter of 2021 was the result of Cumberland currently being out of commercial inventory of this product. The packager for our Omeclamox-Pak product encountered financial difficulties due to the impact of COVID-19, and their operations are currently suspended. The Company is awaiting resumption of their operations. Net revenue for the first quarter of 2021 was also negatively impacted by product returns during the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agreements with international partners for commercialization of the Company's products with associated payments included in other revenues. Those agreements provide that each of the partners are responsible for seeking regulatory approvals for the product, and following approval, each partner will be responsible for the ongoing distribution and sales in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both"/>
        <w:spacing w:after="0" w:line="294" w:lineRule="auto"/>
        <w:rPr>
          <w:sz w:val="20"/>
          <w:szCs w:val="20"/>
          <w:color w:val="auto"/>
        </w:rPr>
      </w:pPr>
      <w:r>
        <w:rPr>
          <w:rFonts w:ascii="Arial" w:cs="Arial" w:eastAsia="Arial" w:hAnsi="Arial"/>
          <w:sz w:val="16"/>
          <w:szCs w:val="16"/>
          <w:color w:val="auto"/>
        </w:rPr>
        <w:t>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revenues also include funding from federal grant programs including those secured by CET through the Small Business Administration as well as lease income generated by CET’s Life Sciences Center. The Life Sciences Center is a research center that provides scientists with access to flexible lab space and other resources to develop biomedical products. Grant revenue from these programs totaled approximately $0.1 million and $0.2 million for the three months ended March 31, 2021 and 2020,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Company works closely with third parties to manufacture and package finished goods for sale. Based on the arrangements with the manufacturer or</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March 31, 2021 and December 31, 2020, the Company had recognized and maintained cumulative net realizable value charges for potential obsolescence and discontinuance losses of approximately $0.1 million and $0.2 million, respectively.</w:t>
      </w:r>
    </w:p>
    <w:p>
      <w:pPr>
        <w:spacing w:after="0" w:line="7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acquisition of certain product rights related to the Kristalose brand, the Company is responsible for the purchase of the active pharmaceutical ingredient (“API”) for Kristalose and maintains the inventory at third-party packagers. As that API is consumed in production, the value of the API is transferred from raw materials to finished goods. API for the Company's Vaprisol brand is also included in the raw materials inventory at March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31, 2021 and December 31, 2020. Consigned inventory represents Authorized Generic inventory stored with Perrigo until shipment.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Vibativ acquisition, Cumberland acquired API and work in process inventories of $15.6 million that were all initially classified as non-current inventories at the date of acquisition. At March 31, 2021 and December 31, 2020, total non-current inventory, including Vibativ and ifetroban, was $10.4 million and $11.7 million, respectively. The Company had $0.8 million and $2.1 million of Vibativ finished goods included in non-current inventory at March 31, 2021 and December 31, 2020. The Company also has obtained $0.4 million of finished goods in non-current inventory for API related to its ifetroban clinical initiatives at March 31, 2021 and December 31,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and December 31, 2020 the Company's net inventories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r>
      <w:tr>
        <w:trPr>
          <w:trHeight w:val="142"/>
        </w:trPr>
        <w:tc>
          <w:tcPr>
            <w:tcW w:w="67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work in process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14,763,418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16,223,162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Consigned inventory</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166,052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128,005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5,497,079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5,943,732</w:t>
            </w: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20,426,549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22,294,899</w:t>
            </w:r>
          </w:p>
        </w:tc>
      </w:tr>
      <w:tr>
        <w:trPr>
          <w:trHeight w:val="230"/>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non-current inventories</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(10,415,786)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(11,656,742)</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inventories classified as current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10,010,763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10,638,157</w:t>
            </w: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 w:name="page11"/>
    <w:bookmarkEnd w:id="10"/>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Cumberland’s significant operating leases include the lease of approximately 25,500 square feet of office space in Nashville, Tennessee for its corporate headquarters. This lease currently expires in October 2022. The operating leases also include the lease of approximately 14,200 square feet of wet laboratory and office space in Nashville, Tennessee by CET, our majority-owned subsidiary, where it operates the CET Life Sciences Center. This lease currently expires in April 2023.</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lease liabilities are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Cumberland’s leases do not contain implicit borrowing rates, the incremental borrowing rates were calculated based on information available at January 1, 2019. Incremental borrowing rates reflect the Company’s estimated interest rates for collateralized borrowings over similar lease terms. The weighted-average incremental borrowing rate used to discount the present value of the remaining lease payments is 7.42%. The weighted-average remaining lease term at March 31, 2021 is 1.7 years.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and December 31, 2020 , the Company's lease assets and liabilities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ind w:left="2820"/>
              <w:spacing w:after="0"/>
              <w:rPr>
                <w:sz w:val="20"/>
                <w:szCs w:val="20"/>
                <w:color w:val="auto"/>
              </w:rPr>
            </w:pPr>
            <w:r>
              <w:rPr>
                <w:rFonts w:ascii="Arial" w:cs="Arial" w:eastAsia="Arial" w:hAnsi="Arial"/>
                <w:sz w:val="18"/>
                <w:szCs w:val="18"/>
                <w:b w:val="1"/>
                <w:bCs w:val="1"/>
                <w:color w:val="auto"/>
              </w:rPr>
              <w:t>Right-of-Use Assets</w:t>
            </w:r>
          </w:p>
        </w:tc>
        <w:tc>
          <w:tcPr>
            <w:tcW w:w="20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1,784,142</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2,028,148</w:t>
            </w:r>
          </w:p>
        </w:tc>
      </w:tr>
      <w:tr>
        <w:trPr>
          <w:trHeight w:val="439"/>
        </w:trPr>
        <w:tc>
          <w:tcPr>
            <w:tcW w:w="7320" w:type="dxa"/>
            <w:vAlign w:val="bottom"/>
            <w:gridSpan w:val="2"/>
          </w:tcPr>
          <w:p>
            <w:pPr>
              <w:ind w:left="2940"/>
              <w:spacing w:after="0"/>
              <w:rPr>
                <w:sz w:val="20"/>
                <w:szCs w:val="20"/>
                <w:color w:val="auto"/>
              </w:rPr>
            </w:pPr>
            <w:r>
              <w:rPr>
                <w:rFonts w:ascii="Arial" w:cs="Arial" w:eastAsia="Arial" w:hAnsi="Arial"/>
                <w:sz w:val="18"/>
                <w:szCs w:val="18"/>
                <w:b w:val="1"/>
                <w:bCs w:val="1"/>
                <w:color w:val="auto"/>
              </w:rPr>
              <w:t>Lease Liabilities</w:t>
            </w:r>
          </w:p>
        </w:tc>
        <w:tc>
          <w:tcPr>
            <w:tcW w:w="20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lease current liabilities</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1,042,074</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1,016,779</w:t>
            </w:r>
          </w:p>
        </w:tc>
      </w:tr>
      <w:tr>
        <w:trPr>
          <w:trHeight w:val="108"/>
        </w:trPr>
        <w:tc>
          <w:tcPr>
            <w:tcW w:w="73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789,200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1,059,693</w:t>
            </w:r>
          </w:p>
        </w:tc>
      </w:tr>
      <w:tr>
        <w:trPr>
          <w:trHeight w:val="22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1,831,274</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2,076,472</w:t>
            </w:r>
          </w:p>
        </w:tc>
      </w:tr>
      <w:tr>
        <w:trPr>
          <w:trHeight w:val="21"/>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Cumulative future minimum sublease income under non-cancelable operating subleases totals approximately $0.3 million and will be paid through the leases ending in October 2022 and April 2023. Future minimum lease payments under non-cancelable operating leases (with initial or remaining lease terms in excess of one year)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gridSpan w:val="2"/>
          </w:tcPr>
          <w:p>
            <w:pPr>
              <w:ind w:left="2600"/>
              <w:spacing w:after="0"/>
              <w:rPr>
                <w:sz w:val="20"/>
                <w:szCs w:val="20"/>
                <w:color w:val="auto"/>
              </w:rPr>
            </w:pPr>
            <w:r>
              <w:rPr>
                <w:rFonts w:ascii="Arial" w:cs="Arial" w:eastAsia="Arial" w:hAnsi="Arial"/>
                <w:sz w:val="18"/>
                <w:szCs w:val="18"/>
                <w:b w:val="1"/>
                <w:bCs w:val="1"/>
                <w:color w:val="auto"/>
              </w:rPr>
              <w:t>Maturity of Lease Liabilities at March 31, 2021</w:t>
            </w:r>
          </w:p>
        </w:tc>
        <w:tc>
          <w:tcPr>
            <w:tcW w:w="2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Operating Leases</w:t>
            </w:r>
          </w:p>
        </w:tc>
      </w:tr>
      <w:tr>
        <w:trPr>
          <w:trHeight w:val="223"/>
        </w:trPr>
        <w:tc>
          <w:tcPr>
            <w:tcW w:w="8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862,682</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1,019,313</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92,478</w:t>
            </w: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After 2023</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1,974,473</w:t>
            </w: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(143,199)</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1,831,274</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is recognized over the expected term of the lease, including renewal option periods, if applicable, on a straight-line basis as a component of general and administrative expense. Rent expense and sublease income were as follows:</w:t>
      </w:r>
    </w:p>
    <w:p>
      <w:pPr>
        <w:spacing w:after="0" w:line="139" w:lineRule="exact"/>
        <w:rPr>
          <w:sz w:val="20"/>
          <w:szCs w:val="20"/>
          <w:color w:val="auto"/>
        </w:rPr>
      </w:pPr>
    </w:p>
    <w:tbl>
      <w:tblPr>
        <w:tblLayout w:type="fixed"/>
        <w:tblInd w:w="210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23"/>
        </w:trPr>
        <w:tc>
          <w:tcPr>
            <w:tcW w:w="3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142"/>
        </w:trPr>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5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227,395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221,201</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5"/>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178,029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169,631</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 AND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 currently has a share repurchase program to repurchase up to $10 million of its common stock pursuant to Rule 10b-18 of the Securities Exchange Act of 1934. In January 2019, the Company's Board of Directors established the current $10 million repurchase program to replace the prior authorizations. During the three months ended March 31, 2021 and March 31, 2020, the Company repurchased 91,724 shares and 164,866 shares, respectively, of common stock for approximately $0.3 million and $0.4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purchases and sales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Company's March 2021 trading window, several members of Cumberland's Board of Directors entered into share purchase agreements of the Company's stock pursuant to Rule 10b-18 of the Securities Exchange Act of 1934. These purchases are designed to increase ownership in the Company by the members of the Board.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Sales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2017, Cumberland filed a Shelf Registration on Form S-3 with the SEC associated with the sale of up to $100 million in corporate securities. The Shelf Registration was declared effective in January 2018. It also included an At the Market ("ATM") feature that allows the Company to sell common shares at market prices, along with an agreement with B. Riley FBR Inc. to support such a placement of shares. The Company filed an updated Form S-3 with the SEC in December 2020, which was declared effective in January 2021. The Company does not currently have an ATM feature in place. Cumberland plans to continue to evaluate the market for its common shares, and if favorable, will further evaluate whether or not to enter into an ATM feature through B. Riley FBR, Inc. that would allow the Company to issue shares of its common stock. The Company did not issue any shares under an ATM during the three months ended March 31, 2021 or March 31,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Grants and Incentive Stock Options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three months ended March 31, 2021 and March 31, 2020, the Company issued 35,850 shares and 229,141 shares of restricted stock to employees and directors, respectively. Restricted stock issued to employees generally cliff-vests on the fourth anniversary of the date of grant and for directors on the one-year anniversary of the date of grant. During the three months ended March 31, 2021, the Company also issued 172,350 incentive stock options to employees that cliff-vest on the fourth anniversary of the date of grant, that are set to expire in March 2031. Stock compensation expense is presented as a component of general and administrative expense in the condensed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7, 2020, the Company entered into a Third Amendment to the Revolving Credit Note and Fourth Amendment (“Fourth Amendment”) to the Revolving Credit Loan Agreement with Pinnacle Bank (the “Pinnacle Agreement”). The original Pinnacle Agreement was dated July 2017. The Fourth Amendment provides for a principal available for borrowing of up to $15 million and Cumberland has the ability to request an increase of up to an additional $5 million, upon the satisfaction of certain conditions and approval by Pinnacle Bank. If fully expanded, the Fourth Amendment would provide a maximum principal available for borrowing of up to $20 million. The Fourth Amendment extended the maturity date of the Pinnacle Agreement through October 1, 2022.</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10, 2019, the Company entered into a third amendment ("Third Amendment") to the Pinnacle Agreement, which extended the term of the Pinnacle Agreement through July 31, 2021 as well as modified certain definitions and terms of the existing financial covenants, including the definition of the Funded Debt Ratio and the compliance target of the Tangible Capital Ratio. Both Third Amendment modifications were related to the Vibativ transaction. Under the Pinnacle Agreement, Cumberland was initially subject to one financial covenant, the maintenance of a Funded Debt Ratio, as such term is defined in the agreement and determined on a quarterly basis. On August 14, 2018, the Company amended the Pinnacle Agreement ("First Amendment") to replace the single financial covenant with the maintenance of either the Funded Debt Ratio or a Tangible Capital Ratio, as defined in the First Amendment. The Company was in compliance with the Tangible Capital Ratio financial covenant as of March 31,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the Company had $15.0 million in borrowings outstanding under its revolving credit facility.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interest rate on the Pinnacle Agreement is based on LIBOR plus an interest rate spread. The pricing under the Fourth Amendment provides for an interest rate spread of 1.75% to 2.75% above LIBOR with a minimum LIBOR of 0.90%.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applicable interest rate under the Pinnacle Agreement was 3.65% at March 31, 2021. In addition, a fee of 0.25% per year is charged on the unused line of credit. Interest and the unused line fee are payable quarterly.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line of credit are collateralized by substantially all of our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20, 2020, Cumberland received the funding of a loan from Pinnacle Bank in the amount of $2,187,140 pursuant to the Paycheck Protection Program (the “PPP”) under the Federal Coronavirus Aid, Relief, and Economic Security Act ("CARES Act"), which was enacted March 27, 2020.</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PPP is administered by the U.S. Small Business Administration ("SBA"). The loan matures April 14, 2022, and bears interest at a rate of 1.0% per year, payable monthly. The loan may be prepaid at any time prior to maturity with no prepayment penalties. Funds from the loan are to be used to maintain payroll, continue group health care benefits and pay for rent and utilities.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PPP, certain amounts of the loan may be forgiven if they are used for qualifying expenses as described in the CARES Act, including</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qualifying payroll costs, covered rent payments, and covered utilities. From the date of funding the Company used the loan amount for such qualifying expenses. Cumberland has elected to account for the proceeds of the loan as a government grant under </w:t>
      </w:r>
      <w:r>
        <w:rPr>
          <w:rFonts w:ascii="Arial" w:cs="Arial" w:eastAsia="Arial" w:hAnsi="Arial"/>
          <w:sz w:val="17"/>
          <w:szCs w:val="17"/>
          <w:i w:val="1"/>
          <w:iCs w:val="1"/>
          <w:color w:val="auto"/>
        </w:rPr>
        <w:t>International Accounting Standard 20 ("IAS 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Government Grants and Disclosure of Government Assistance. </w:t>
      </w:r>
      <w:r>
        <w:rPr>
          <w:rFonts w:ascii="Arial" w:cs="Arial" w:eastAsia="Arial" w:hAnsi="Arial"/>
          <w:sz w:val="17"/>
          <w:szCs w:val="17"/>
          <w:color w:val="auto"/>
        </w:rPr>
        <w:t>The permitted analogous use of IAS 20 outlines a model for the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government assistance, including forgivable loans. As a result, the Company has recorded the $2,187,140 as a deferred income liability, which is included as a component of other current liabilities on the condensed consolidated balance sheet. The Company intends to apply IAS 20 to the PPP loan forgiveness and has presented the amounts expected to be forgiven as deferred income. The Company will account for the anticipated forgiveness of the PPP loan under IAS 20 when the Company believes that the forgiveness is reasonably assured.</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applied for this loan after carefully considering, with its bank, the eligibility criteria to participate in this program, and determining that Cumberland met these criteria. The Company evaluated and provided information on our payroll and other qualifying expenses to determine the amount of PPP funds to apply for.</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has not laid off or furloughed any employees as a result of the COVID-19 pandemic and, based on assistance from the PPP loan, the Company currently does not foresee doing so. In October 2020, the Company submitted a request for forgiveness of the PPP loan. The request was approved by the lender, Pinnacle Bank, who then submitted it to SBA for the SBA's review and approval.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Agreement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2020, Cumberland entered into an agreement with WinHealth Investment (Singapore) Ltd creating </w:t>
      </w:r>
      <w:r>
        <w:rPr>
          <w:rFonts w:ascii="Arial" w:cs="Arial" w:eastAsia="Arial" w:hAnsi="Arial"/>
          <w:sz w:val="17"/>
          <w:szCs w:val="17"/>
          <w:i w:val="1"/>
          <w:iCs w:val="1"/>
          <w:color w:val="auto"/>
        </w:rPr>
        <w:t>WHC Biopharmaceuticals, Pte. Ltd</w:t>
      </w:r>
      <w:r>
        <w:rPr>
          <w:rFonts w:ascii="Arial" w:cs="Arial" w:eastAsia="Arial" w:hAnsi="Arial"/>
          <w:sz w:val="17"/>
          <w:szCs w:val="17"/>
          <w:color w:val="auto"/>
        </w:rPr>
        <w:t>.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a $0.2 million convertible note, which was funded during the three months ended March 31, 2021. The joint venture will seek additional future capital from additional investors and has entered into exclusive option agreements to license intellectual property from both Cumberland Pharmaceuticals Inc. and Cumberland Emerging Technologies.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2021, the Company has approximately $56.3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2021 and beyond, through the continued utilization of these net operating loss carryforwards, on any taxable income generated from our operations. The Company does not allocate any portion of its income tax expense (benefit) to discontinued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COLLABORATIVE AGREEMENTS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Cumberland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received related to RediTrex, do not meet the criteria for accounting under ASC Topic 808, </w:t>
      </w:r>
      <w:r>
        <w:rPr>
          <w:rFonts w:ascii="Arial" w:cs="Arial" w:eastAsia="Arial" w:hAnsi="Arial"/>
          <w:sz w:val="16"/>
          <w:szCs w:val="16"/>
          <w:i w:val="1"/>
          <w:iCs w:val="1"/>
          <w:color w:val="auto"/>
        </w:rPr>
        <w:t>Collaborative Agreements</w:t>
      </w:r>
      <w:r>
        <w:rPr>
          <w:rFonts w:ascii="Arial" w:cs="Arial" w:eastAsia="Arial" w:hAnsi="Arial"/>
          <w:sz w:val="16"/>
          <w:szCs w:val="16"/>
          <w:color w:val="auto"/>
        </w:rPr>
        <w:t>. The agreements do not specifically designate each party’s rights and obligations to each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ADDITIONS AND RETURN OF PRODUCT RIGHTS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Vibativ</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Food and Drug Administration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Cumberland has accounted for the transaction as a business combination in accordance with ASC 805 and the product sales are included in the results of operations subsequent to the acquisition date. The Company made an upfront payment of $20.0 million at the closing of the transaction and a $5.0 million milestone payment in early April 2019. In addition, Cumberland has agreed to pay a royalty of up to 20% on future net sales of the product. The future royalty payments were required to be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the fair value of the contingent consideration liability that is remeasured on a recurring basis. The contingent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consideration</w:t>
            </w:r>
          </w:p>
        </w:tc>
        <w:tc>
          <w:tcPr>
            <w:tcW w:w="1120" w:type="dxa"/>
            <w:vAlign w:val="bottom"/>
          </w:tcPr>
          <w:p>
            <w:pPr>
              <w:ind w:left="240"/>
              <w:spacing w:after="0"/>
              <w:rPr>
                <w:sz w:val="20"/>
                <w:szCs w:val="20"/>
                <w:color w:val="auto"/>
              </w:rPr>
            </w:pPr>
            <w:r>
              <w:rPr>
                <w:rFonts w:ascii="Arial" w:cs="Arial" w:eastAsia="Arial" w:hAnsi="Arial"/>
                <w:sz w:val="18"/>
                <w:szCs w:val="18"/>
                <w:color w:val="auto"/>
              </w:rPr>
              <w:t>earned</w:t>
            </w:r>
          </w:p>
        </w:tc>
        <w:tc>
          <w:tcPr>
            <w:tcW w:w="800" w:type="dxa"/>
            <w:vAlign w:val="bottom"/>
          </w:tcPr>
          <w:p>
            <w:pPr>
              <w:ind w:left="100"/>
              <w:spacing w:after="0"/>
              <w:rPr>
                <w:sz w:val="20"/>
                <w:szCs w:val="20"/>
                <w:color w:val="auto"/>
              </w:rPr>
            </w:pPr>
            <w:r>
              <w:rPr>
                <w:rFonts w:ascii="Arial" w:cs="Arial" w:eastAsia="Arial" w:hAnsi="Arial"/>
                <w:sz w:val="18"/>
                <w:szCs w:val="18"/>
                <w:color w:val="auto"/>
              </w:rPr>
              <w:t>and</w:t>
            </w:r>
          </w:p>
        </w:tc>
        <w:tc>
          <w:tcPr>
            <w:tcW w:w="860" w:type="dxa"/>
            <w:vAlign w:val="bottom"/>
          </w:tcPr>
          <w:p>
            <w:pPr>
              <w:ind w:left="40"/>
              <w:spacing w:after="0"/>
              <w:rPr>
                <w:sz w:val="20"/>
                <w:szCs w:val="20"/>
                <w:color w:val="auto"/>
              </w:rPr>
            </w:pPr>
            <w:r>
              <w:rPr>
                <w:rFonts w:ascii="Arial" w:cs="Arial" w:eastAsia="Arial" w:hAnsi="Arial"/>
                <w:sz w:val="18"/>
                <w:szCs w:val="18"/>
                <w:color w:val="auto"/>
              </w:rPr>
              <w:t>accrued</w:t>
            </w:r>
          </w:p>
        </w:tc>
        <w:tc>
          <w:tcPr>
            <w:tcW w:w="620" w:type="dxa"/>
            <w:vAlign w:val="bottom"/>
          </w:tcPr>
          <w:p>
            <w:pPr>
              <w:ind w:left="240"/>
              <w:spacing w:after="0"/>
              <w:rPr>
                <w:sz w:val="20"/>
                <w:szCs w:val="20"/>
                <w:color w:val="auto"/>
              </w:rPr>
            </w:pPr>
            <w:r>
              <w:rPr>
                <w:rFonts w:ascii="Arial" w:cs="Arial" w:eastAsia="Arial" w:hAnsi="Arial"/>
                <w:sz w:val="18"/>
                <w:szCs w:val="18"/>
                <w:color w:val="auto"/>
              </w:rPr>
              <w:t>in</w:t>
            </w:r>
          </w:p>
        </w:tc>
        <w:tc>
          <w:tcPr>
            <w:tcW w:w="128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1040" w:type="dxa"/>
            <w:vAlign w:val="bottom"/>
          </w:tcPr>
          <w:p>
            <w:pPr>
              <w:ind w:left="140"/>
              <w:spacing w:after="0"/>
              <w:rPr>
                <w:sz w:val="20"/>
                <w:szCs w:val="20"/>
                <w:color w:val="auto"/>
              </w:rPr>
            </w:pPr>
            <w:r>
              <w:rPr>
                <w:rFonts w:ascii="Arial" w:cs="Arial" w:eastAsia="Arial" w:hAnsi="Arial"/>
                <w:sz w:val="18"/>
                <w:szCs w:val="18"/>
                <w:color w:val="auto"/>
              </w:rPr>
              <w:t>expenses</w:t>
            </w:r>
          </w:p>
        </w:tc>
        <w:tc>
          <w:tcPr>
            <w:tcW w:w="600" w:type="dxa"/>
            <w:vAlign w:val="bottom"/>
          </w:tcPr>
          <w:p>
            <w:pPr>
              <w:ind w:left="240"/>
              <w:spacing w:after="0"/>
              <w:rPr>
                <w:sz w:val="20"/>
                <w:szCs w:val="20"/>
                <w:color w:val="auto"/>
              </w:rPr>
            </w:pPr>
            <w:r>
              <w:rPr>
                <w:rFonts w:ascii="Arial" w:cs="Arial" w:eastAsia="Arial" w:hAnsi="Arial"/>
                <w:sz w:val="18"/>
                <w:szCs w:val="18"/>
                <w:color w:val="auto"/>
              </w:rPr>
              <w:t>is</w:t>
            </w:r>
          </w:p>
        </w:tc>
        <w:tc>
          <w:tcPr>
            <w:tcW w:w="800" w:type="dxa"/>
            <w:vAlign w:val="bottom"/>
          </w:tcPr>
          <w:p>
            <w:pPr>
              <w:ind w:left="240"/>
              <w:spacing w:after="0"/>
              <w:rPr>
                <w:sz w:val="20"/>
                <w:szCs w:val="20"/>
                <w:color w:val="auto"/>
              </w:rPr>
            </w:pPr>
            <w:r>
              <w:rPr>
                <w:rFonts w:ascii="Arial" w:cs="Arial" w:eastAsia="Arial" w:hAnsi="Arial"/>
                <w:sz w:val="18"/>
                <w:szCs w:val="18"/>
                <w:color w:val="auto"/>
              </w:rPr>
              <w:t>paid</w:t>
            </w:r>
          </w:p>
        </w:tc>
        <w:tc>
          <w:tcPr>
            <w:tcW w:w="420" w:type="dxa"/>
            <w:vAlign w:val="bottom"/>
          </w:tcPr>
          <w:p>
            <w:pPr>
              <w:ind w:left="240"/>
              <w:spacing w:after="0"/>
              <w:rPr>
                <w:sz w:val="20"/>
                <w:szCs w:val="20"/>
                <w:color w:val="auto"/>
              </w:rPr>
            </w:pPr>
            <w:r>
              <w:rPr>
                <w:rFonts w:ascii="Arial" w:cs="Arial" w:eastAsia="Arial" w:hAnsi="Arial"/>
                <w:sz w:val="18"/>
                <w:szCs w:val="18"/>
                <w:color w:val="auto"/>
              </w:rPr>
              <w:t>to</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Theravance</w:t>
            </w:r>
          </w:p>
        </w:tc>
        <w:tc>
          <w:tcPr>
            <w:tcW w:w="980" w:type="dxa"/>
            <w:vAlign w:val="bottom"/>
          </w:tcPr>
          <w:p>
            <w:pPr>
              <w:jc w:val="right"/>
              <w:spacing w:after="0"/>
              <w:rPr>
                <w:sz w:val="20"/>
                <w:szCs w:val="20"/>
                <w:color w:val="auto"/>
              </w:rPr>
            </w:pPr>
            <w:r>
              <w:rPr>
                <w:rFonts w:ascii="Arial" w:cs="Arial" w:eastAsia="Arial" w:hAnsi="Arial"/>
                <w:sz w:val="18"/>
                <w:szCs w:val="18"/>
                <w:color w:val="auto"/>
              </w:rPr>
              <w:t>quarterly.</w:t>
            </w:r>
          </w:p>
        </w:tc>
      </w:tr>
      <w:tr>
        <w:trPr>
          <w:trHeight w:val="269"/>
        </w:trPr>
        <w:tc>
          <w:tcPr>
            <w:tcW w:w="234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Balance at December 31, 2020</w:t>
            </w: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8,200,552</w:t>
            </w:r>
          </w:p>
        </w:tc>
      </w:tr>
      <w:tr>
        <w:trPr>
          <w:trHeight w:val="229"/>
        </w:trPr>
        <w:tc>
          <w:tcPr>
            <w:tcW w:w="3140" w:type="dxa"/>
            <w:vAlign w:val="bottom"/>
            <w:gridSpan w:val="3"/>
          </w:tcPr>
          <w:p>
            <w:pPr>
              <w:ind w:left="20"/>
              <w:spacing w:after="0"/>
              <w:rPr>
                <w:sz w:val="20"/>
                <w:szCs w:val="20"/>
                <w:color w:val="auto"/>
              </w:rPr>
            </w:pPr>
            <w:r>
              <w:rPr>
                <w:rFonts w:ascii="Arial" w:cs="Arial" w:eastAsia="Arial" w:hAnsi="Arial"/>
                <w:sz w:val="18"/>
                <w:szCs w:val="18"/>
                <w:color w:val="auto"/>
                <w:w w:val="92"/>
              </w:rPr>
              <w:t>Cash payment of royalty during the period</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(995,277)</w:t>
            </w:r>
          </w:p>
        </w:tc>
      </w:tr>
      <w:tr>
        <w:trPr>
          <w:trHeight w:val="230"/>
        </w:trPr>
        <w:tc>
          <w:tcPr>
            <w:tcW w:w="59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2"/>
              </w:rPr>
              <w:t>Change in fair value of contingent consideration included in operating expenses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(280,020)</w:t>
            </w:r>
          </w:p>
        </w:tc>
      </w:tr>
      <w:tr>
        <w:trPr>
          <w:trHeight w:val="230"/>
        </w:trPr>
        <w:tc>
          <w:tcPr>
            <w:tcW w:w="590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10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410,790</w:t>
            </w: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7,336,045</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contingent consideration liability of $7.3 million was classified as other current liabilities of $2.7 million and other long-term liabilities of $4.6 million on the condensed consolidated balance sheet as of March 31,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RediTrex</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consideration for the license Cumberland paid a deposit of $100,000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is responsible for the product registration and commercialization in the U.S. Nordic is responsible for product manufacturing and supply.</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27, 2019, Cumberland received FDA approval for the first Nordic injectable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During December 2020, Cumberland launched RediTrex and the launch also resulted in a $1.0 million milestone payment due to Nordic. This milestone payment will be paid during 2021 and was recorded as an other current liability at December 31,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Cumberland has approximately $2.8 million in net intangible assets related to RediTrex at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Ethyol and Totect</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2016, Cumberland entered into an agreement with Clinigen for the rights and responsibilities associated with the commercialization of Ethyol in the United States. In 2017, the Company entered into another agreement with Clinigen for the rights and responsibilities associated with the commercialization of Totect in the United States.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Early in 2019, Cumberland announced a strategic review of the Company's brands, capabilities, and international partners. This review followed an accelerated business development initiative, which resulted in a series of transactions. During May 2019, Cumberland entered into the Dissolution Agreement with Clinigen in which the Company returned the exclusive rights to commercialize Ethyol and Totect in the United States to Clinigen. Under the final terms of the Dissolution Agreement, Cumberland was no longer responsible for the distribution, marketing and promotion of either Ethyol or Totect or any competing products after December 31, 2019. In exchange for the return of these product license rights and the non-compete provisions of the Dissolution Agreement, Cumberland is receiving $5 million in financial consideration paid in quarterly installments over the two-years following the transition date. Cumberland recorded the first four quarterly installments totaling $3.0 million during 2020 and the fifth installment of $0.5 million during the three months ended March 31, 2021 as discontinued operations. The Company will record the remaining quarterly installments during the balance of 2021.</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exit from Ethyol and Totect meets the accounting criteria to be reported as discontinued operations. December 31, 2019, as the transition date, was the final day Cumberland was responsible for the products. Cumberland was responsible for the products through December 31, 2019 and beginning on January 1, 2020, the products' rights transitioned back to Clinigen. As a result, January 1, 2020, was the first day of discontinued operations for the Ethyol and Totect products.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dissolution payments from Clinigen are reflected as revenue from discontinued operations. The Company does not incur expenses associated with these payments from Clinigen.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45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45"/>
        </w:trPr>
        <w:tc>
          <w:tcPr>
            <w:tcW w:w="41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5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495,410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818,273</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Costs of products sold</w:t>
            </w:r>
          </w:p>
        </w:tc>
        <w:tc>
          <w:tcPr>
            <w:tcW w:w="3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Marketing and other</w:t>
            </w:r>
          </w:p>
        </w:tc>
        <w:tc>
          <w:tcPr>
            <w:tcW w:w="3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Income from discontinued operations</w:t>
            </w:r>
          </w:p>
        </w:tc>
        <w:tc>
          <w:tcPr>
            <w:tcW w:w="34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495,410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818,273</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3480" w:type="dxa"/>
            <w:vAlign w:val="bottom"/>
            <w:vMerge w:val="restart"/>
          </w:tcPr>
          <w:p>
            <w:pPr>
              <w:jc w:val="right"/>
              <w:ind w:right="1793"/>
              <w:spacing w:after="0"/>
              <w:rPr>
                <w:sz w:val="20"/>
                <w:szCs w:val="20"/>
                <w:color w:val="auto"/>
              </w:rPr>
            </w:pPr>
            <w:r>
              <w:rPr>
                <w:rFonts w:ascii="Arial" w:cs="Arial" w:eastAsia="Arial" w:hAnsi="Arial"/>
                <w:sz w:val="18"/>
                <w:szCs w:val="18"/>
                <w:color w:val="auto"/>
              </w:rPr>
              <w:t>13</w:t>
            </w: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 w:name="page16"/>
    <w:bookmarkEnd w:id="15"/>
    <w:p>
      <w:pPr>
        <w:ind w:right="3820"/>
        <w:spacing w:after="0" w:line="37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Disclosure regarding forward-looking statements</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impacts on our business as well as national and international markets and economies resulting from the COVID-19 pandemic.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2020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Cumberland Pharmaceuticals Inc. (“Cumberland,” the “Company,” or as used in the context of “we,” “us,” or “our”), is a specialty pharmaceutical company focused on the acquisition, development and commercialization of branded prescription products. Our primary target markets are hospital acute care, gastroenterology and rheumatology. These medical specialties are characterized by relatively concentrated prescriber bases that we believe can be penetrated effectively by small, targeted sales forces. Cumberland is dedicated to providing innovative products that improve the quality of care for patients and address poorly met medical needs. We promote our approved products through our hospital and field sales forces in the United States and are establishing a network of international partners to register and provide our medicines to patients in their countries.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portfolio of FDA approved brands include:</w:t>
      </w:r>
    </w:p>
    <w:p>
      <w:pPr>
        <w:spacing w:after="0" w:line="140"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Acetadote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acetylcysteine</w:t>
      </w:r>
      <w:r>
        <w:rPr>
          <w:rFonts w:ascii="Arial" w:cs="Arial" w:eastAsia="Arial" w:hAnsi="Arial"/>
          <w:sz w:val="18"/>
          <w:szCs w:val="18"/>
          <w:color w:val="auto"/>
        </w:rPr>
        <w:t>) Injection, for the treatment of acetaminophen poisoning;</w:t>
      </w:r>
    </w:p>
    <w:p>
      <w:pPr>
        <w:spacing w:after="0" w:line="96"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Caldolor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ibuprofen</w:t>
      </w:r>
      <w:r>
        <w:rPr>
          <w:rFonts w:ascii="Arial" w:cs="Arial" w:eastAsia="Arial" w:hAnsi="Arial"/>
          <w:sz w:val="18"/>
          <w:szCs w:val="18"/>
          <w:color w:val="auto"/>
        </w:rPr>
        <w:t>) Injection, for the treatment of pain and fever;</w:t>
      </w:r>
    </w:p>
    <w:p>
      <w:pPr>
        <w:spacing w:after="0" w:line="10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Kristalose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lactulose</w:t>
      </w:r>
      <w:r>
        <w:rPr>
          <w:rFonts w:ascii="Arial" w:cs="Arial" w:eastAsia="Arial" w:hAnsi="Arial"/>
          <w:sz w:val="18"/>
          <w:szCs w:val="18"/>
          <w:color w:val="auto"/>
        </w:rPr>
        <w:t>) for Oral Solution, a prescription laxative, for the treatment of chronic and acute constipation;</w:t>
      </w:r>
    </w:p>
    <w:p>
      <w:pPr>
        <w:spacing w:after="0" w:line="89" w:lineRule="exact"/>
        <w:rPr>
          <w:rFonts w:ascii="Arial" w:cs="Arial" w:eastAsia="Arial" w:hAnsi="Arial"/>
          <w:sz w:val="18"/>
          <w:szCs w:val="18"/>
          <w:color w:val="auto"/>
        </w:rPr>
      </w:pPr>
    </w:p>
    <w:p>
      <w:pPr>
        <w:ind w:left="1300" w:hanging="320"/>
        <w:spacing w:after="0" w:line="229"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-Pak</w:t>
      </w:r>
      <w:r>
        <w:rPr>
          <w:rFonts w:ascii="Arial" w:cs="Arial" w:eastAsia="Arial" w:hAnsi="Arial"/>
          <w:sz w:val="18"/>
          <w:szCs w:val="18"/>
          <w:color w:val="auto"/>
        </w:rPr>
        <w:t>, (</w:t>
      </w:r>
      <w:r>
        <w:rPr>
          <w:rFonts w:ascii="Arial" w:cs="Arial" w:eastAsia="Arial" w:hAnsi="Arial"/>
          <w:sz w:val="18"/>
          <w:szCs w:val="18"/>
          <w:i w:val="1"/>
          <w:iCs w:val="1"/>
          <w:color w:val="auto"/>
        </w:rPr>
        <w:t>omeprazole, clarithromycin, and amoxicillin</w:t>
      </w:r>
      <w:r>
        <w:rPr>
          <w:rFonts w:ascii="Arial" w:cs="Arial" w:eastAsia="Arial" w:hAnsi="Arial"/>
          <w:sz w:val="18"/>
          <w:szCs w:val="18"/>
          <w:color w:val="auto"/>
        </w:rPr>
        <w:t>) for the treatment of Helicobacter pylori (</w:t>
      </w:r>
      <w:r>
        <w:rPr>
          <w:rFonts w:ascii="Arial" w:cs="Arial" w:eastAsia="Arial" w:hAnsi="Arial"/>
          <w:sz w:val="18"/>
          <w:szCs w:val="18"/>
          <w:i w:val="1"/>
          <w:iCs w:val="1"/>
          <w:color w:val="auto"/>
        </w:rPr>
        <w:t>H. pylori</w:t>
      </w:r>
      <w:r>
        <w:rPr>
          <w:rFonts w:ascii="Arial" w:cs="Arial" w:eastAsia="Arial" w:hAnsi="Arial"/>
          <w:sz w:val="18"/>
          <w:szCs w:val="18"/>
          <w:color w:val="auto"/>
        </w:rPr>
        <w:t>) infection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duodenal ulcer disease;</w:t>
      </w:r>
    </w:p>
    <w:p>
      <w:pPr>
        <w:spacing w:after="0" w:line="12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Vaprisol</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conivaptan</w:t>
      </w:r>
      <w:r>
        <w:rPr>
          <w:rFonts w:ascii="Arial" w:cs="Arial" w:eastAsia="Arial" w:hAnsi="Arial"/>
          <w:sz w:val="16"/>
          <w:szCs w:val="16"/>
          <w:color w:val="auto"/>
        </w:rPr>
        <w:t>) Injection, to raise serum sodium levels in hospitalized patients with euvolemic and hypervolemic hyponatremia;</w:t>
      </w:r>
    </w:p>
    <w:p>
      <w:pPr>
        <w:spacing w:after="0" w:line="134" w:lineRule="exact"/>
        <w:rPr>
          <w:rFonts w:ascii="Arial" w:cs="Arial" w:eastAsia="Arial" w:hAnsi="Arial"/>
          <w:sz w:val="16"/>
          <w:szCs w:val="16"/>
          <w:color w:val="auto"/>
        </w:rPr>
      </w:pPr>
    </w:p>
    <w:p>
      <w:pPr>
        <w:ind w:left="1300" w:hanging="320"/>
        <w:spacing w:after="0" w:line="23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Vibativ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telavancin</w:t>
      </w:r>
      <w:r>
        <w:rPr>
          <w:rFonts w:ascii="Arial" w:cs="Arial" w:eastAsia="Arial" w:hAnsi="Arial"/>
          <w:sz w:val="18"/>
          <w:szCs w:val="18"/>
          <w:color w:val="auto"/>
        </w:rPr>
        <w:t>) Injection, for the treatment of certain serious bacterial infections including hospital-acquired and ventilator-associated bacterial pneumonia, as well as complicated skin and skin structure infections; and</w:t>
      </w:r>
    </w:p>
    <w:p>
      <w:pPr>
        <w:spacing w:after="0" w:line="159" w:lineRule="exact"/>
        <w:rPr>
          <w:rFonts w:ascii="Arial" w:cs="Arial" w:eastAsia="Arial" w:hAnsi="Arial"/>
          <w:sz w:val="18"/>
          <w:szCs w:val="18"/>
          <w:color w:val="auto"/>
        </w:rPr>
      </w:pPr>
    </w:p>
    <w:p>
      <w:pPr>
        <w:ind w:left="1300" w:right="220" w:hanging="320"/>
        <w:spacing w:after="0" w:line="229"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RediTrex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methotrexate</w:t>
      </w:r>
      <w:r>
        <w:rPr>
          <w:rFonts w:ascii="Arial" w:cs="Arial" w:eastAsia="Arial" w:hAnsi="Arial"/>
          <w:sz w:val="18"/>
          <w:szCs w:val="18"/>
          <w:color w:val="auto"/>
        </w:rPr>
        <w:t>) Injection, for the treatment of active rheumatoid, juvenile idiopathic and severe psoriatic arthritis,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disabling psoriasis.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these commercial brands, we have Phase II clinical programs underway evaluating our ifetroban product candidates in patients with cardiomyopathy associated with Duchenne Muscular Dystrophy (“DMD”), a degenerative disease, Systemic Sclerosis (“SSc”), a deadly autoimmune condition, and Aspirin-Exacerbated Respiratory Disease ("AERD"), a severe form of asthma.</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Cumberland has built core competencies in both product development and commercial capabilities. We have established the capabilities needed to acquire, develop and commercialize branded pharmaceuticals in the U.S. and believe we can leverage this existing infrastructure to support our expected growth. Our management team consists of pharmaceutical industry veterans experienced in business development, product development, regulatory, manufacturing, sales, marketing and finance. Our business development team identifies, evaluates and negotiates product acquisition, licensing and co-promotion agreements. Our product development team creates proprietary product formulations, manages our clinical studies, prepares all regulatory submissions and staffs our medical call center. Our quality and manufacturing professionals oversee the manufacture, release and shipment of our products. Our marketing and sales team is responsible for our commercial activities, and we work closely with our distribution partners to ensure availability and delivery of our products.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Cumberland's growth strategy involves maximizing the potential of our existing brands, while continuing to build a portfolio of differentiated products. We currently feature seven FDA products approved for sale in the United States. Through our international partners, we are working to bring our medicines to patients in their countries. We also look for opportunities to expand our products into additional patient populations through clinical trials, new presentations, and our support for select, investigator-initiated studies. We actively pursue opportunities to acquire additional marketed products, as well as late-stage development product candidates in our target medical specialties. Our clinical team is developing a pipeline of new product candidates largely to address poorly met medical needs.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supplementing these activities with the earlier stage drug development at Cumberland Emerging Technologies ("CET"), our majority-owned subsidiary. CET partners with academic research institutions to identify and progress promising, new product candidates, which Cumberland has the opportunity to further develop and commercialize.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are seeking long term sustainable growth by executing on the following:</w:t>
      </w:r>
    </w:p>
    <w:p>
      <w:pPr>
        <w:spacing w:after="0" w:line="154" w:lineRule="exact"/>
        <w:rPr>
          <w:sz w:val="20"/>
          <w:szCs w:val="20"/>
          <w:color w:val="auto"/>
        </w:rPr>
      </w:pPr>
    </w:p>
    <w:p>
      <w:pPr>
        <w:jc w:val="both"/>
        <w:spacing w:after="0" w:line="338" w:lineRule="auto"/>
        <w:rPr>
          <w:sz w:val="20"/>
          <w:szCs w:val="20"/>
          <w:color w:val="auto"/>
        </w:rPr>
      </w:pPr>
      <w:r>
        <w:rPr>
          <w:rFonts w:ascii="Arial" w:cs="Arial" w:eastAsia="Arial" w:hAnsi="Arial"/>
          <w:sz w:val="17"/>
          <w:szCs w:val="17"/>
          <w:b w:val="1"/>
          <w:bCs w:val="1"/>
          <w:color w:val="auto"/>
        </w:rPr>
        <w:t xml:space="preserve">Support and expand the use of our marketed products. </w:t>
      </w:r>
      <w:r>
        <w:rPr>
          <w:rFonts w:ascii="Arial" w:cs="Arial" w:eastAsia="Arial" w:hAnsi="Arial"/>
          <w:sz w:val="17"/>
          <w:szCs w:val="17"/>
          <w:color w:val="auto"/>
        </w:rPr>
        <w:t>We continue to evaluate our products following their FDA approval to determine if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data could expand their market and use. We will continue to explore opportunities for label expansion to bring our products to new patient populations. As examples, we have secured pediatric approvals, expanding the labeling for both our Acetadote and Caldolor brands.</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Selectively add complementary brands. </w:t>
      </w:r>
      <w:r>
        <w:rPr>
          <w:rFonts w:ascii="Arial" w:cs="Arial" w:eastAsia="Arial" w:hAnsi="Arial"/>
          <w:sz w:val="18"/>
          <w:szCs w:val="18"/>
          <w:color w:val="auto"/>
        </w:rPr>
        <w:t>In addition to our product development activities, we are also seeking to acquire products or late-stage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product candidates to continue to build a portfolio of complementary brands. We focus on under-promoted, FDA-approved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 of Vibativ represents the largest product acquisition we have completed.</w:t>
      </w:r>
    </w:p>
    <w:p>
      <w:pPr>
        <w:spacing w:after="0" w:line="10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Progress clinical pipeline and incubate future product opportunities at CET. </w:t>
      </w:r>
      <w:r>
        <w:rPr>
          <w:rFonts w:ascii="Arial" w:cs="Arial" w:eastAsia="Arial" w:hAnsi="Arial"/>
          <w:sz w:val="17"/>
          <w:szCs w:val="17"/>
          <w:color w:val="auto"/>
        </w:rPr>
        <w:t>We believe it is important to build a pipeline of innovative new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Our ifetroban Phase II development programs represent the implementation of this strategy. At CET, we are supplementing our acquisition and late-stage development activities with the early-stage drug development activities. CET partners with universities and other research organizations to develop promising, early-stage product candidates, which Cumberland has the opportunity to further develop and commercialize.</w:t>
      </w:r>
    </w:p>
    <w:p>
      <w:pPr>
        <w:spacing w:after="0" w:line="9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Leverage our infrastructure through co-promotion partnerships. </w:t>
      </w:r>
      <w:r>
        <w:rPr>
          <w:rFonts w:ascii="Arial" w:cs="Arial" w:eastAsia="Arial" w:hAnsi="Arial"/>
          <w:sz w:val="16"/>
          <w:szCs w:val="16"/>
          <w:color w:val="auto"/>
        </w:rPr>
        <w:t>We believe that our commercial infrastructure can help drive prescription volume and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sales. We look for strategic partners that can complement our capabilities and enhance the opportunity for our brands. Our co-promotion partnership with Poly Pharmaceuticals, Inc. and Foxland Pharmaceuticals, Inc. has allowed us to expand the support for Kristalose across the United States.</w:t>
      </w:r>
    </w:p>
    <w:p>
      <w:pPr>
        <w:spacing w:after="0" w:line="7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Build an international contribution to our business. </w:t>
      </w:r>
      <w:r>
        <w:rPr>
          <w:rFonts w:ascii="Arial" w:cs="Arial" w:eastAsia="Arial" w:hAnsi="Arial"/>
          <w:sz w:val="16"/>
          <w:szCs w:val="16"/>
          <w:color w:val="auto"/>
        </w:rPr>
        <w:t>We have established our own commercial capabilities, including two sales divisions to cover the</w:t>
      </w:r>
      <w:r>
        <w:rPr>
          <w:rFonts w:ascii="Arial" w:cs="Arial" w:eastAsia="Arial" w:hAnsi="Arial"/>
          <w:sz w:val="16"/>
          <w:szCs w:val="16"/>
          <w:b w:val="1"/>
          <w:bCs w:val="1"/>
          <w:color w:val="auto"/>
        </w:rPr>
        <w:t xml:space="preserve"> </w:t>
      </w:r>
      <w:r>
        <w:rPr>
          <w:rFonts w:ascii="Arial" w:cs="Arial" w:eastAsia="Arial" w:hAnsi="Arial"/>
          <w:sz w:val="16"/>
          <w:szCs w:val="16"/>
          <w:color w:val="auto"/>
        </w:rPr>
        <w:t>U.S. market for our products. We are also building a network of select international partners to register our products and make them available to patients in their countries. We will continue to develop and expand our network of international partners while supporting our partners’ registration and commercialization efforts in their respective territories. The acquisition of Vibativ resulted in several new international partners and market opportunities.</w:t>
      </w:r>
    </w:p>
    <w:p>
      <w:pPr>
        <w:spacing w:after="0" w:line="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Manage our operations with financial discipline. </w:t>
      </w:r>
      <w:r>
        <w:rPr>
          <w:rFonts w:ascii="Arial" w:cs="Arial" w:eastAsia="Arial" w:hAnsi="Arial"/>
          <w:sz w:val="18"/>
          <w:szCs w:val="18"/>
          <w:color w:val="auto"/>
        </w:rPr>
        <w:t>We continually work to manage our expenses in line with our revenues in order to deliver positive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 from operations. We remain in a strong financial position, with favorable gross margins, and a strong balance sheet.</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1999 and have been headquartered in Nashville, Tennessee since inception. During 2009, we completed an initial public offering of our common shares and listing on the Nasdaq stock exchange. Our website address is www.cumberlandpharma.com.</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make available through our website our Annual Reports on Form 10-K, Quarterly Reports on Form 10-Q, Current Reports on Form 8-K and all material press releases and other reports as soon as reasonably practicable after their filing with the U.S. Securities and Exchange Commission, (“SEC”). These filings are also available to the public at </w:t>
      </w:r>
      <w:r>
        <w:rPr>
          <w:rFonts w:ascii="Arial" w:cs="Arial" w:eastAsia="Arial" w:hAnsi="Arial"/>
          <w:sz w:val="18"/>
          <w:szCs w:val="18"/>
          <w:i w:val="1"/>
          <w:iCs w:val="1"/>
          <w:color w:val="0563C1"/>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U.S. declared a health care emergency following the outbreak of the SARS-CoV-2, a novel strain of coronavirus that causes COVID-19, a respiratory illness. The Company managed through the COVID-19 pandemic during 2020, continuing to operate our business - keeping facilities open and our organization intact. We also maintained our ongoing compliance with the many laws and regulations that apply to us as a publicly traded, pharmaceutical company.</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Throughout the pandemic, Cumberland faced the same headwinds affecting other companies that rely on hospital admissions and patient visits to drive revenue. Our business and our clinical studies were impacted as less patients sought elective surgeries and our access to medical facilities was substantially limited. During 2020, we carefully monitored our supply chain during the pandemic including the flow of raw materials into the plants that manufacture our products as well as the batches of finished product emerging from those facilities. Several of our brands were negatively impacted by the lockdowns and postponement of physician office visits and elective procedures. However, we are fortunate to have a diversified product portfolio, with other brands delivering a strong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Hyponatremia Publication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recently published Health Outcome Predictive Evaluation (HOPE) COVID-19 Registry Analysis, an international study of over 4,000 patients, found that patients hospitalized with COVID-19 had a high risk of developing hyponatremia. These COVID-19 patients also had a higher incidence of mortality due to their hyponatremia. The study results support the use of an intravenous vaptan to treat hyponatremia in critically ill patients afflicted with COVID-19.</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Hyponatremia, an imbalance of serum sodium to body water, is the most common electrolyte disorder among hospitalized patients. Our Vaprisol product is one of two branded prescription products indicated for the treatment of hyponatremia, and the only intravenously administered branded treatment. Vaprisol has a proven day-1 response rate to normalize serum sodium levels in hyponatremic patients and move them out of the ICU as efficiently as possible.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Vibativ Case Studies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Cumberland’s Vibativ product has been used to treat COVID-19 patients who developed secondary bacterial pneumonia and other Gram-positive infections while in the hospital. The Company subsequently compiled a dossier of patient case studies from across the country outlining several real-world instances where Vibativ effectively and safely treated the hospital-acquired bacterial pneumonia and ventilator-associated bacterial pneumonia resulting from MSSA and MRSA infections that developed in patients hospitalized with COVID-19.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Omeclamox-Pak Supply Update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has partnered with a select group of FDA-approved facilities to manufacture its line of branded pharmaceutical products and has been carefully monitoring its supply chain during the pandemic. The packager for our Omeclamox-Pak product encountered financial difficulties due to the impact of COVID-19, and their operations are currently suspended. We are awaiting resumption of those operations, while also exploring other alternatives to restart the product’s packaging. Meanwhile, we informed the FDA of a shortage of the Omeclamox-Pak effective October 14, 2020 and have not provided a date for the availability of new inventory.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RediTrex Launch</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late 2018, we completed the submission and filed with the FDA a New Drug Application for our methotrexate products. In December 2019, we received FDA approval for RediTrex and began planning for a launch of this product line. In November 2020, we provided initial shipments of RediTrex to select accounts and are currently planning a national launch of the product line in the second half of 2021, once additional product supplies are received and market conditions return to normal.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Paycheck Protection Program</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PPP is administered by the U.S. Small Business Administration. The loan matures April 14, 2022 and bears interest at a rate of 1.0% per year, payable monthly. The loan may be prepaid at any time prior to maturity with no prepayment penalties. Funds from the loan are to be used to maintain payroll, continue group health care benefits and pay for rent and utilities.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terms of the PPP, certain amounts of the loan may be forgiven if they are used for qualifying expenses as described in the CARES Act, including qualifying payroll costs, covered rent payments, and covered utilities. From the date of funding, we used the loan amount for such qualifying expenses.</w:t>
      </w:r>
    </w:p>
    <w:p>
      <w:pPr>
        <w:spacing w:after="0" w:line="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applied for this loan after carefully considering, with our bank, the eligibility criteria to participate in this program, and determining that Cumberland met these criteria. We evaluated and provided information on our payroll and other qualifying expenses to determine the amount of PPP funds to apply for.</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has not laid off or furloughed any employees as a result of the COVID-19 pandemic and, due to assistance from our PPP loan, we currently do not foresee doing so. In October 2020, the Company submitted a request for the loan’s forgiveness. The request has been approved by the lender, Pinnacle Bank, and will require the approval of the U.S. Small Business Administration which we are awaiting.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Ifetroban Phase II Clinical Programs</w:t>
      </w:r>
    </w:p>
    <w:p>
      <w:pPr>
        <w:spacing w:after="0" w:line="1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been evaluating our ifetroban product candidate in a series of clinical studies. We are sponsoring Phase II clinical programs which are underway evaluating our ifetroban product candidates in 1) patients with cardiomyopathy associated with Duchenne Muscular Dystrophy, a rare, fatal, genetic neuromuscular disease results in deterioration of the skeletal, heart and lung muscles, 2) Systemic Sclerosis or scleroderma, a debilitating autoimmune disorder characterized by diffuse fibrosis of the skin and internal organs and 3) Aspirin-Exacerbated Respiratory Disease, a severe form of asthma.</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have completed two pilot Phase II studies involving 1) patients suffering from Hepatorenal Syndrome, a life-threatening condition involving liver and kidney failure and 2) patients with Portal Hypertension associated with chronic liver disease.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Additional pilot preclinical and clinical studies of ifetroban are underway, including several investigator-initiated trials.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Enrollment in our clinical studies was interrupted due to the COVID-19 pandemic. While enrollment of new patients has been limited, many of our clinical study sites have reopened and resumed screening of patients for potential enrollment into our studies. We are awaiting results from the studies underway before deciding on the best development path for the registration of ifetroban, our first new chemical entity.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Hospital Product Candidate</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was responsible for the formulation, development and FDA approval of both Acetadote and Caldolor. Our Medical Advisory Board has helped us identify additional opportunities that address unmet or poorly met medical needs. As a result, Cumberland has successfully designed, formulated and completed the preclinical studies for a cholesterol reducing agent for use in the hospital setting.</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completed a Phase I study which defined the pharmacokinetic properties and provided a favorable safety profile for this new product candidate. The study results and a proposed clinical development plan were discussed with the FDA.</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completed a Phase II study to further evaluate administration, dosing and pharmacokinetics of the product. We are now evaluating the next steps for this product development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2020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 and Judgments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These estimates, judgments and assumptions are most critical with respect to our accounting for revenue recognition, inventories, fair value of contingent consideration liability associated with a business combination, share-based compensation and intangible assets.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the three months ended March 31, 2020</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unaudited interim statements of operations for continuing operations for the three months ended March 31, 2021 and 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c>
          <w:tcPr>
            <w:tcW w:w="142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10,537,159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8,330,734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2,206,425</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2,417,329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1,634,181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783,148</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3,787,340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3,707,676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79,664</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1,257,367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(465,188)</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2,230,509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2,036,284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194,225</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1,168,914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1,076,039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92,875</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10,861,459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10,176,735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684,724</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(1,846,001)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1,521,701</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29,888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(24,462)</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8,648</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(343,291)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(1,849,178)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1,505,887</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26,782</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(350,749)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(1,883,418)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1,532,669</w:t>
            </w:r>
          </w:p>
        </w:tc>
      </w:tr>
      <w:tr>
        <w:trPr>
          <w:trHeight w:val="21"/>
        </w:trPr>
        <w:tc>
          <w:tcPr>
            <w:tcW w:w="5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c>
          <w:tcPr>
            <w:tcW w:w="142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2,994,378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3,311,696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(317,318)</w:t>
            </w: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Vibativ</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5,052,243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2,626,488</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Caldolor</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1,539,496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1,096,291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443,205</w:t>
            </w: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Acetadote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(596,708)</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(450,263)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114,770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(565,033)</w:t>
            </w: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Vaprisol</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925,501</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RediTrex</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(32,252)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(32,252)</w:t>
            </w: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459,560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(277,458)</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10,537,159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8,330,734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2,206,425</w:t>
            </w:r>
          </w:p>
        </w:tc>
      </w:tr>
      <w:tr>
        <w:trPr>
          <w:trHeight w:val="20"/>
        </w:trPr>
        <w:tc>
          <w:tcPr>
            <w:tcW w:w="5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for the three months ended March 31, 2021, were $10.5 million compared to $8.3 million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2020. As detailed in the table above, net revenue increased for three of our marketed products: Vibativ, Caldolor and Vaprisol during the quarter. We returned the exclusive rights to commercialize Ethyol and Totect in the United States to Clinigen effective January 1, 2020. In exchange for the return of these product license rights and associated non-compete provisions, Cumberland is receiving $5 million in financial consideration paid over the two-years following the return date. The installments of $0.5 million and $0.8 million due from Clinigen were recorded during the three months ended March 31, 2021 and March 31, 2020, as discontinued operations, respectively. We do not incur expenses associated with these payments from Clinigen.</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Vibativ revenue was $5.1 million for the three months ended March 31, 2021, an increase of $2.6 million over the same period last year. The 108% increase was a result of increased net pricing and improved sales volumes during the period as a result of increased utilization in supporting patients impacted by COVID-19 infections.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Kristalose revenue decreased by $0.3 million during the first quarter of 2021, when compared to the prior year period. The decrease was primarily the result of decreased sales volumes for the product.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Caldolor revenue was $1.5 million for the first quarter of 2021, an increase of $0.4 million compared to the same period last year. The 40.4% improvement in net revenue was the result of an increase in international shipments of Caldolor when compared to the prior year period and an improvement in net pricing. These improvements were partially offset by lower domestic shipments of the product, impacted by COVID-19 and a reduction in elective surgeries.</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Vaprisol revenue was $1.1 million for the first quarter of 2021, an increase of $0.9 million. This increase of net sales compared to the first quarter of 2020 is primarily due to increased sales volumes during the period as a result of increased utilization in supporting patients impacted by COVID-19 infections.</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Omeclamox-Pak revenue decreased $0.6 million for the first quarter of 2021, compared to the first quarter of 2020. The decrease was the result of no sales during the first quarter of 2021 as Cumberland is currently out of commercial inventory of this product. The packager for our Omeclamox-Pak product encountered financial difficulties due to the impact of COVID-19, and their operations are currently suspended. We are awaiting resumption of their operations, while also exploring other alternatives to restart the product’s packaging. Net revenue for the first quarter of 2021 was also negatively impacted by product returns during the period.</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Acetadote revenue includes net sales of our Acetadote brand and our share of net sales from our Authorized Generic. During the quarter, there was a decrease of $0.6 million in the product's revenue when compared to the prior year period as a result of lower sales volumes during the period, impacted by generic competition.</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Cost of products sold</w:t>
      </w:r>
      <w:r>
        <w:rPr>
          <w:rFonts w:ascii="Arial" w:cs="Arial" w:eastAsia="Arial" w:hAnsi="Arial"/>
          <w:sz w:val="18"/>
          <w:szCs w:val="18"/>
          <w:color w:val="auto"/>
        </w:rPr>
        <w:t>. Cost of products sold for the first quarter of 2021 and 2020 were $2.4 million and $1.6 million, respectively. Cost of products sold, as</w:t>
      </w:r>
      <w:r>
        <w:rPr>
          <w:rFonts w:ascii="Arial" w:cs="Arial" w:eastAsia="Arial" w:hAnsi="Arial"/>
          <w:sz w:val="18"/>
          <w:szCs w:val="18"/>
          <w:i w:val="1"/>
          <w:iCs w:val="1"/>
          <w:color w:val="auto"/>
        </w:rPr>
        <w:t xml:space="preserve"> </w:t>
      </w:r>
      <w:r>
        <w:rPr>
          <w:rFonts w:ascii="Arial" w:cs="Arial" w:eastAsia="Arial" w:hAnsi="Arial"/>
          <w:sz w:val="18"/>
          <w:szCs w:val="18"/>
          <w:color w:val="auto"/>
        </w:rPr>
        <w:t>a percentage of net revenues, were 22.9% during the three months ended March 31, 2021, compared to 19.6% during the three months ended March 31, 2020. This change in costs of products sold as a percentage of revenue was attributable to a change in the product sales mix, particularly the increase in sales of Vibativ and increased international sales. The Vibativ inventory sold during the period was acquired and paid for by Cumberland as part of the acquisition of the brand during 2018. The increase in costs of product sold expense was also the result of a step up in the fair value of the inventory over the cost to Theravance, as required under purchase accounting rules.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first quarter of 2021 increased $0.1 million compared to the prior year period. This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increases in royalty costs associated with growth in Vibativ sales during the current quarter. Higher royalty costs were partially offset by decreases in direct promotional spending, meeting costs and travel expenses during the current quarter.</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costs were $1.3 million for the first quarter of 2021 and $1.7 million for the same period last year. A</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our research and development costs is variable based on the number of trials, study sites, number of patients and the cost per patient in each of our clinical programs. We continue to fund our ongoing clinical initiatives associated with our pipeline products. The cost decreases were primarily the result of decreased study activity as well as a decrease in salaries expense associated with a reduction in personnel.</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for the first quarter of 2021 increased to $2.2 million from $2.0 million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2020 as a result of increases in professional, legal and insurance costs. These increases were partially offset by decreases in non-cash stock based compensation during the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Vibativ:</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Vibativ</w:t>
            </w:r>
          </w:p>
        </w:tc>
        <w:tc>
          <w:tcPr>
            <w:tcW w:w="3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6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5,052,243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2,425,755</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1,456,816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550,394</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402,352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(92,863)</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Vibativ contribution</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3,193,075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1,968,224</w:t>
            </w: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Vibativ inventory included in the costs of product sold during the period was acquired and paid for by Cumberland as part of the acquisition of the brand during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Amortization expense is the ratable use of our capitalized intangible assets including product and license rights, patents, trademarks and</w:t>
      </w:r>
      <w:r>
        <w:rPr>
          <w:rFonts w:ascii="Arial" w:cs="Arial" w:eastAsia="Arial" w:hAnsi="Arial"/>
          <w:sz w:val="18"/>
          <w:szCs w:val="18"/>
          <w:i w:val="1"/>
          <w:iCs w:val="1"/>
          <w:color w:val="auto"/>
        </w:rPr>
        <w:t xml:space="preserve"> </w:t>
      </w:r>
      <w:r>
        <w:rPr>
          <w:rFonts w:ascii="Arial" w:cs="Arial" w:eastAsia="Arial" w:hAnsi="Arial"/>
          <w:sz w:val="18"/>
          <w:szCs w:val="18"/>
          <w:color w:val="auto"/>
        </w:rPr>
        <w:t>patent defense costs. Amortization for the three months ended March 31, 2021, and three months ended March 31, 2020, totaled approximately $1.2 million and $1.1 million, respectively.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for the three months ended March 31, 2021, was comparable to the income tax expense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2021, we had approximately $44 million of net operating loss carryforwards resulting from the exercise of nonqualified stock options that have historically been used to significantly offset income tax obligations. We expect to continue to pay minimal income taxes during 2021 and beyond, through the continued utilization of these net operating loss carryforwards, on any taxable income generated from our operations.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sources of liquidity are cash flows provided by our operations, the proceeds from the Paycheck Protection Program loan, the amounts borrowed and available under our line of credit and the cash proceeds from our initial public offering of common stock that was completed in August 2009.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liquidity and working capital as of March 31, 2021 and December 31,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2020</w:t>
            </w:r>
          </w:p>
        </w:tc>
      </w:tr>
      <w:tr>
        <w:trPr>
          <w:trHeight w:val="102"/>
        </w:trPr>
        <w:tc>
          <w:tcPr>
            <w:tcW w:w="66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960" w:type="dxa"/>
            <w:vAlign w:val="bottom"/>
            <w:tcBorders>
              <w:top w:val="single" w:sz="8" w:color="auto"/>
            </w:tcBorders>
          </w:tcPr>
          <w:p>
            <w:pPr>
              <w:spacing w:after="0"/>
              <w:rPr>
                <w:sz w:val="8"/>
                <w:szCs w:val="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24,922,925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24,753,796</w:t>
            </w:r>
          </w:p>
        </w:tc>
      </w:tr>
      <w:tr>
        <w:trPr>
          <w:trHeight w:val="209"/>
        </w:trPr>
        <w:tc>
          <w:tcPr>
            <w:tcW w:w="6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(current assets less current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26,535,447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24,302,146</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Current ratio (multiple of current assets to 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Revolving line of credit availability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net changes in cash and cash equivalents for the three months ended March 31, 2021 and March 31, 2020: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 March 31,</w:t>
            </w:r>
          </w:p>
        </w:tc>
        <w:tc>
          <w:tcPr>
            <w:tcW w:w="90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19"/>
                <w:szCs w:val="19"/>
                <w:color w:val="auto"/>
              </w:rPr>
            </w:pPr>
          </w:p>
        </w:tc>
      </w:tr>
      <w:tr>
        <w:trPr>
          <w:trHeight w:val="88"/>
        </w:trPr>
        <w:tc>
          <w:tcPr>
            <w:tcW w:w="6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1,785,549</w:t>
            </w:r>
          </w:p>
        </w:tc>
        <w:tc>
          <w:tcPr>
            <w:tcW w:w="120" w:type="dxa"/>
            <w:vAlign w:val="bottom"/>
          </w:tcPr>
          <w:p>
            <w:pPr>
              <w:spacing w:after="0"/>
              <w:rPr>
                <w:sz w:val="19"/>
                <w:szCs w:val="19"/>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888,539</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(571,161)</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(1,298,079)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(1,503,279)</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169,129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(1,185,901)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net $0.2 million increase in cash and cash equivalents for the three months ended March 31, 2021, was primarily attributable to cash provided by operating activities, partially offset by cash used in investing and financing activities. Cash provided by operating activities of $1.8 million was positively impacted by decreases in inventory of $1.9 million, as well as the add back of non-cash expenses of depreciation, amortization and share-based compensation expense totaling $1.4 million. Cash used by investing activities was the result of additions to intangibles of $0.1 million and the payment of $0.2 million to the WHC JV. Our financing activities included the $0.3 million in cash used to repurchase shares of our common stock as well as the $1.0 million used for the payment of royalties to Theravance for sales of Vibativ.</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net $1.2 million decrease in cash and cash equivalents for the three months ended March 31, 2020 was primarily attributable to cash used in investing and financing activities. Cash provided by operating activities of $0.9 million was positively impacted by decreases in accounts receivable of $2.0 million and inventory of $0.7 million, as well as the add back of non-cash expenses of depreciation, amortization and share-based compensation expense totaling $1.4 million. This was partially offset by a decrease in accounts payable of $2.4 million. Cash used in investing activities was the result of additions to intangibles of $0.5 million. Our financing activities reflected the $0.4 million in cash used to repurchase shares of our common stock as well as the $0.8 million used for the repurchase of subsidiary shares.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Debt Agreement</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7, 2020, we entered into a Fourth Amendment (“Fourth Amendment”) to the Revolving Credit Loan Agreement with Pinnacle Bank (the “Pinnacle Agreement”). The Fourth Amendment extends the maturity date of the Pinnacle Agreement through October 1, 2022 and provides for a principal available for borrowing of up to $15 million. We also have the ability to request an increase of up to an additional $5 million, upon the satisfaction of certain conditions and approval by Pinnacle Bank. If fully expanded, the Fourth Amendment would provide a maximum principal available for borrowing of up to $20 million. On May 10, 2019, we entered into a third amendment ("Third Amendment") to the Revolving Credit Loan Agreement, dated July 28, 2017, with Pinnacle Bank (“Pinnacle Agreement”). The Third Amendment extended the term of the Pinnacle Agreement through July 31, 2021, as well as modified certain definitions and terms of the existing financial covenants. For a summary of the material terms of the Pinnacle Agreement, as amended, see Note 6 to the accompanying unaudited condensed consolidated financial statements.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Pinnacle Agreement, we were initially subject to one financial covenant, the maintenance of a Funded Debt Ratio. On August 14, 2018, we amended the Pinnacle Agreement ("First Amendment") to replace the single financial covenant with the maintenance of either the Funded Debt Ratio or a Tangible Capital Ratio, as defined in the First Amendment. The Third Amendment modified the definition of the Funded Debt Ratio and the compliance target of the Tangible Capital Ratio. Both Third Amendment modifications were related to the Vibativ transaction. We were in compliance with the Tangible Capital Ratio financial covenant as of March 31, 2021. We expect to maintain compliance with the Tangible Capital Ratio financial covenant in future periods.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Paycheck Protection Program Loan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 For a summary of the material terms of the Paycheck Protection Program loan, see Note 6 to the accompanying unaudited condensed consolidated financial statements.</w:t>
      </w:r>
    </w:p>
    <w:p>
      <w:pPr>
        <w:spacing w:after="0" w:line="119" w:lineRule="exact"/>
        <w:rPr>
          <w:sz w:val="20"/>
          <w:szCs w:val="20"/>
          <w:color w:val="auto"/>
        </w:rPr>
      </w:pPr>
    </w:p>
    <w:p>
      <w:pPr>
        <w:jc w:val="both"/>
        <w:spacing w:after="0" w:line="378" w:lineRule="auto"/>
        <w:rPr>
          <w:sz w:val="20"/>
          <w:szCs w:val="20"/>
          <w:color w:val="auto"/>
        </w:rPr>
      </w:pPr>
      <w:r>
        <w:rPr>
          <w:rFonts w:ascii="Arial" w:cs="Arial" w:eastAsia="Arial" w:hAnsi="Arial"/>
          <w:sz w:val="16"/>
          <w:szCs w:val="16"/>
          <w:color w:val="auto"/>
        </w:rPr>
        <w:t>Under the terms of the PPP, certain amounts of the loan may be forgiven if they are used for qualifying expenses as described in the CARES Act, including qualifying payroll costs, covered rent payments, and covered utilities. From the date of funding we used the loan amount for such qualifying expenses.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Cumberland has not laid off or furloughed any employees as a result of the COVID-19 pandemic and, based on assistance from our PPP loan, we currently do not foresee doing so. In October 2020, we submitted a request for forgiveness of the PPP loan. The request was approved by the lender, Pinnacle Bank, who then submitted it to the U.S. Small Business Administration ("SBA") for the SBA's review and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and 2020, we did not engage in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March 31, 2021.</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risk related to borrowings under our line of credit is based on LIBOR plus an interest rate spread. The pricing under the Fourth Amendment of the Pinnacle Agreement provides for an interest rate spread of 1.75% to 2.75% above LIBOR with a minimum LIBOR of 0.90%. The applicable interest rate under the Pinnacle Agreement was 3.65% at March 31, 2021. As of March 31, 2021, we had $15.0 million in borrowings outstanding under our revolving credit facility.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three months ended March 31, 2021 and 2020. Neither a five percent increase nor decrease from current exchange rates would have a material effect on our operating results or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2021, there has not been any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the other information set forth in this quarterly report, an investor should consider the risk factors included in the Company's Annual Report on Form 10-K for the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by month, during the three months ended March 31,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jc w:val="center"/>
              <w:ind w:right="223"/>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(or Units)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43"/>
              <w:spacing w:after="0" w:line="135" w:lineRule="exact"/>
              <w:rPr>
                <w:sz w:val="20"/>
                <w:szCs w:val="20"/>
                <w:color w:val="auto"/>
              </w:rPr>
            </w:pPr>
            <w:r>
              <w:rPr>
                <w:rFonts w:ascii="Arial" w:cs="Arial" w:eastAsia="Arial" w:hAnsi="Arial"/>
                <w:sz w:val="14"/>
                <w:szCs w:val="14"/>
                <w:b w:val="1"/>
                <w:bCs w:val="1"/>
                <w:color w:val="auto"/>
                <w:w w:val="92"/>
              </w:rPr>
              <w:t>Shares (or Units)</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43"/>
              <w:spacing w:after="0" w:line="135"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4"/>
              </w:rPr>
              <w:t>Price Paid</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of Publicly</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35"/>
        </w:trPr>
        <w:tc>
          <w:tcPr>
            <w:tcW w:w="2160" w:type="dxa"/>
            <w:vAlign w:val="bottom"/>
            <w:vMerge w:val="restart"/>
          </w:tcPr>
          <w:p>
            <w:pPr>
              <w:ind w:left="20"/>
              <w:spacing w:after="0"/>
              <w:rPr>
                <w:sz w:val="20"/>
                <w:szCs w:val="20"/>
                <w:color w:val="auto"/>
              </w:rPr>
            </w:pPr>
            <w:r>
              <w:rPr>
                <w:rFonts w:ascii="Arial" w:cs="Arial" w:eastAsia="Arial" w:hAnsi="Arial"/>
                <w:sz w:val="18"/>
                <w:szCs w:val="18"/>
                <w:color w:val="auto"/>
              </w:rPr>
              <w:t>Period</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Units)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2"/>
              </w:rPr>
              <w:t>per Share</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89"/>
        </w:trPr>
        <w:tc>
          <w:tcPr>
            <w:tcW w:w="2160" w:type="dxa"/>
            <w:vAlign w:val="bottom"/>
            <w:vMerge w:val="continue"/>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(or Unit)</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563"/>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23"/>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25,349</w:t>
            </w:r>
          </w:p>
        </w:tc>
        <w:tc>
          <w:tcPr>
            <w:tcW w:w="4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25,349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6,108,241</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February</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33,325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33,325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ind w:right="3"/>
              <w:spacing w:after="0"/>
              <w:rPr>
                <w:sz w:val="20"/>
                <w:szCs w:val="20"/>
                <w:color w:val="auto"/>
              </w:rPr>
            </w:pPr>
            <w:r>
              <w:rPr>
                <w:rFonts w:ascii="Arial" w:cs="Arial" w:eastAsia="Arial" w:hAnsi="Arial"/>
                <w:sz w:val="18"/>
                <w:szCs w:val="18"/>
                <w:color w:val="auto"/>
              </w:rPr>
              <w:t>5,994,725</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33,050</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33,050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5,887,030</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91,724</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91,724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4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6"/>
        </w:trPr>
        <w:tc>
          <w:tcPr>
            <w:tcW w:w="1380" w:type="dxa"/>
            <w:vAlign w:val="bottom"/>
          </w:tcPr>
          <w:p>
            <w:pPr>
              <w:ind w:left="20"/>
              <w:spacing w:after="0"/>
              <w:rPr>
                <w:sz w:val="20"/>
                <w:szCs w:val="20"/>
                <w:color w:val="auto"/>
              </w:rPr>
            </w:pPr>
            <w:r>
              <w:rPr>
                <w:rFonts w:ascii="Arial" w:cs="Arial" w:eastAsia="Arial" w:hAnsi="Arial"/>
                <w:sz w:val="18"/>
                <w:szCs w:val="18"/>
                <w:color w:val="auto"/>
              </w:rPr>
              <w:t>No.</w:t>
            </w:r>
          </w:p>
        </w:tc>
        <w:tc>
          <w:tcPr>
            <w:tcW w:w="8400" w:type="dxa"/>
            <w:vAlign w:val="bottom"/>
            <w:gridSpan w:val="14"/>
          </w:tcPr>
          <w:p>
            <w:pPr>
              <w:spacing w:after="0"/>
              <w:rPr>
                <w:sz w:val="20"/>
                <w:szCs w:val="20"/>
                <w:color w:val="auto"/>
              </w:rPr>
            </w:pPr>
            <w:r>
              <w:rPr>
                <w:rFonts w:ascii="Arial" w:cs="Arial" w:eastAsia="Arial" w:hAnsi="Arial"/>
                <w:sz w:val="18"/>
                <w:szCs w:val="18"/>
                <w:color w:val="auto"/>
              </w:rPr>
              <w:t>Description</w:t>
            </w:r>
          </w:p>
        </w:tc>
      </w:tr>
      <w:tr>
        <w:trPr>
          <w:trHeight w:val="418"/>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8400" w:type="dxa"/>
            <w:vAlign w:val="bottom"/>
            <w:gridSpan w:val="14"/>
          </w:tcPr>
          <w:p>
            <w:pPr>
              <w:spacing w:after="0"/>
              <w:rPr>
                <w:rFonts w:ascii="Arial" w:cs="Arial" w:eastAsia="Arial" w:hAnsi="Arial"/>
                <w:sz w:val="18"/>
                <w:szCs w:val="18"/>
                <w:color w:val="0000FF"/>
                <w:w w:val="94"/>
              </w:rPr>
            </w:pPr>
            <w:hyperlink r:id="rId38">
              <w:r>
                <w:rPr>
                  <w:rFonts w:ascii="Arial" w:cs="Arial" w:eastAsia="Arial" w:hAnsi="Arial"/>
                  <w:sz w:val="18"/>
                  <w:szCs w:val="18"/>
                  <w:color w:val="0000FF"/>
                  <w:w w:val="94"/>
                </w:rPr>
                <w:t>Employment Agreement, dated March 8, 2021, effective as of January 1, 2021, by and between A.J. Kazimi and</w:t>
              </w:r>
            </w:hyperlink>
          </w:p>
        </w:tc>
      </w:tr>
      <w:tr>
        <w:trPr>
          <w:trHeight w:val="155"/>
        </w:trPr>
        <w:tc>
          <w:tcPr>
            <w:tcW w:w="1380" w:type="dxa"/>
            <w:vAlign w:val="bottom"/>
          </w:tcPr>
          <w:p>
            <w:pPr>
              <w:spacing w:after="0"/>
              <w:rPr>
                <w:sz w:val="13"/>
                <w:szCs w:val="13"/>
                <w:color w:val="auto"/>
              </w:rPr>
            </w:pPr>
          </w:p>
        </w:tc>
        <w:tc>
          <w:tcPr>
            <w:tcW w:w="810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Cumberland Pharmaceuticals, Inc., incorporated herein by reference to Exhibit 10.11 of the Registrant’s Annual</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80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38">
              <w:r>
                <w:rPr>
                  <w:rFonts w:ascii="Arial" w:cs="Arial" w:eastAsia="Arial" w:hAnsi="Arial"/>
                  <w:sz w:val="18"/>
                  <w:szCs w:val="18"/>
                  <w:color w:val="0000FF"/>
                </w:rPr>
                <w:t>Report on Form 10-K (File No. 001-33637) as filed with the SEC on March 12, 2021</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380" w:type="dxa"/>
            <w:vAlign w:val="bottom"/>
          </w:tcPr>
          <w:p>
            <w:pPr>
              <w:ind w:left="20"/>
              <w:spacing w:after="0"/>
              <w:rPr>
                <w:sz w:val="20"/>
                <w:szCs w:val="20"/>
                <w:color w:val="auto"/>
              </w:rPr>
            </w:pPr>
            <w:r>
              <w:rPr>
                <w:rFonts w:ascii="Arial" w:cs="Arial" w:eastAsia="Arial" w:hAnsi="Arial"/>
                <w:sz w:val="18"/>
                <w:szCs w:val="18"/>
                <w:color w:val="auto"/>
              </w:rPr>
              <w:t>10.2</w:t>
            </w:r>
          </w:p>
        </w:tc>
        <w:tc>
          <w:tcPr>
            <w:tcW w:w="8400" w:type="dxa"/>
            <w:vAlign w:val="bottom"/>
            <w:gridSpan w:val="14"/>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Employment Agreement, dated March 8, 2021, effective as of January 1, 2021, by and between Martian E. Cearnal</w:t>
              </w:r>
            </w:hyperlink>
          </w:p>
        </w:tc>
      </w:tr>
      <w:tr>
        <w:trPr>
          <w:trHeight w:val="155"/>
        </w:trPr>
        <w:tc>
          <w:tcPr>
            <w:tcW w:w="138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and Cumberland Pharmaceuticals, Inc., incorporated herein by reference to Exhibit 10.12 of the Registrant’s Annual</w:t>
              </w:r>
            </w:hyperlink>
          </w:p>
        </w:tc>
        <w:tc>
          <w:tcPr>
            <w:tcW w:w="8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8380" w:type="dxa"/>
            <w:vAlign w:val="bottom"/>
            <w:gridSpan w:val="13"/>
          </w:tcPr>
          <w:p>
            <w:pPr>
              <w:spacing w:after="0" w:line="156" w:lineRule="exact"/>
              <w:rPr>
                <w:rFonts w:ascii="Arial" w:cs="Arial" w:eastAsia="Arial" w:hAnsi="Arial"/>
                <w:sz w:val="18"/>
                <w:szCs w:val="18"/>
                <w:color w:val="0000FF"/>
              </w:rPr>
            </w:pPr>
            <w:hyperlink r:id="rId39">
              <w:r>
                <w:rPr>
                  <w:rFonts w:ascii="Arial" w:cs="Arial" w:eastAsia="Arial" w:hAnsi="Arial"/>
                  <w:sz w:val="18"/>
                  <w:szCs w:val="18"/>
                  <w:color w:val="0000FF"/>
                </w:rPr>
                <w:t>Report on Form 10-K (File No. 001-33637) as filed with the SEC on March 12, 2021</w:t>
              </w:r>
            </w:hyperlink>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66"/>
        </w:trPr>
        <w:tc>
          <w:tcPr>
            <w:tcW w:w="1380" w:type="dxa"/>
            <w:vAlign w:val="bottom"/>
          </w:tcPr>
          <w:p>
            <w:pPr>
              <w:ind w:left="20"/>
              <w:spacing w:after="0"/>
              <w:rPr>
                <w:sz w:val="20"/>
                <w:szCs w:val="20"/>
                <w:color w:val="auto"/>
              </w:rPr>
            </w:pPr>
            <w:r>
              <w:rPr>
                <w:rFonts w:ascii="Arial" w:cs="Arial" w:eastAsia="Arial" w:hAnsi="Arial"/>
                <w:sz w:val="18"/>
                <w:szCs w:val="18"/>
                <w:color w:val="auto"/>
              </w:rPr>
              <w:t>10.3</w:t>
            </w:r>
          </w:p>
        </w:tc>
        <w:tc>
          <w:tcPr>
            <w:tcW w:w="8400" w:type="dxa"/>
            <w:vAlign w:val="bottom"/>
            <w:gridSpan w:val="14"/>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Employment Agreement, dated March 8, 2021, effective as of January 1, 2021, by and between Leo B. Pavliv and</w:t>
              </w:r>
            </w:hyperlink>
          </w:p>
        </w:tc>
      </w:tr>
      <w:tr>
        <w:trPr>
          <w:trHeight w:val="156"/>
        </w:trPr>
        <w:tc>
          <w:tcPr>
            <w:tcW w:w="1380" w:type="dxa"/>
            <w:vAlign w:val="bottom"/>
          </w:tcPr>
          <w:p>
            <w:pPr>
              <w:spacing w:after="0"/>
              <w:rPr>
                <w:sz w:val="13"/>
                <w:szCs w:val="13"/>
                <w:color w:val="auto"/>
              </w:rPr>
            </w:pPr>
          </w:p>
        </w:tc>
        <w:tc>
          <w:tcPr>
            <w:tcW w:w="8220" w:type="dxa"/>
            <w:vAlign w:val="bottom"/>
            <w:tcBorders>
              <w:top w:val="single" w:sz="8" w:color="0000FF"/>
            </w:tcBorders>
            <w:gridSpan w:val="10"/>
          </w:tcPr>
          <w:p>
            <w:pPr>
              <w:spacing w:after="0" w:line="15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Cumberland Pharmaceuticals, Inc., incorporated herein by reference to Exhibit 10.13 of the Registrant’s Annual</w:t>
              </w:r>
            </w:hyperlink>
          </w:p>
        </w:tc>
        <w:tc>
          <w:tcPr>
            <w:tcW w:w="4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80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40">
              <w:r>
                <w:rPr>
                  <w:rFonts w:ascii="Arial" w:cs="Arial" w:eastAsia="Arial" w:hAnsi="Arial"/>
                  <w:sz w:val="18"/>
                  <w:szCs w:val="18"/>
                  <w:color w:val="0000FF"/>
                </w:rPr>
                <w:t>Report on Form 10-K (File No. 001-33637) as filed with the SEC on March 12, 2021</w:t>
              </w:r>
            </w:hyperlink>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10.4</w:t>
            </w:r>
          </w:p>
        </w:tc>
        <w:tc>
          <w:tcPr>
            <w:tcW w:w="8400" w:type="dxa"/>
            <w:vAlign w:val="bottom"/>
            <w:gridSpan w:val="14"/>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Employment Agreement, dated March 8, 2021, effective as of January 1, 2021, by and between Michael P. Bonner</w:t>
              </w:r>
            </w:hyperlink>
          </w:p>
        </w:tc>
      </w:tr>
      <w:tr>
        <w:trPr>
          <w:trHeight w:val="155"/>
        </w:trPr>
        <w:tc>
          <w:tcPr>
            <w:tcW w:w="1380" w:type="dxa"/>
            <w:vAlign w:val="bottom"/>
          </w:tcPr>
          <w:p>
            <w:pPr>
              <w:spacing w:after="0"/>
              <w:rPr>
                <w:sz w:val="13"/>
                <w:szCs w:val="13"/>
                <w:color w:val="auto"/>
              </w:rPr>
            </w:pPr>
          </w:p>
        </w:tc>
        <w:tc>
          <w:tcPr>
            <w:tcW w:w="8260" w:type="dxa"/>
            <w:vAlign w:val="bottom"/>
            <w:tcBorders>
              <w:top w:val="single" w:sz="8" w:color="0000FF"/>
            </w:tcBorders>
            <w:gridSpan w:val="11"/>
          </w:tcPr>
          <w:p>
            <w:pPr>
              <w:spacing w:after="0" w:line="15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and Cumberland Pharmaceuticals, Inc., incorporated herein by reference to Exhibit 10.14 of the Registrant’s Annual</w:t>
              </w:r>
            </w:hyperlink>
          </w:p>
        </w:tc>
        <w:tc>
          <w:tcPr>
            <w:tcW w:w="140" w:type="dxa"/>
            <w:vAlign w:val="bottom"/>
            <w:gridSpan w:val="3"/>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83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41">
              <w:r>
                <w:rPr>
                  <w:rFonts w:ascii="Arial" w:cs="Arial" w:eastAsia="Arial" w:hAnsi="Arial"/>
                  <w:sz w:val="18"/>
                  <w:szCs w:val="18"/>
                  <w:color w:val="0000FF"/>
                </w:rPr>
                <w:t>Report on Form 10-K (File No. 001-33637) as filed with the SEC on March 12, 2021</w:t>
              </w:r>
            </w:hyperlink>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10.5</w:t>
            </w:r>
          </w:p>
        </w:tc>
        <w:tc>
          <w:tcPr>
            <w:tcW w:w="8400" w:type="dxa"/>
            <w:vAlign w:val="bottom"/>
            <w:gridSpan w:val="14"/>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Employment Agreement, dated March 8, 2021, effective as of January 1, 2021, by and between James L. Herman</w:t>
              </w:r>
            </w:hyperlink>
          </w:p>
        </w:tc>
      </w:tr>
      <w:tr>
        <w:trPr>
          <w:trHeight w:val="20"/>
        </w:trPr>
        <w:tc>
          <w:tcPr>
            <w:tcW w:w="13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55"/>
        </w:trPr>
        <w:tc>
          <w:tcPr>
            <w:tcW w:w="1380" w:type="dxa"/>
            <w:vAlign w:val="bottom"/>
          </w:tcPr>
          <w:p>
            <w:pPr>
              <w:spacing w:after="0"/>
              <w:rPr>
                <w:sz w:val="13"/>
                <w:szCs w:val="13"/>
                <w:color w:val="auto"/>
              </w:rPr>
            </w:pPr>
          </w:p>
        </w:tc>
        <w:tc>
          <w:tcPr>
            <w:tcW w:w="8400" w:type="dxa"/>
            <w:vAlign w:val="bottom"/>
            <w:gridSpan w:val="14"/>
          </w:tcPr>
          <w:p>
            <w:pPr>
              <w:spacing w:after="0" w:line="15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and Cumberland Pharmaceuticals, Inc., incorporated herein by reference to Exhibit 10.15 of the Registrant’s Annual</w:t>
              </w:r>
            </w:hyperlink>
          </w:p>
        </w:tc>
      </w:tr>
      <w:tr>
        <w:trPr>
          <w:trHeight w:val="155"/>
        </w:trPr>
        <w:tc>
          <w:tcPr>
            <w:tcW w:w="1380" w:type="dxa"/>
            <w:vAlign w:val="bottom"/>
          </w:tcPr>
          <w:p>
            <w:pPr>
              <w:spacing w:after="0"/>
              <w:rPr>
                <w:sz w:val="13"/>
                <w:szCs w:val="13"/>
                <w:color w:val="auto"/>
              </w:rPr>
            </w:pPr>
          </w:p>
        </w:tc>
        <w:tc>
          <w:tcPr>
            <w:tcW w:w="83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42">
              <w:r>
                <w:rPr>
                  <w:rFonts w:ascii="Arial" w:cs="Arial" w:eastAsia="Arial" w:hAnsi="Arial"/>
                  <w:sz w:val="18"/>
                  <w:szCs w:val="18"/>
                  <w:color w:val="0000FF"/>
                </w:rPr>
                <w:t>Report on Form 10-K (File No. 001-33637) as filed with the SEC on March 12, 2021</w:t>
              </w:r>
            </w:hyperlink>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466"/>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8400" w:type="dxa"/>
            <w:vAlign w:val="bottom"/>
            <w:gridSpan w:val="14"/>
          </w:tcPr>
          <w:p>
            <w:pPr>
              <w:spacing w:after="0"/>
              <w:rPr>
                <w:rFonts w:ascii="Arial" w:cs="Arial" w:eastAsia="Arial" w:hAnsi="Arial"/>
                <w:sz w:val="18"/>
                <w:szCs w:val="18"/>
                <w:color w:val="0000FF"/>
                <w:w w:val="98"/>
              </w:rPr>
            </w:pPr>
            <w:hyperlink w:anchor="page30">
              <w:r>
                <w:rPr>
                  <w:rFonts w:ascii="Arial" w:cs="Arial" w:eastAsia="Arial" w:hAnsi="Arial"/>
                  <w:sz w:val="18"/>
                  <w:szCs w:val="18"/>
                  <w:color w:val="0000FF"/>
                  <w:w w:val="98"/>
                </w:rPr>
                <w:t>Certification of Chief Executive Officer Pursuant to Rule 13-14(a) of the Securities Exchange Act of 1934 as</w:t>
              </w:r>
            </w:hyperlink>
          </w:p>
        </w:tc>
      </w:tr>
      <w:tr>
        <w:trPr>
          <w:trHeight w:val="155"/>
        </w:trPr>
        <w:tc>
          <w:tcPr>
            <w:tcW w:w="138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30">
              <w:r>
                <w:rPr>
                  <w:rFonts w:ascii="Arial" w:cs="Arial" w:eastAsia="Arial" w:hAnsi="Arial"/>
                  <w:sz w:val="18"/>
                  <w:szCs w:val="18"/>
                  <w:color w:val="0000FF"/>
                  <w:w w:val="90"/>
                </w:rPr>
                <w:t>Adopted Pursuant to Section 302 of the Sarbanes-Oxley Act of 2002.</w:t>
              </w:r>
            </w:hyperlink>
          </w:p>
        </w:tc>
        <w:tc>
          <w:tcPr>
            <w:tcW w:w="2860" w:type="dxa"/>
            <w:vAlign w:val="bottom"/>
            <w:tcBorders>
              <w:top w:val="single" w:sz="8" w:color="0000FF"/>
            </w:tcBorders>
            <w:gridSpan w:val="3"/>
          </w:tcPr>
          <w:p>
            <w:pPr>
              <w:spacing w:after="0"/>
              <w:rPr>
                <w:sz w:val="13"/>
                <w:szCs w:val="13"/>
                <w:color w:val="auto"/>
              </w:rPr>
            </w:pPr>
          </w:p>
        </w:tc>
        <w:tc>
          <w:tcPr>
            <w:tcW w:w="320" w:type="dxa"/>
            <w:vAlign w:val="bottom"/>
            <w:gridSpan w:val="4"/>
          </w:tcPr>
          <w:p>
            <w:pPr>
              <w:spacing w:after="0"/>
              <w:rPr>
                <w:sz w:val="13"/>
                <w:szCs w:val="13"/>
                <w:color w:val="auto"/>
              </w:rPr>
            </w:pPr>
          </w:p>
        </w:tc>
        <w:tc>
          <w:tcPr>
            <w:tcW w:w="220" w:type="dxa"/>
            <w:vAlign w:val="bottom"/>
            <w:gridSpan w:val="5"/>
          </w:tcPr>
          <w:p>
            <w:pPr>
              <w:spacing w:after="0"/>
              <w:rPr>
                <w:sz w:val="13"/>
                <w:szCs w:val="13"/>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8400" w:type="dxa"/>
            <w:vAlign w:val="bottom"/>
            <w:gridSpan w:val="14"/>
          </w:tcPr>
          <w:p>
            <w:pPr>
              <w:spacing w:after="0"/>
              <w:rPr>
                <w:rFonts w:ascii="Arial" w:cs="Arial" w:eastAsia="Arial" w:hAnsi="Arial"/>
                <w:sz w:val="18"/>
                <w:szCs w:val="18"/>
                <w:color w:val="0000FF"/>
                <w:w w:val="98"/>
              </w:rPr>
            </w:pPr>
            <w:hyperlink w:anchor="page31">
              <w:r>
                <w:rPr>
                  <w:rFonts w:ascii="Arial" w:cs="Arial" w:eastAsia="Arial" w:hAnsi="Arial"/>
                  <w:sz w:val="18"/>
                  <w:szCs w:val="18"/>
                  <w:color w:val="0000FF"/>
                  <w:w w:val="98"/>
                </w:rPr>
                <w:t>Certification of Chief Financial Officer Pursuant to Rule 13-14(a) of the Securities Exchange Act of 1934 as</w:t>
              </w:r>
            </w:hyperlink>
          </w:p>
        </w:tc>
      </w:tr>
      <w:tr>
        <w:trPr>
          <w:trHeight w:val="155"/>
        </w:trPr>
        <w:tc>
          <w:tcPr>
            <w:tcW w:w="138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31">
              <w:r>
                <w:rPr>
                  <w:rFonts w:ascii="Arial" w:cs="Arial" w:eastAsia="Arial" w:hAnsi="Arial"/>
                  <w:sz w:val="18"/>
                  <w:szCs w:val="18"/>
                  <w:color w:val="0000FF"/>
                  <w:w w:val="90"/>
                </w:rPr>
                <w:t>Adopted Pursuant to Section 302 of the Sarbanes-Oxley Act of 2002.</w:t>
              </w:r>
            </w:hyperlink>
          </w:p>
        </w:tc>
        <w:tc>
          <w:tcPr>
            <w:tcW w:w="2820" w:type="dxa"/>
            <w:vAlign w:val="bottom"/>
            <w:tcBorders>
              <w:top w:val="single" w:sz="8" w:color="0000FF"/>
            </w:tcBorders>
            <w:gridSpan w:val="2"/>
          </w:tcPr>
          <w:p>
            <w:pPr>
              <w:spacing w:after="0"/>
              <w:rPr>
                <w:sz w:val="13"/>
                <w:szCs w:val="13"/>
                <w:color w:val="auto"/>
              </w:rPr>
            </w:pPr>
          </w:p>
        </w:tc>
        <w:tc>
          <w:tcPr>
            <w:tcW w:w="360" w:type="dxa"/>
            <w:vAlign w:val="bottom"/>
            <w:gridSpan w:val="5"/>
          </w:tcPr>
          <w:p>
            <w:pPr>
              <w:spacing w:after="0"/>
              <w:rPr>
                <w:sz w:val="13"/>
                <w:szCs w:val="13"/>
                <w:color w:val="auto"/>
              </w:rPr>
            </w:pPr>
          </w:p>
        </w:tc>
        <w:tc>
          <w:tcPr>
            <w:tcW w:w="220" w:type="dxa"/>
            <w:vAlign w:val="bottom"/>
            <w:gridSpan w:val="5"/>
          </w:tcPr>
          <w:p>
            <w:pPr>
              <w:spacing w:after="0"/>
              <w:rPr>
                <w:sz w:val="13"/>
                <w:szCs w:val="13"/>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8400" w:type="dxa"/>
            <w:vAlign w:val="bottom"/>
            <w:gridSpan w:val="14"/>
          </w:tcPr>
          <w:p>
            <w:pPr>
              <w:spacing w:after="0"/>
              <w:rPr>
                <w:rFonts w:ascii="Arial" w:cs="Arial" w:eastAsia="Arial" w:hAnsi="Arial"/>
                <w:sz w:val="18"/>
                <w:szCs w:val="18"/>
                <w:color w:val="0000FF"/>
                <w:w w:val="95"/>
              </w:rPr>
            </w:pPr>
            <w:hyperlink w:anchor="page32">
              <w:r>
                <w:rPr>
                  <w:rFonts w:ascii="Arial" w:cs="Arial" w:eastAsia="Arial" w:hAnsi="Arial"/>
                  <w:sz w:val="18"/>
                  <w:szCs w:val="18"/>
                  <w:color w:val="0000FF"/>
                  <w:w w:val="95"/>
                </w:rPr>
                <w:t>Certification of Chief Executive and Principal Financial Officer Pursuant to 18 U.S.C. Section 1350, as Adopted</w:t>
              </w:r>
            </w:hyperlink>
          </w:p>
        </w:tc>
      </w:tr>
      <w:tr>
        <w:trPr>
          <w:trHeight w:val="155"/>
        </w:trPr>
        <w:tc>
          <w:tcPr>
            <w:tcW w:w="1380" w:type="dxa"/>
            <w:vAlign w:val="bottom"/>
          </w:tcPr>
          <w:p>
            <w:pPr>
              <w:spacing w:after="0"/>
              <w:rPr>
                <w:sz w:val="13"/>
                <w:szCs w:val="13"/>
                <w:color w:val="auto"/>
              </w:rPr>
            </w:pPr>
          </w:p>
        </w:tc>
        <w:tc>
          <w:tcPr>
            <w:tcW w:w="81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32">
              <w:r>
                <w:rPr>
                  <w:rFonts w:ascii="Arial" w:cs="Arial" w:eastAsia="Arial" w:hAnsi="Arial"/>
                  <w:sz w:val="18"/>
                  <w:szCs w:val="18"/>
                  <w:color w:val="0000FF"/>
                </w:rPr>
                <w:t>Pursuant to Section 906 of the Sarbanes-Oxley Act of 2002.</w:t>
              </w:r>
            </w:hyperlink>
          </w:p>
        </w:tc>
        <w:tc>
          <w:tcPr>
            <w:tcW w:w="220" w:type="dxa"/>
            <w:vAlign w:val="bottom"/>
            <w:gridSpan w:val="5"/>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4080" w:type="dxa"/>
            <w:vAlign w:val="bottom"/>
            <w:gridSpan w:val="13"/>
          </w:tcPr>
          <w:p>
            <w:pPr>
              <w:spacing w:after="0" w:line="20" w:lineRule="exact"/>
              <w:rPr>
                <w:sz w:val="1"/>
                <w:szCs w:val="1"/>
                <w:color w:val="auto"/>
              </w:rPr>
            </w:pPr>
          </w:p>
        </w:tc>
      </w:tr>
      <w:tr>
        <w:trPr>
          <w:trHeight w:val="425"/>
        </w:trPr>
        <w:tc>
          <w:tcPr>
            <w:tcW w:w="1380" w:type="dxa"/>
            <w:vAlign w:val="bottom"/>
          </w:tcPr>
          <w:p>
            <w:pPr>
              <w:ind w:left="20"/>
              <w:spacing w:after="0"/>
              <w:rPr>
                <w:sz w:val="20"/>
                <w:szCs w:val="20"/>
                <w:color w:val="auto"/>
              </w:rPr>
            </w:pPr>
            <w:r>
              <w:rPr>
                <w:rFonts w:ascii="Arial" w:cs="Arial" w:eastAsia="Arial" w:hAnsi="Arial"/>
                <w:sz w:val="18"/>
                <w:szCs w:val="18"/>
                <w:color w:val="auto"/>
              </w:rPr>
              <w:t>101.INS*</w:t>
            </w:r>
          </w:p>
        </w:tc>
        <w:tc>
          <w:tcPr>
            <w:tcW w:w="8400" w:type="dxa"/>
            <w:vAlign w:val="bottom"/>
            <w:gridSpan w:val="14"/>
          </w:tcPr>
          <w:p>
            <w:pPr>
              <w:spacing w:after="0"/>
              <w:rPr>
                <w:sz w:val="20"/>
                <w:szCs w:val="20"/>
                <w:color w:val="auto"/>
              </w:rPr>
            </w:pPr>
            <w:r>
              <w:rPr>
                <w:rFonts w:ascii="Arial" w:cs="Arial" w:eastAsia="Arial" w:hAnsi="Arial"/>
                <w:sz w:val="18"/>
                <w:szCs w:val="18"/>
                <w:color w:val="auto"/>
              </w:rPr>
              <w:t>INLINE XBRL INSTANCE DOCUMENT - THE INSTANCE DOCUMENT DOES NOT APPEAR IN THE</w:t>
            </w:r>
          </w:p>
        </w:tc>
      </w:tr>
      <w:tr>
        <w:trPr>
          <w:trHeight w:val="175"/>
        </w:trPr>
        <w:tc>
          <w:tcPr>
            <w:tcW w:w="1380" w:type="dxa"/>
            <w:vAlign w:val="bottom"/>
          </w:tcPr>
          <w:p>
            <w:pPr>
              <w:spacing w:after="0"/>
              <w:rPr>
                <w:sz w:val="15"/>
                <w:szCs w:val="15"/>
                <w:color w:val="auto"/>
              </w:rPr>
            </w:pPr>
          </w:p>
        </w:tc>
        <w:tc>
          <w:tcPr>
            <w:tcW w:w="8400" w:type="dxa"/>
            <w:vAlign w:val="bottom"/>
            <w:gridSpan w:val="14"/>
          </w:tcPr>
          <w:p>
            <w:pPr>
              <w:spacing w:after="0" w:line="176" w:lineRule="exact"/>
              <w:rPr>
                <w:sz w:val="20"/>
                <w:szCs w:val="20"/>
                <w:color w:val="auto"/>
              </w:rPr>
            </w:pPr>
            <w:r>
              <w:rPr>
                <w:rFonts w:ascii="Arial" w:cs="Arial" w:eastAsia="Arial" w:hAnsi="Arial"/>
                <w:sz w:val="18"/>
                <w:szCs w:val="18"/>
                <w:color w:val="auto"/>
              </w:rPr>
              <w:t>INTERACTIVE DATA FILE BECAUSE ITS XBRL TAGS ARE EMBEDDED WITHIN THE INLINE XBRL</w:t>
            </w:r>
          </w:p>
        </w:tc>
      </w:tr>
      <w:tr>
        <w:trPr>
          <w:trHeight w:val="230"/>
        </w:trPr>
        <w:tc>
          <w:tcPr>
            <w:tcW w:w="1380" w:type="dxa"/>
            <w:vAlign w:val="bottom"/>
          </w:tcPr>
          <w:p>
            <w:pPr>
              <w:spacing w:after="0"/>
              <w:rPr>
                <w:sz w:val="20"/>
                <w:szCs w:val="20"/>
                <w:color w:val="auto"/>
              </w:rPr>
            </w:pPr>
          </w:p>
        </w:tc>
        <w:tc>
          <w:tcPr>
            <w:tcW w:w="8400" w:type="dxa"/>
            <w:vAlign w:val="bottom"/>
            <w:gridSpan w:val="14"/>
          </w:tcPr>
          <w:p>
            <w:pPr>
              <w:spacing w:after="0"/>
              <w:rPr>
                <w:sz w:val="20"/>
                <w:szCs w:val="20"/>
                <w:color w:val="auto"/>
              </w:rPr>
            </w:pPr>
            <w:r>
              <w:rPr>
                <w:rFonts w:ascii="Arial" w:cs="Arial" w:eastAsia="Arial" w:hAnsi="Arial"/>
                <w:sz w:val="18"/>
                <w:szCs w:val="18"/>
                <w:color w:val="auto"/>
              </w:rPr>
              <w:t>DOCUMENT.</w:t>
            </w:r>
          </w:p>
        </w:tc>
      </w:tr>
      <w:tr>
        <w:trPr>
          <w:trHeight w:val="458"/>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840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59"/>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840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9"/>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840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9"/>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840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9"/>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840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1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COVER PAGE INTERACTIVE DATA FILE (FORMATTED AS INLINE XBRL AND CONTAINED IN</w:t>
      </w:r>
    </w:p>
    <w:p>
      <w:pPr>
        <w:jc w:val="both"/>
        <w:ind w:left="1000" w:right="7659" w:hanging="974"/>
        <w:spacing w:after="0" w:line="413" w:lineRule="auto"/>
        <w:tabs>
          <w:tab w:leader="none" w:pos="1391" w:val="left"/>
        </w:tabs>
        <w:numPr>
          <w:ilvl w:val="0"/>
          <w:numId w:val="5"/>
        </w:numPr>
        <w:rPr>
          <w:rFonts w:ascii="Arial" w:cs="Arial" w:eastAsia="Arial" w:hAnsi="Arial"/>
          <w:sz w:val="17"/>
          <w:szCs w:val="17"/>
          <w:color w:val="auto"/>
        </w:rPr>
      </w:pPr>
      <w:r>
        <w:rPr>
          <w:rFonts w:ascii="Arial" w:cs="Arial" w:eastAsia="Arial" w:hAnsi="Arial"/>
          <w:sz w:val="17"/>
          <w:szCs w:val="17"/>
          <w:color w:val="auto"/>
        </w:rPr>
        <w:t>EXHIBIT 101) * Filed herewith.</w:t>
      </w:r>
    </w:p>
    <w:p>
      <w:pPr>
        <w:ind w:left="1380" w:hanging="382"/>
        <w:spacing w:after="0"/>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63" w:right="1440"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6860" w:type="dxa"/>
            <w:vAlign w:val="bottom"/>
            <w:gridSpan w:val="2"/>
          </w:tcPr>
          <w:p>
            <w:pPr>
              <w:ind w:left="212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3540" w:type="dxa"/>
            <w:vAlign w:val="bottom"/>
          </w:tcPr>
          <w:p>
            <w:pPr>
              <w:spacing w:after="0"/>
              <w:rPr>
                <w:sz w:val="20"/>
                <w:szCs w:val="20"/>
                <w:color w:val="auto"/>
              </w:rPr>
            </w:pPr>
            <w:r>
              <w:rPr>
                <w:rFonts w:ascii="Arial" w:cs="Arial" w:eastAsia="Arial" w:hAnsi="Arial"/>
                <w:sz w:val="18"/>
                <w:szCs w:val="18"/>
                <w:color w:val="auto"/>
              </w:rPr>
              <w:t>Date: May 14, 2021</w:t>
            </w:r>
          </w:p>
        </w:tc>
        <w:tc>
          <w:tcPr>
            <w:tcW w:w="2580" w:type="dxa"/>
            <w:vAlign w:val="bottom"/>
          </w:tcPr>
          <w:p>
            <w:pPr>
              <w:ind w:left="212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Michael Bonner</w:t>
            </w:r>
          </w:p>
        </w:tc>
      </w:tr>
      <w:tr>
        <w:trPr>
          <w:trHeight w:val="222"/>
        </w:trPr>
        <w:tc>
          <w:tcPr>
            <w:tcW w:w="35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280" w:type="dxa"/>
            <w:vAlign w:val="bottom"/>
          </w:tcPr>
          <w:p>
            <w:pPr>
              <w:ind w:left="300"/>
              <w:spacing w:after="0"/>
              <w:rPr>
                <w:sz w:val="20"/>
                <w:szCs w:val="20"/>
                <w:color w:val="auto"/>
              </w:rPr>
            </w:pPr>
            <w:r>
              <w:rPr>
                <w:rFonts w:ascii="Arial" w:cs="Arial" w:eastAsia="Arial" w:hAnsi="Arial"/>
                <w:sz w:val="18"/>
                <w:szCs w:val="18"/>
                <w:color w:val="auto"/>
              </w:rPr>
              <w:t>Michael Bonner</w:t>
            </w:r>
          </w:p>
        </w:tc>
      </w:tr>
      <w:tr>
        <w:trPr>
          <w:trHeight w:val="230"/>
        </w:trPr>
        <w:tc>
          <w:tcPr>
            <w:tcW w:w="3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280" w:type="dxa"/>
            <w:vAlign w:val="bottom"/>
          </w:tcPr>
          <w:p>
            <w:pPr>
              <w:ind w:left="300"/>
              <w:spacing w:after="0"/>
              <w:rPr>
                <w:sz w:val="20"/>
                <w:szCs w:val="20"/>
                <w:color w:val="auto"/>
              </w:rPr>
            </w:pPr>
            <w:r>
              <w:rPr>
                <w:rFonts w:ascii="Arial" w:cs="Arial" w:eastAsia="Arial" w:hAnsi="Arial"/>
                <w:sz w:val="18"/>
                <w:szCs w:val="18"/>
                <w:color w:val="auto"/>
                <w:w w:val="98"/>
              </w:rPr>
              <w:t>Chief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55" w:right="3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A.J. Kazimi, certify that:</w:t>
      </w:r>
    </w:p>
    <w:p>
      <w:pPr>
        <w:spacing w:after="0" w:line="50" w:lineRule="exact"/>
        <w:rPr>
          <w:sz w:val="20"/>
          <w:szCs w:val="20"/>
          <w:color w:val="auto"/>
        </w:rPr>
      </w:pPr>
    </w:p>
    <w:p>
      <w:pPr>
        <w:ind w:left="680" w:hanging="65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144" w:lineRule="exact"/>
        <w:rPr>
          <w:sz w:val="20"/>
          <w:szCs w:val="20"/>
          <w:color w:val="auto"/>
        </w:rPr>
      </w:pPr>
    </w:p>
    <w:p>
      <w:pPr>
        <w:jc w:val="both"/>
        <w:ind w:left="680" w:right="100" w:hanging="654"/>
        <w:spacing w:after="0" w:line="224"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sz w:val="20"/>
          <w:szCs w:val="20"/>
          <w:color w:val="auto"/>
        </w:rPr>
      </w:pPr>
    </w:p>
    <w:p>
      <w:pPr>
        <w:ind w:left="680" w:right="60" w:hanging="654"/>
        <w:spacing w:after="0" w:line="258"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sz w:val="20"/>
          <w:szCs w:val="20"/>
          <w:color w:val="auto"/>
        </w:rPr>
      </w:pPr>
    </w:p>
    <w:p>
      <w:pPr>
        <w:ind w:left="680" w:right="100" w:hanging="654"/>
        <w:spacing w:after="0" w:line="22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540" w:right="500" w:hanging="316"/>
        <w:spacing w:after="0" w:line="255" w:lineRule="auto"/>
        <w:tabs>
          <w:tab w:leader="none" w:pos="53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3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680" w:right="260" w:hanging="654"/>
        <w:spacing w:after="0" w:line="289"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540" w:right="400" w:hanging="316"/>
        <w:spacing w:after="0" w:line="258" w:lineRule="auto"/>
        <w:tabs>
          <w:tab w:leader="none" w:pos="53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960"/>
        <w:spacing w:after="0"/>
        <w:tabs>
          <w:tab w:leader="none" w:pos="6480" w:val="left"/>
        </w:tabs>
        <w:rPr>
          <w:sz w:val="20"/>
          <w:szCs w:val="20"/>
          <w:color w:val="auto"/>
        </w:rPr>
      </w:pPr>
      <w:r>
        <w:rPr>
          <w:rFonts w:ascii="Arial" w:cs="Arial" w:eastAsia="Arial" w:hAnsi="Arial"/>
          <w:sz w:val="18"/>
          <w:szCs w:val="18"/>
          <w:color w:val="auto"/>
        </w:rPr>
        <w:t>May 14, 2021By:</w:t>
      </w:r>
      <w:r>
        <w:rPr>
          <w:sz w:val="20"/>
          <w:szCs w:val="20"/>
          <w:color w:val="auto"/>
        </w:rPr>
        <w:tab/>
      </w:r>
      <w:r>
        <w:rPr>
          <w:rFonts w:ascii="Arial" w:cs="Arial" w:eastAsia="Arial" w:hAnsi="Arial"/>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857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3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Michael Bonner, certify that:</w:t>
      </w:r>
    </w:p>
    <w:p>
      <w:pPr>
        <w:spacing w:after="0" w:line="50" w:lineRule="exact"/>
        <w:rPr>
          <w:sz w:val="20"/>
          <w:szCs w:val="20"/>
          <w:color w:val="auto"/>
        </w:rPr>
      </w:pPr>
    </w:p>
    <w:p>
      <w:pPr>
        <w:ind w:left="680" w:hanging="654"/>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144" w:lineRule="exact"/>
        <w:rPr>
          <w:sz w:val="20"/>
          <w:szCs w:val="20"/>
          <w:color w:val="auto"/>
        </w:rPr>
      </w:pPr>
    </w:p>
    <w:p>
      <w:pPr>
        <w:jc w:val="both"/>
        <w:ind w:left="680" w:right="100" w:hanging="654"/>
        <w:spacing w:after="0" w:line="22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sz w:val="20"/>
          <w:szCs w:val="20"/>
          <w:color w:val="auto"/>
        </w:rPr>
      </w:pPr>
    </w:p>
    <w:p>
      <w:pPr>
        <w:ind w:left="680" w:right="60" w:hanging="654"/>
        <w:spacing w:after="0" w:line="258" w:lineRule="auto"/>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sz w:val="20"/>
          <w:szCs w:val="20"/>
          <w:color w:val="auto"/>
        </w:rPr>
      </w:pPr>
    </w:p>
    <w:p>
      <w:pPr>
        <w:ind w:left="680" w:right="100" w:hanging="654"/>
        <w:spacing w:after="0" w:line="224"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540" w:right="500" w:hanging="316"/>
        <w:spacing w:after="0" w:line="255" w:lineRule="auto"/>
        <w:tabs>
          <w:tab w:leader="none" w:pos="5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3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680" w:right="260" w:hanging="654"/>
        <w:spacing w:after="0" w:line="289"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540" w:right="400" w:hanging="316"/>
        <w:spacing w:after="0" w:line="258" w:lineRule="auto"/>
        <w:tabs>
          <w:tab w:leader="none" w:pos="5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5020"/>
        <w:spacing w:after="0"/>
        <w:tabs>
          <w:tab w:leader="none" w:pos="6480" w:val="left"/>
        </w:tabs>
        <w:rPr>
          <w:sz w:val="20"/>
          <w:szCs w:val="20"/>
          <w:color w:val="auto"/>
        </w:rPr>
      </w:pPr>
      <w:r>
        <w:rPr>
          <w:rFonts w:ascii="Arial" w:cs="Arial" w:eastAsia="Arial" w:hAnsi="Arial"/>
          <w:sz w:val="18"/>
          <w:szCs w:val="18"/>
          <w:color w:val="auto"/>
        </w:rPr>
        <w:t>May 14, 2021By:</w:t>
      </w:r>
      <w:r>
        <w:rPr>
          <w:sz w:val="20"/>
          <w:szCs w:val="20"/>
          <w:color w:val="auto"/>
        </w:rPr>
        <w:tab/>
      </w:r>
      <w:r>
        <w:rPr>
          <w:rFonts w:ascii="Arial" w:cs="Arial" w:eastAsia="Arial" w:hAnsi="Arial"/>
          <w:sz w:val="16"/>
          <w:szCs w:val="16"/>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857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Michael Bonner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3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In connection with the Quarterly Report on Form 10-Q for the fiscal quarter ended March 31, 2021 of Cumberland Pharmaceuticals Inc. (the “Company”), as filed with the Securities and Exchange Commission on the date hereof (the “Report”), I, A.J. Kazimi, Chief Executive Officer and Michael Bonner, Chief Financial Officer of the Company, certify, pursuant to Section 906 of the Sarbanes-Oxley Act of 2002 (18 U.S.C. section 1350), that:</w:t>
      </w:r>
    </w:p>
    <w:p>
      <w:pPr>
        <w:spacing w:after="0" w:line="1" w:lineRule="exact"/>
        <w:rPr>
          <w:sz w:val="20"/>
          <w:szCs w:val="20"/>
          <w:color w:val="auto"/>
        </w:rPr>
      </w:pPr>
    </w:p>
    <w:p>
      <w:pPr>
        <w:ind w:left="680" w:hanging="65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sz w:val="20"/>
          <w:szCs w:val="20"/>
          <w:color w:val="auto"/>
        </w:rPr>
      </w:pPr>
    </w:p>
    <w:p>
      <w:pPr>
        <w:ind w:left="680" w:hanging="654"/>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27686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May 14, 2021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27686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Michael Bonner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May 14, 2021</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04"/>
    </w:lvl>
    <w:lvl w:ilvl="1">
      <w:lvlJc w:val="left"/>
      <w:lvlText w:val="*"/>
      <w:numFmt w:val="bullet"/>
      <w:start w:val="1"/>
    </w:lvl>
  </w:abstractNum>
  <w:abstractNum w:abstractNumId="5">
    <w:nsid w:val="66EF438D"/>
    <w:multiLevelType w:val="hybridMultilevel"/>
    <w:lvl w:ilvl="0">
      <w:lvlJc w:val="left"/>
      <w:lvlText w:val="%1"/>
      <w:numFmt w:val="decimal"/>
      <w:start w:val="1"/>
    </w:lvl>
    <w:lvl w:ilvl="1">
      <w:lvlJc w:val="left"/>
      <w:lvlText w:val="**"/>
      <w:numFmt w:val="bullet"/>
      <w:start w:val="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2"/>
      <w:numFmt w:val="bullet"/>
      <w:start w:val="1"/>
    </w:lvl>
  </w:abstractNum>
  <w:abstractNum w:abstractNumId="8">
    <w:nsid w:val="109CF92E"/>
    <w:multiLevelType w:val="hybridMultilevel"/>
    <w:lvl w:ilvl="0">
      <w:lvlJc w:val="left"/>
      <w:lvlText w:val="3"/>
      <w:numFmt w:val="bullet"/>
      <w:start w:val="1"/>
    </w:lvl>
  </w:abstractNum>
  <w:abstractNum w:abstractNumId="9">
    <w:nsid w:val="DED7263"/>
    <w:multiLevelType w:val="hybridMultilevel"/>
    <w:lvl w:ilvl="0">
      <w:lvlJc w:val="left"/>
      <w:lvlText w:val="4"/>
      <w:numFmt w:val="bullet"/>
      <w:start w:val="1"/>
    </w:lvl>
    <w:lvl w:ilvl="1">
      <w:lvlJc w:val="left"/>
      <w:lvlText w:val="%2."/>
      <w:numFmt w:val="lowerLetter"/>
      <w:start w:val="1"/>
    </w:lvl>
  </w:abstractNum>
  <w:abstractNum w:abstractNumId="10">
    <w:nsid w:val="7FDCC233"/>
    <w:multiLevelType w:val="hybridMultilevel"/>
    <w:lvl w:ilvl="0">
      <w:lvlJc w:val="left"/>
      <w:lvlText w:val="5"/>
      <w:numFmt w:val="bullet"/>
      <w:start w:val="1"/>
    </w:lvl>
    <w:lvl w:ilvl="1">
      <w:lvlJc w:val="left"/>
      <w:lvlText w:val="%2."/>
      <w:numFmt w:val="lowerLetter"/>
      <w:start w:val="1"/>
    </w:lvl>
  </w:abstractNum>
  <w:abstractNum w:abstractNumId="11">
    <w:nsid w:val="1BEFD79F"/>
    <w:multiLevelType w:val="hybridMultilevel"/>
    <w:lvl w:ilvl="0">
      <w:lvlJc w:val="left"/>
      <w:lvlText w:val="1"/>
      <w:numFmt w:val="bullet"/>
      <w:start w:val="1"/>
    </w:lvl>
  </w:abstractNum>
  <w:abstractNum w:abstractNumId="12">
    <w:nsid w:val="41A7C4C9"/>
    <w:multiLevelType w:val="hybridMultilevel"/>
    <w:lvl w:ilvl="0">
      <w:lvlJc w:val="left"/>
      <w:lvlText w:val="2"/>
      <w:numFmt w:val="bullet"/>
      <w:start w:val="1"/>
    </w:lvl>
  </w:abstractNum>
  <w:abstractNum w:abstractNumId="13">
    <w:nsid w:val="6B68079A"/>
    <w:multiLevelType w:val="hybridMultilevel"/>
    <w:lvl w:ilvl="0">
      <w:lvlJc w:val="left"/>
      <w:lvlText w:val="3"/>
      <w:numFmt w:val="bullet"/>
      <w:start w:val="1"/>
    </w:lvl>
  </w:abstractNum>
  <w:abstractNum w:abstractNumId="14">
    <w:nsid w:val="4E6AFB66"/>
    <w:multiLevelType w:val="hybridMultilevel"/>
    <w:lvl w:ilvl="0">
      <w:lvlJc w:val="left"/>
      <w:lvlText w:val="4"/>
      <w:numFmt w:val="bullet"/>
      <w:start w:val="1"/>
    </w:lvl>
    <w:lvl w:ilvl="1">
      <w:lvlJc w:val="left"/>
      <w:lvlText w:val="%2."/>
      <w:numFmt w:val="lowerLetter"/>
      <w:start w:val="1"/>
    </w:lvl>
  </w:abstractNum>
  <w:abstractNum w:abstractNumId="15">
    <w:nsid w:val="25E45D32"/>
    <w:multiLevelType w:val="hybridMultilevel"/>
    <w:lvl w:ilvl="0">
      <w:lvlJc w:val="left"/>
      <w:lvlText w:val="5"/>
      <w:numFmt w:val="bullet"/>
      <w:start w:val="1"/>
    </w:lvl>
    <w:lvl w:ilvl="1">
      <w:lvlJc w:val="left"/>
      <w:lvlText w:val="%2."/>
      <w:numFmt w:val="lowerLetter"/>
      <w:start w:val="1"/>
    </w:lvl>
  </w:abstractNum>
  <w:abstractNum w:abstractNumId="16">
    <w:nsid w:val="519B500D"/>
    <w:multiLevelType w:val="hybridMultilevel"/>
    <w:lvl w:ilvl="0">
      <w:lvlJc w:val="left"/>
      <w:lvlText w:val="1"/>
      <w:numFmt w:val="bullet"/>
      <w:start w:val="1"/>
    </w:lvl>
  </w:abstractNum>
  <w:abstractNum w:abstractNumId="17">
    <w:nsid w:val="431BD7B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38" Type="http://schemas.openxmlformats.org/officeDocument/2006/relationships/hyperlink" Target="http://www.sec.gov/Archives/edgar/data/1087294/000162828021004654/a2020-10kxex1011ajkazimi.htm" TargetMode="External"/><Relationship Id="rId39" Type="http://schemas.openxmlformats.org/officeDocument/2006/relationships/hyperlink" Target="http://www.sec.gov/Archives/edgar/data/1087294/000162828021004654/a2020-xex1012martincearnal.htm" TargetMode="External"/><Relationship Id="rId40" Type="http://schemas.openxmlformats.org/officeDocument/2006/relationships/hyperlink" Target="http://www.sec.gov/Archives/edgar/data/1087294/000162828021004654/a2020-10kxex1013leopavliv.htm" TargetMode="External"/><Relationship Id="rId41" Type="http://schemas.openxmlformats.org/officeDocument/2006/relationships/hyperlink" Target="http://www.sec.gov/Archives/edgar/data/1087294/000162828021004654/a2020-xex1014michaelbonner.htm" TargetMode="External"/><Relationship Id="rId42" Type="http://schemas.openxmlformats.org/officeDocument/2006/relationships/hyperlink" Target="http://www.sec.gov/Archives/edgar/data/1087294/000162828021004654/a2020-10kxex1015jimherm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2021-05-14T16:36:49Z</dcterms:created>
  <dcterms:modified xsi:type="dcterms:W3CDTF">2021-05-14T16:36:49Z</dcterms:modified>
</cp:coreProperties>
</file>