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Ikarian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730,932.00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730,932.00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730,932.00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figures in Items 6, 8, 9, and 11 represent common stock, no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of Cumberland Pharmaceuticls Inc. (the "Issuer") held by Ikarian Healthcare Master Fund, L.P., a Cayman Islands exempted limited partnership (the "Fund"), and certain separate managed accounts. See Item 2 for more information. (2) The figure in Item 11 is based upon 14,961,137 shares of Common Stock outstanding as of May 6, 2025, as disclosed in the Issuer's quarterly report on Form 10-Q for the quarterly period ended March 31, 2025, filed with the U.S. Securities and Exchange Commission (the "SEC") on May 9,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Neil Shahrestani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730,932.00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730,932.00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1" w:right="499" w:bottom="0" w:gutter="0" w:footer="0" w:header="0"/>
          <w:type w:val="continuous"/>
        </w:sectPr>
      </w:pPr>
    </w:p>
    <w:bookmarkStart w:id="2" w:name="page3"/>
    <w:bookmarkEnd w:id="2"/>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730,932.00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 HC</w:t>
      </w:r>
    </w:p>
    <w:p>
      <w:pPr>
        <w:spacing w:after="0" w:line="24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figures in Items 6, 8, 9, and 11 represent Common Stock of the Issuer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Fund and certain separate managed accounts. See Item 2 for more information. (2) The figure in Item 11 is based upon 14,961,137 shares of Common Stock outstanding as of May 6, 2025, as disclosed in the Issuer's quarterly report on Form 10-Q for the quarterly period ended March 31, 2025, filed with the SEC on May 9,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1600 West End Avenue, Suite 1300, Nashville, TN 37203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line="244" w:lineRule="auto"/>
        <w:rPr>
          <w:sz w:val="20"/>
          <w:szCs w:val="20"/>
          <w:color w:val="auto"/>
        </w:rPr>
      </w:pPr>
      <w:r>
        <w:rPr>
          <w:rFonts w:ascii="Times New Roman" w:cs="Times New Roman" w:eastAsia="Times New Roman" w:hAnsi="Times New Roman"/>
          <w:sz w:val="21"/>
          <w:szCs w:val="21"/>
          <w:color w:val="auto"/>
        </w:rPr>
        <w:t>This statement is filed jointly by and on behalf of each of Ikarian Capital, LLC, a Delaware limited liability company ("Ikarian Capital"), and Neil Shahrestani (together referred herein as the "Reporting Persons"). The Fund, and certain separately managed accounts managed by Ikarian Capital (collectively, the "Managed Accounts"), are the record owners of the securities covered by this statement. Ikarian Capital is an investment adviser registered under the Investment Advisers Act of 1940, as amended, and serves as investment manager to the Fund and as sub-adviser to the Managed Accounts, and may be deemed to have beneficial ownership of the securities covered by this statement through the investment discretion it has over the Fund and the Managed Accounts. Ikarian Capital is ultimately controlled, indirectly, by Mr. Shahrestani. Accordingly, Mr. Shahrestani may be deemed to indirectly beneficially own</w:t>
      </w:r>
    </w:p>
    <w:p>
      <w:pPr>
        <w:spacing w:after="0" w:line="4" w:lineRule="exact"/>
        <w:rPr>
          <w:sz w:val="20"/>
          <w:szCs w:val="20"/>
          <w:color w:val="auto"/>
        </w:rPr>
      </w:pPr>
    </w:p>
    <w:p>
      <w:pPr>
        <w:ind w:left="960" w:right="60" w:hanging="912"/>
        <w:spacing w:after="0" w:line="214" w:lineRule="auto"/>
        <w:tabs>
          <w:tab w:leader="none" w:pos="96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securities beneficially owned by Ikarian Capital. The Fund disclaims beneficial ownership of the shares held by the Managed Accounts. The Managed Accounts disclaim beneficial ownership of the shares held by the Fund.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23"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7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Ikarian Capital, LLC, 100 Crescent Court, Suite 1620, Dallas, Texas 75201.</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Item 4 on the cover page(s) hereto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230770109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180"/>
          </w:cols>
          <w:pgMar w:left="320" w:top="355" w:right="399" w:bottom="0" w:gutter="0" w:footer="0" w:header="0"/>
        </w:sectPr>
      </w:pPr>
    </w:p>
    <w:bookmarkStart w:id="3" w:name="page4"/>
    <w:bookmarkEnd w:id="3"/>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on the cover pages(s) hereto.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on the cover page(s) hereto.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on the cover page(s) hereto.</w:t>
      </w:r>
    </w:p>
    <w:p>
      <w:pPr>
        <w:spacing w:after="0" w:line="287" w:lineRule="exact"/>
        <w:rPr>
          <w:sz w:val="20"/>
          <w:szCs w:val="20"/>
          <w:color w:val="auto"/>
        </w:rPr>
      </w:pPr>
    </w:p>
    <w:p>
      <w:pPr>
        <w:ind w:left="920" w:right="624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on the cover page(s) hereto.</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on the cover page(s) hereto.</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page(s) hereto.</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set forth in Item 2(a)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2">
            <w:col w:w="720" w:space="200"/>
            <w:col w:w="10220"/>
          </w:cols>
          <w:pgMar w:left="360" w:top="166" w:right="399" w:bottom="0" w:gutter="0" w:footer="0" w:header="0"/>
          <w:type w:val="continuous"/>
        </w:sectPr>
      </w:pPr>
    </w:p>
    <w:bookmarkStart w:id="4" w:name="page5"/>
    <w:bookmarkEnd w:id="4"/>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Ikarian Capital, LLC</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Shahrestani</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Shahrestani, Sole Manager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Neil Shahrestani</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Shahrestani</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Neil Shahrestani, Sole Manager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2025-05-15T16:33:40Z</dcterms:created>
  <dcterms:modified xsi:type="dcterms:W3CDTF">2025-05-15T16:33:40Z</dcterms:modified>
</cp:coreProperties>
</file>