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5"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470" w:type="dxa"/>
        <w:tblCellMar>
          <w:top w:w="0" w:type="dxa"/>
          <w:left w:w="0" w:type="dxa"/>
          <w:bottom w:w="0" w:type="dxa"/>
          <w:right w:w="0" w:type="dxa"/>
        </w:tblCellMar>
      </w:tblPr>
      <w:tr>
        <w:trPr>
          <w:trHeight w:val="225"/>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Arial" w:cs="Arial" w:eastAsia="Arial" w:hAnsi="Arial"/>
                <w:sz w:val="18"/>
                <w:szCs w:val="18"/>
                <w:b w:val="1"/>
                <w:bCs w:val="1"/>
                <w:color w:val="auto"/>
              </w:rPr>
              <w:t>62-1765329</w:t>
            </w:r>
          </w:p>
        </w:tc>
      </w:tr>
      <w:tr>
        <w:trPr>
          <w:trHeight w:val="149"/>
        </w:trPr>
        <w:tc>
          <w:tcPr>
            <w:tcW w:w="2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2525 West End Avenue, Suite 950,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34"/>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Nashville, Tennessee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right"/>
              <w:ind w:right="958"/>
              <w:spacing w:after="0"/>
              <w:rPr>
                <w:sz w:val="20"/>
                <w:szCs w:val="20"/>
                <w:color w:val="auto"/>
              </w:rPr>
            </w:pPr>
            <w:r>
              <w:rPr>
                <w:rFonts w:ascii="Arial" w:cs="Arial" w:eastAsia="Arial" w:hAnsi="Arial"/>
                <w:sz w:val="18"/>
                <w:szCs w:val="18"/>
                <w:b w:val="1"/>
                <w:bCs w:val="1"/>
                <w:color w:val="auto"/>
              </w:rPr>
              <w:t>37203</w:t>
            </w: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5"/>
              </w:rPr>
              <w:t>(Zip Code)</w:t>
            </w:r>
          </w:p>
        </w:tc>
      </w:tr>
      <w:tr>
        <w:trPr>
          <w:trHeight w:val="475"/>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(615) 255-0068</w:t>
            </w:r>
          </w:p>
        </w:tc>
        <w:tc>
          <w:tcPr>
            <w:tcW w:w="3480" w:type="dxa"/>
            <w:vAlign w:val="bottom"/>
          </w:tcPr>
          <w:p>
            <w:pPr>
              <w:spacing w:after="0"/>
              <w:rPr>
                <w:sz w:val="24"/>
                <w:szCs w:val="24"/>
                <w:color w:val="auto"/>
              </w:rPr>
            </w:pPr>
          </w:p>
        </w:tc>
      </w:tr>
      <w:tr>
        <w:trPr>
          <w:trHeight w:val="186"/>
        </w:trPr>
        <w:tc>
          <w:tcPr>
            <w:tcW w:w="8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188"/>
        </w:trPr>
        <w:tc>
          <w:tcPr>
            <w:tcW w:w="8360" w:type="dxa"/>
            <w:vAlign w:val="bottom"/>
            <w:tcBorders>
              <w:bottom w:val="single" w:sz="8" w:color="auto"/>
            </w:tcBorders>
            <w:gridSpan w:val="6"/>
          </w:tcPr>
          <w:p>
            <w:pPr>
              <w:spacing w:after="0"/>
              <w:rPr>
                <w:sz w:val="16"/>
                <w:szCs w:val="16"/>
                <w:color w:val="auto"/>
              </w:rPr>
            </w:pPr>
          </w:p>
        </w:tc>
      </w:tr>
      <w:tr>
        <w:trPr>
          <w:trHeight w:val="222"/>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30"/>
        </w:trPr>
        <w:tc>
          <w:tcPr>
            <w:tcW w:w="282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Trading Symbol</w:t>
            </w:r>
          </w:p>
        </w:tc>
        <w:tc>
          <w:tcPr>
            <w:tcW w:w="3480" w:type="dxa"/>
            <w:vAlign w:val="bottom"/>
            <w:tcBorders>
              <w:right w:val="single" w:sz="8" w:color="auto"/>
            </w:tcBorders>
          </w:tcPr>
          <w:p>
            <w:pPr>
              <w:jc w:val="center"/>
              <w:ind w:right="298"/>
              <w:spacing w:after="0"/>
              <w:rPr>
                <w:sz w:val="20"/>
                <w:szCs w:val="20"/>
                <w:color w:val="auto"/>
              </w:rPr>
            </w:pPr>
            <w:r>
              <w:rPr>
                <w:rFonts w:ascii="Arial" w:cs="Arial" w:eastAsia="Arial" w:hAnsi="Arial"/>
                <w:sz w:val="18"/>
                <w:szCs w:val="18"/>
                <w:color w:val="auto"/>
                <w:w w:val="90"/>
              </w:rPr>
              <w:t>Name of exchange on which registered</w:t>
            </w: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Arial" w:cs="Arial" w:eastAsia="Arial" w:hAnsi="Arial"/>
                <w:sz w:val="17"/>
                <w:szCs w:val="17"/>
                <w:color w:val="auto"/>
              </w:rPr>
              <w:t>of</w:t>
            </w:r>
          </w:p>
        </w:tc>
        <w:tc>
          <w:tcPr>
            <w:tcW w:w="2900" w:type="dxa"/>
            <w:vAlign w:val="bottom"/>
          </w:tcPr>
          <w:p>
            <w:pPr>
              <w:ind w:left="1040"/>
              <w:spacing w:after="0"/>
              <w:rPr>
                <w:sz w:val="20"/>
                <w:szCs w:val="20"/>
                <w:color w:val="auto"/>
              </w:rPr>
            </w:pPr>
            <w:r>
              <w:rPr>
                <w:rFonts w:ascii="Arial" w:cs="Arial" w:eastAsia="Arial" w:hAnsi="Arial"/>
                <w:sz w:val="17"/>
                <w:szCs w:val="17"/>
                <w:color w:val="auto"/>
              </w:rPr>
              <w:t>the</w:t>
            </w:r>
          </w:p>
        </w:tc>
        <w:tc>
          <w:tcPr>
            <w:tcW w:w="5100" w:type="dxa"/>
            <w:vAlign w:val="bottom"/>
          </w:tcPr>
          <w:p>
            <w:pPr>
              <w:ind w:left="1640"/>
              <w:spacing w:after="0"/>
              <w:rPr>
                <w:sz w:val="20"/>
                <w:szCs w:val="20"/>
                <w:color w:val="auto"/>
              </w:rPr>
            </w:pPr>
            <w:r>
              <w:rPr>
                <w:rFonts w:ascii="Arial" w:cs="Arial" w:eastAsia="Arial" w:hAnsi="Arial"/>
                <w:sz w:val="17"/>
                <w:szCs w:val="17"/>
                <w:color w:val="auto"/>
              </w:rPr>
              <w:t>Exchange</w:t>
            </w:r>
          </w:p>
        </w:tc>
        <w:tc>
          <w:tcPr>
            <w:tcW w:w="820" w:type="dxa"/>
            <w:vAlign w:val="bottom"/>
          </w:tcPr>
          <w:p>
            <w:pPr>
              <w:ind w:left="520"/>
              <w:spacing w:after="0"/>
              <w:rPr>
                <w:sz w:val="20"/>
                <w:szCs w:val="20"/>
                <w:color w:val="auto"/>
              </w:rPr>
            </w:pPr>
            <w:r>
              <w:rPr>
                <w:rFonts w:ascii="Arial" w:cs="Arial" w:eastAsia="Arial" w:hAnsi="Arial"/>
                <w:sz w:val="17"/>
                <w:szCs w:val="17"/>
                <w:color w:val="auto"/>
                <w:w w:val="95"/>
              </w:rPr>
              <w:t>Act.</w:t>
            </w:r>
          </w:p>
        </w:tc>
      </w:tr>
      <w:tr>
        <w:trPr>
          <w:trHeight w:val="230"/>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69"/>
        </w:trPr>
        <w:tc>
          <w:tcPr>
            <w:tcW w:w="242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82"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ind w:right="160"/>
        <w:spacing w:after="0" w:line="274"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14,661,937 shares of common stock as of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8"/>
                <w:szCs w:val="18"/>
                <w:color w:val="0000FF"/>
                <w:w w:val="97"/>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Arial" w:cs="Arial" w:eastAsia="Arial" w:hAnsi="Arial"/>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sz w:val="20"/>
                <w:szCs w:val="20"/>
                <w:color w:val="auto"/>
              </w:rPr>
            </w:pPr>
            <w:r>
              <w:rPr>
                <w:rFonts w:ascii="Arial" w:cs="Arial" w:eastAsia="Arial" w:hAnsi="Arial"/>
                <w:sz w:val="18"/>
                <w:szCs w:val="18"/>
                <w:color w:val="0000FF"/>
                <w:w w:val="89"/>
              </w:rPr>
              <w:t>Notes to the Unaudited Condensed Consolidated Financial Statements</w:t>
            </w:r>
          </w:p>
        </w:tc>
        <w:tc>
          <w:tcPr>
            <w:tcW w:w="3660" w:type="dxa"/>
            <w:vAlign w:val="bottom"/>
            <w:gridSpan w:val="2"/>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4"/>
          </w:tcPr>
          <w:p>
            <w:pPr>
              <w:ind w:left="20"/>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920" w:type="dxa"/>
            <w:vAlign w:val="bottom"/>
            <w:tcBorders>
              <w:left w:val="single" w:sz="8" w:color="0000FF"/>
            </w:tcBorders>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4.</w:t>
            </w:r>
          </w:p>
        </w:tc>
        <w:tc>
          <w:tcPr>
            <w:tcW w:w="1800" w:type="dxa"/>
            <w:vAlign w:val="bottom"/>
            <w:gridSpan w:val="5"/>
          </w:tcPr>
          <w:p>
            <w:pPr>
              <w:ind w:left="20"/>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gridSpan w:val="7"/>
          </w:tcPr>
          <w:p>
            <w:pPr>
              <w:spacing w:after="0"/>
              <w:rPr>
                <w:sz w:val="24"/>
                <w:szCs w:val="24"/>
                <w:color w:val="auto"/>
              </w:rPr>
            </w:pP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1.</w:t>
            </w:r>
          </w:p>
        </w:tc>
        <w:tc>
          <w:tcPr>
            <w:tcW w:w="1360" w:type="dxa"/>
            <w:vAlign w:val="bottom"/>
            <w:gridSpan w:val="4"/>
          </w:tcPr>
          <w:p>
            <w:pPr>
              <w:ind w:left="20"/>
              <w:spacing w:after="0"/>
              <w:rPr>
                <w:sz w:val="20"/>
                <w:szCs w:val="20"/>
                <w:color w:val="auto"/>
              </w:rPr>
            </w:pPr>
            <w:r>
              <w:rPr>
                <w:rFonts w:ascii="Arial" w:cs="Arial" w:eastAsia="Arial" w:hAnsi="Arial"/>
                <w:sz w:val="18"/>
                <w:szCs w:val="18"/>
                <w:color w:val="0000FF"/>
                <w:w w:val="88"/>
              </w:rPr>
              <w:t>Legal Proceedings</w:t>
            </w:r>
          </w:p>
        </w:tc>
        <w:tc>
          <w:tcPr>
            <w:tcW w:w="44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Arial" w:cs="Arial" w:eastAsia="Arial" w:hAnsi="Arial"/>
                <w:sz w:val="18"/>
                <w:szCs w:val="18"/>
                <w:color w:val="0000FF"/>
                <w:w w:val="90"/>
              </w:rPr>
              <w:t>Item 1A. Risk Factors</w:t>
            </w:r>
          </w:p>
        </w:tc>
        <w:tc>
          <w:tcPr>
            <w:tcW w:w="300" w:type="dxa"/>
            <w:vAlign w:val="bottom"/>
          </w:tcPr>
          <w:p>
            <w:pPr>
              <w:spacing w:after="0"/>
              <w:rPr>
                <w:sz w:val="24"/>
                <w:szCs w:val="24"/>
                <w:color w:val="auto"/>
              </w:rPr>
            </w:pPr>
          </w:p>
        </w:tc>
        <w:tc>
          <w:tcPr>
            <w:tcW w:w="694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2.</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10"/>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6.</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rPr>
              <w:t>Exhibits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2060" w:type="dxa"/>
            <w:vAlign w:val="bottom"/>
            <w:gridSpan w:val="4"/>
          </w:tcPr>
          <w:p>
            <w:pPr>
              <w:jc w:val="right"/>
              <w:ind w:right="60"/>
              <w:spacing w:after="0"/>
              <w:rPr>
                <w:sz w:val="20"/>
                <w:szCs w:val="20"/>
                <w:color w:val="auto"/>
              </w:rPr>
            </w:pPr>
            <w:r>
              <w:rPr>
                <w:rFonts w:ascii="Arial" w:cs="Arial" w:eastAsia="Arial" w:hAnsi="Arial"/>
                <w:sz w:val="18"/>
                <w:szCs w:val="18"/>
                <w:color w:val="0000FF"/>
              </w:rPr>
              <w:t>34</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18,216,565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13,276,009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6,877,346</w:t>
            </w: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8,429,882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2,835,465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3,339,969</w:t>
            </w: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43,748,498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45,688,013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10,374,054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9,048,567</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32,975,117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23,954,475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493,102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1,024,200</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2,536,500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3,419,908</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92,517,637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9,640,980</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Operating lease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512,324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969,677</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13,148,060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8,668,303</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24,251,969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19,278,960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90,016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10,061,376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7,488,844</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53,313,345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41,857,820</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99"/>
              </w:rPr>
              <w:t>Common stock—no par value; 100,000,000 shares authorized; 14,649,693 and</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88"/>
              </w:rPr>
              <w:t>14,742,754 shares issued and outstanding as of June 30, 2022 and December 31, 2021 ,</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47,822,319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48,452,906</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39,462,846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42,814,306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39,204,292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42,601,978</w:t>
            </w: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92,517,637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19,592,642</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4,157,978</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4,556,685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4,121,817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9,171,114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7,909,157</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2,617,765</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2,203,975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2,097,130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4,506,324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4,327,639</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2,340,132</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12,145,690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10,491,212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24,612,734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21,352,671</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(1,760,029)</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12,017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(50,276)</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(1,357,766)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(2,753,299)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388,852</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(1,364,666)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(2,767,099)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373,935</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994,217</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(1,364,666)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1,223,491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(2,767,099)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1,368,152</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(2,720,873)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1,395,388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Continuing operations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basic</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3"/>
        </w:trPr>
        <w:tc>
          <w:tcPr>
            <w:tcW w:w="5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5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Continuing operations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diluted</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3"/>
        </w:trPr>
        <w:tc>
          <w:tcPr>
            <w:tcW w:w="5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14,688,505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14,976,064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14,689,798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14,970,241</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14,688,505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15,171,589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(2,767,099)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1,368,152</w:t>
            </w:r>
          </w:p>
        </w:tc>
      </w:tr>
      <w:tr>
        <w:trPr>
          <w:trHeight w:val="229"/>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994,217</w:t>
            </w: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(2,767,099)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373,935</w:t>
            </w:r>
          </w:p>
        </w:tc>
      </w:tr>
      <w:tr>
        <w:trPr>
          <w:trHeight w:val="175"/>
        </w:trPr>
        <w:tc>
          <w:tcPr>
            <w:tcW w:w="7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Adjustments to reconcile net income (loss) from continuing operations to net cash provided by</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3,272,085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2,455,576</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354,914</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(180,110)</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Decrease (increase) in cash surrender value of life insurance policies over premiums paid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(226,897)</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Gain on receivable of life insurance policy proceeds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Gain on forgiveness of debt</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10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(5,527,690)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3,230,220</w:t>
            </w:r>
          </w:p>
        </w:tc>
      </w:tr>
      <w:tr>
        <w:trPr>
          <w:trHeight w:val="230"/>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2,309,914</w:t>
            </w:r>
          </w:p>
        </w:tc>
      </w:tr>
      <w:tr>
        <w:trPr>
          <w:trHeight w:val="229"/>
        </w:trPr>
        <w:tc>
          <w:tcPr>
            <w:tcW w:w="7620" w:type="dxa"/>
            <w:vAlign w:val="bottom"/>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1,227,030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866,987</w:t>
            </w: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(3,008,323)</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(526,189)</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3,490,553</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994,217</w:t>
            </w:r>
          </w:p>
        </w:tc>
      </w:tr>
      <w:tr>
        <w:trPr>
          <w:trHeight w:val="223"/>
        </w:trPr>
        <w:tc>
          <w:tcPr>
            <w:tcW w:w="76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2,180,038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4,484,770</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(34,531)</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Note receivable investment funding</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(132,323)</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(13,714,489)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(366,854)</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29,000,000</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(1,423,586)</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(777,664)</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(3,201,250)</w:t>
            </w: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(8,824,251)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916,666</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18,216,565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25,670,462</w:t>
            </w: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7"/>
          </w:tcPr>
          <w:p>
            <w:pPr>
              <w:ind w:left="86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3"/>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1"/>
                <w:szCs w:val="21"/>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earnings (deficit)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14,988,429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49,121,523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187,759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162,960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144,661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15,084,464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48,981,395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46,877,927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15,084,464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48,981,395</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46,877,927</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191,954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191,954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(484,965)</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1,223,491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14,926,059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48,688,384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47,808,407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7"/>
          </w:tcPr>
          <w:p>
            <w:pPr>
              <w:ind w:left="86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Noncontrolling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1"/>
                <w:szCs w:val="21"/>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earnings (deficit)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14,742,754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48,452,906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42,601,978</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162,155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159,901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(1,402,433)</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40,793,403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40,793,403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(196,692)</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(1,364,666)</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47,822,319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(8,359,473)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39,204,292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The Company's primary target markets are hospital acute care, oncology, gastroenterology and rheumatology. These medical specialties are characterized by relatively concentrated prescriber bases that the Company believes can be served effectively by small, targeted sales forces. Cumberland is dedicated to providing innovative products that improve quality of care for patients and address unmet or poorly met medical needs. The Company promotes its approved products through its hospital, oncology and field sales forces in the United States. We are continuing to build a network of international partners to register and provide our medicines to patients in their countries.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hospital, field and oncology sales teams and its third-party distribution partners to make its products available in the United States.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of the Company have been prepared on a basis consistent with the December 31, 2021,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2021 (the “2021 Annual Report on Form 10-K”). The results of operations for the three and six months ended June 30, 2022, are not necessarily indicative of the results to be expected for the entire fiscal year or any future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discussed further in Note 10,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and Totect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10,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Throughout the pandemic, Cumberland has faced the same challenges affecting other companies that rely on hospital admissions and patient visits to drive revenue. Our clinical studies were impacted as fewer patients sought elective surgeries and our access to medical facilities was substantially limited. During 2020, 2021 and the six months ended June 30, 2022, we carefully monitored our supply chain,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 during the pandemic.</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the numerator and denominator used to calculate diluted earnings (loss) per share for the six months ended June 30,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(1,364,666)</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724,684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498,807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(1,364,666)</w:t>
            </w: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1,223,491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(1,335,620)</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1,228,560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14,688,505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14,976,064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14,688,505</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15,109,246</w:t>
            </w:r>
          </w:p>
        </w:tc>
      </w:tr>
      <w:tr>
        <w:trPr>
          <w:trHeight w:val="21"/>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(2,767,099)</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373,935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994,217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(2,767,099)</w:t>
            </w: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1,368,152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(2,720,873)</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1,395,388</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14,689,798</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14,970,241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14,689,798</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15,171,589</w:t>
            </w: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and 2021, restricted stock awards and options to purchase 289,975 and 198,300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revenues from contracts with customers under ASC 606, which became effective January 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The  Company’s  net  revenues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consisted  of  the  following</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for  the</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three</w:t>
            </w: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and  six  months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ended  June  30,</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2022  and  2021:</w:t>
            </w:r>
          </w:p>
        </w:tc>
      </w:tr>
      <w:tr>
        <w:trPr>
          <w:trHeight w:val="257"/>
        </w:trPr>
        <w:tc>
          <w:tcPr>
            <w:tcW w:w="26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46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2"/>
                <w:szCs w:val="22"/>
                <w:color w:val="auto"/>
              </w:rPr>
            </w:pPr>
          </w:p>
        </w:tc>
        <w:tc>
          <w:tcPr>
            <w:tcW w:w="3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6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24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3,570,272</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5,275,065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7,515,368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8,269,443</w:t>
            </w: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Vibativ</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1,596,821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1,844,936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4,098,255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6,897,179</w:t>
            </w: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2,477,824</w:t>
            </w: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Vaprisol</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(134,621)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1,534,216</w:t>
            </w: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269,972</w:t>
            </w: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(474,371)</w:t>
            </w: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r>
      <w:tr>
        <w:trPr>
          <w:trHeight w:val="22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8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643,249</w:t>
            </w: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10,299,152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19,592,642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Omeclamox-Pak revenue for the second quarter of 2022 and 2021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In the second quarter of 2022, the amounts noted were normal adjustments by channel partners. Net revenue was impacted by product return adjustments.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regard to Vaprisol, we are in the process of transitioning to a new manufacturer, who was issued an FDA Form 483 in the second quarter of 2022. Once these 483 related issues are satisfactorily resolved by the manufacturing plant, we will then resubmit our application to the FDA for approval. Net revenue was impacted by product return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w:t>
      </w:r>
    </w:p>
    <w:p>
      <w:pPr>
        <w:spacing w:after="0" w:line="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six months ended June 30, 2022, we recorded $0.3 million and $0.5 million, respectively, for milestone and international licensee payments as part of other revenue.</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revenues also include funding from federal grant programs including those secured from the FDA and from those secured by Cumberland Emerging Technologies Inc.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federal grant programs totaled approximately $0.04 million and $0.3 million for the three months ended June 30, 2022 and 2021, and approximately $0.08 million and $0.3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2022 and December 31, 2021, the Company had recognized and maintained cumulative net realizable value charges for potential obsolescence and discontinuance losses of approximately $1.0 million and $1.4 million, respectively.</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w:t>
      </w:r>
    </w:p>
    <w:p>
      <w:pPr>
        <w:jc w:val="both"/>
        <w:ind w:right="20"/>
        <w:spacing w:after="0" w:line="277" w:lineRule="auto"/>
        <w:rPr>
          <w:sz w:val="20"/>
          <w:szCs w:val="20"/>
          <w:color w:val="auto"/>
        </w:rPr>
      </w:pPr>
      <w:r>
        <w:rPr>
          <w:rFonts w:ascii="Arial" w:cs="Arial" w:eastAsia="Arial" w:hAnsi="Arial"/>
          <w:sz w:val="18"/>
          <w:szCs w:val="18"/>
          <w:color w:val="auto"/>
        </w:rPr>
        <w:t>brand is also included in the raw materials inventory at June 30, 2022 and December 31, 2021. Consigned inventory represents Authorized Generic inventory stored with our partner until shipment.</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Vibativ acquisition, Cumberland acquired API and work in process inventories of $15.6 million that were all initially classified as non-current inventories at the date of acquisition. For the Sancuso acquisition, Cumberland acquired $3.0 million of work in progress non-current inventory. At June 30, 2022 and December 31, 2021, total non-current inventory, including Vibativ, Sancuso and our clinical trial drug ifetroban, was $10.4 million and $9.0 million, respectively. The Company had no Vibativ finished goods included in non-current inventory at June 30, 2022, and $0.5 million included at December 31, 2021. The Company also has obtained $0.2 million and $0.4 million of finished goods in non-current inventory for API related to its ifetroban clinical initiatives at June 30, 2022 and December 31,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and December 31, 2021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142"/>
        </w:trPr>
        <w:tc>
          <w:tcPr>
            <w:tcW w:w="6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12,374,983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154,266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164,378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6,866,750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4,939,088</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19,794,513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17,478,449</w:t>
            </w: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(10,374,054)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(9,048,567)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9,420,459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8,429,882</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significant operating leases include the lease of approximately 25,500 square feet of office space in Nashville, Tennessee for its corporate headquarters. This lease currently expires in October 2022. The Company's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June 30, 2022 is 0.5 years.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15, 2021, Cumberland entered into a lease, pursuant to which the Company will lease approximately 16,631 rentable square feet of space (the “Leased Premise”) at the new development Broadwest located in Nashville, Tennessee with 1600 West End Avenue Partners, LLC. The Leased Premise will serve as the Company's new corporate headquarters. The initial term of the Lease is one hundred fifty-seven (157) months, with two consecutive options to renew for a period of five years each, and will commence on the earlier of November 1, 2022, the date on which Cumberland takes occupancy of the Leased Premise, or the date on which Cumberland receives a temporary or permanent certificate of occupancy for the Leased Premise. Cumberland received approval for its building permit and began the construction on the Leased Premise in June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and December 31, 2021,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2480"/>
              <w:spacing w:after="0"/>
              <w:rPr>
                <w:sz w:val="20"/>
                <w:szCs w:val="20"/>
                <w:color w:val="auto"/>
              </w:rPr>
            </w:pPr>
            <w:r>
              <w:rPr>
                <w:rFonts w:ascii="Arial" w:cs="Arial" w:eastAsia="Arial" w:hAnsi="Arial"/>
                <w:sz w:val="18"/>
                <w:szCs w:val="18"/>
                <w:b w:val="1"/>
                <w:bCs w:val="1"/>
                <w:color w:val="auto"/>
              </w:rPr>
              <w:t>Right-of-Use Assets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493,102</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1,024,200</w:t>
            </w:r>
          </w:p>
        </w:tc>
      </w:tr>
      <w:tr>
        <w:trPr>
          <w:trHeight w:val="453"/>
        </w:trPr>
        <w:tc>
          <w:tcPr>
            <w:tcW w:w="6660" w:type="dxa"/>
            <w:vAlign w:val="bottom"/>
            <w:gridSpan w:val="2"/>
          </w:tcPr>
          <w:p>
            <w:pPr>
              <w:ind w:left="2600"/>
              <w:spacing w:after="0"/>
              <w:rPr>
                <w:sz w:val="20"/>
                <w:szCs w:val="20"/>
                <w:color w:val="auto"/>
              </w:rPr>
            </w:pPr>
            <w:r>
              <w:rPr>
                <w:rFonts w:ascii="Arial" w:cs="Arial" w:eastAsia="Arial" w:hAnsi="Arial"/>
                <w:sz w:val="18"/>
                <w:szCs w:val="18"/>
                <w:b w:val="1"/>
                <w:bCs w:val="1"/>
                <w:color w:val="auto"/>
              </w:rPr>
              <w:t>Lease Liabilities</w:t>
            </w:r>
          </w:p>
        </w:tc>
        <w:tc>
          <w:tcPr>
            <w:tcW w:w="34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512,324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969,677</w:t>
            </w:r>
          </w:p>
        </w:tc>
      </w:tr>
      <w:tr>
        <w:trPr>
          <w:trHeight w:val="216"/>
        </w:trPr>
        <w:tc>
          <w:tcPr>
            <w:tcW w:w="66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90,016</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512,324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1,059,693</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cumulative future minimum sublease income under non-cancelable operating subleases totals approximately $0.3 million and will be paid through the leases ending in October 2022 and April 2023. Excluding the Broadwest agreement, future minimum lease payments under non-cancelable operating leases (with initial or remaining lease terms in excess of one year)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2"/>
          </w:tcPr>
          <w:p>
            <w:pPr>
              <w:ind w:left="2660"/>
              <w:spacing w:after="0"/>
              <w:rPr>
                <w:sz w:val="20"/>
                <w:szCs w:val="20"/>
                <w:color w:val="auto"/>
              </w:rPr>
            </w:pPr>
            <w:r>
              <w:rPr>
                <w:rFonts w:ascii="Arial" w:cs="Arial" w:eastAsia="Arial" w:hAnsi="Arial"/>
                <w:sz w:val="18"/>
                <w:szCs w:val="18"/>
                <w:b w:val="1"/>
                <w:bCs w:val="1"/>
                <w:color w:val="auto"/>
              </w:rPr>
              <w:t>Maturity of Lease Liabilities at June 30, 2022</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441,014</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92,477</w:t>
            </w:r>
          </w:p>
        </w:tc>
      </w:tr>
      <w:tr>
        <w:trPr>
          <w:trHeight w:val="22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533,491</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21,167</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512,324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Six months ended June 30,</w:t>
            </w:r>
          </w:p>
        </w:tc>
        <w:tc>
          <w:tcPr>
            <w:tcW w:w="1280" w:type="dxa"/>
            <w:vAlign w:val="bottom"/>
            <w:tcBorders>
              <w:bottom w:val="single" w:sz="8" w:color="auto"/>
            </w:tcBorders>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ind w:right="830"/>
              <w:spacing w:after="0"/>
              <w:rPr>
                <w:sz w:val="20"/>
                <w:szCs w:val="20"/>
                <w:color w:val="auto"/>
              </w:rPr>
            </w:pPr>
            <w:r>
              <w:rPr>
                <w:rFonts w:ascii="Arial" w:cs="Arial" w:eastAsia="Arial" w:hAnsi="Arial"/>
                <w:sz w:val="18"/>
                <w:szCs w:val="18"/>
                <w:b w:val="1"/>
                <w:bCs w:val="1"/>
                <w:color w:val="auto"/>
                <w:w w:val="84"/>
              </w:rPr>
              <w:t>2021</w:t>
            </w: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574,071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605,130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296,237</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348,411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AND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six months ended June 30, 2022 and June 30, 2021, the Company repurchased 257,466 shares and 250,129 shares of common stock, respectively, for approximately $0.8 million each period. At June 30, 2022, approximately $4.0 million of common shares was left to repurchase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Company's March 2022 trading window, several members of Cumberland's Board of Directors entered into share purchase agreements of the Company's stock pursuant to Rule 10b5-1 of the Securities Exchange Act of 1934. These purchases are designed to increase ownership in the Company by the members of the Board. These purchases began in April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six months ended June 30, 2022 or June 30,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 and Incentive Stock Options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2022 and June 30, 2021, the Company issued 65,225 shares and 36,850 shares of restricted stock to employees, advisors and directors, respectively. Restricted stock issued to employees and advisors generally cliff-vests on the fourth anniversary of the date of grant and for directors on the one-year anniversary of the date of grant. During the six months ended June 30, 2022 and 2021, the Company also issued 169,800 and 173,350 incentive stock options, respectively, to employees that cliff-vest on the fourth anniversary of the date of grant, that are set to expire in 2032 and 2031. Stock compensation expense is presented as a component of general and administrative expense in the condensed consolidated statements of operations. In the second quarter of 2022, we recorded a credit of $0.1 million to share-based compensation related to the forfeiture of unvested restricted stock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2022, the Company entered into the Eighth Amendment to the Revolving Credit Loan Agreement with Pinnacle Bank (the "Pinnacle Agreement") permitting the Maximum Funded Debt Ratio to be calculated on a rolling four-quarter basis to be no more than 3.00 to 1.00 for the second and third quarters of 2022 and 2.50 to 1.00 for each quarter thereafter. For the quarter ended June 30, 2022, we slightly exceeded the Maximum Funded Debt Ratio, but we relied on our provision in the latest amendment to address it.</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28, 2021, the Company and Pinnacle Bank entered into a Fourth Amendment to the Revolving Credit Note and Fifth Amendment ("Fifth Amendment") to the Revolving Credit Loan Agreement to renew the Revolving Credit Loan.</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3.87% at June 30,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Company had $19.0 million and $15.0 million, respectively, in borrowings outstanding under its revolving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line of credit are collateralized by substantially all of our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Cumberland entered into an agreement with WinHealth Investment (Singapore) Ltd creating </w:t>
      </w:r>
      <w:r>
        <w:rPr>
          <w:rFonts w:ascii="Arial" w:cs="Arial" w:eastAsia="Arial" w:hAnsi="Arial"/>
          <w:sz w:val="17"/>
          <w:szCs w:val="17"/>
          <w:i w:val="1"/>
          <w:iCs w:val="1"/>
          <w:color w:val="auto"/>
        </w:rPr>
        <w:t>WHC Biopharmaceuticals, Pte. Ltd</w:t>
      </w:r>
      <w:r>
        <w:rPr>
          <w:rFonts w:ascii="Arial" w:cs="Arial" w:eastAsia="Arial" w:hAnsi="Arial"/>
          <w:sz w:val="17"/>
          <w:szCs w:val="17"/>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2022, the Company has approximately $56.6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2022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realized a $0.6 million gain in the second quarter of 2022 from insurance proceeds for a company owned executive life insurance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AGREEMENTS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ADDITIONS AND RETURN OF PRODUCT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after the $2.5 million threshold is met.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fair value of the contingent consideration liability that is remeasured on a recurring basis. The contingent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consideration</w:t>
            </w:r>
          </w:p>
        </w:tc>
        <w:tc>
          <w:tcPr>
            <w:tcW w:w="1120" w:type="dxa"/>
            <w:vAlign w:val="bottom"/>
          </w:tcPr>
          <w:p>
            <w:pPr>
              <w:ind w:left="240"/>
              <w:spacing w:after="0"/>
              <w:rPr>
                <w:sz w:val="20"/>
                <w:szCs w:val="20"/>
                <w:color w:val="auto"/>
              </w:rPr>
            </w:pPr>
            <w:r>
              <w:rPr>
                <w:rFonts w:ascii="Arial" w:cs="Arial" w:eastAsia="Arial" w:hAnsi="Arial"/>
                <w:sz w:val="18"/>
                <w:szCs w:val="18"/>
                <w:color w:val="auto"/>
              </w:rPr>
              <w:t>earned</w:t>
            </w:r>
          </w:p>
        </w:tc>
        <w:tc>
          <w:tcPr>
            <w:tcW w:w="800" w:type="dxa"/>
            <w:vAlign w:val="bottom"/>
          </w:tcPr>
          <w:p>
            <w:pPr>
              <w:ind w:left="100"/>
              <w:spacing w:after="0"/>
              <w:rPr>
                <w:sz w:val="20"/>
                <w:szCs w:val="20"/>
                <w:color w:val="auto"/>
              </w:rPr>
            </w:pPr>
            <w:r>
              <w:rPr>
                <w:rFonts w:ascii="Arial" w:cs="Arial" w:eastAsia="Arial" w:hAnsi="Arial"/>
                <w:sz w:val="18"/>
                <w:szCs w:val="18"/>
                <w:color w:val="auto"/>
              </w:rPr>
              <w:t>and</w:t>
            </w:r>
          </w:p>
        </w:tc>
        <w:tc>
          <w:tcPr>
            <w:tcW w:w="860" w:type="dxa"/>
            <w:vAlign w:val="bottom"/>
          </w:tcPr>
          <w:p>
            <w:pPr>
              <w:ind w:left="40"/>
              <w:spacing w:after="0"/>
              <w:rPr>
                <w:sz w:val="20"/>
                <w:szCs w:val="20"/>
                <w:color w:val="auto"/>
              </w:rPr>
            </w:pPr>
            <w:r>
              <w:rPr>
                <w:rFonts w:ascii="Arial" w:cs="Arial" w:eastAsia="Arial" w:hAnsi="Arial"/>
                <w:sz w:val="18"/>
                <w:szCs w:val="18"/>
                <w:color w:val="auto"/>
              </w:rPr>
              <w:t>accrued</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12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00" w:type="dxa"/>
            <w:vAlign w:val="bottom"/>
          </w:tcPr>
          <w:p>
            <w:pPr>
              <w:ind w:left="240"/>
              <w:spacing w:after="0"/>
              <w:rPr>
                <w:sz w:val="20"/>
                <w:szCs w:val="20"/>
                <w:color w:val="auto"/>
              </w:rPr>
            </w:pPr>
            <w:r>
              <w:rPr>
                <w:rFonts w:ascii="Arial" w:cs="Arial" w:eastAsia="Arial" w:hAnsi="Arial"/>
                <w:sz w:val="18"/>
                <w:szCs w:val="18"/>
                <w:color w:val="auto"/>
              </w:rPr>
              <w:t>is</w:t>
            </w:r>
          </w:p>
        </w:tc>
        <w:tc>
          <w:tcPr>
            <w:tcW w:w="800" w:type="dxa"/>
            <w:vAlign w:val="bottom"/>
          </w:tcPr>
          <w:p>
            <w:pPr>
              <w:ind w:left="240"/>
              <w:spacing w:after="0"/>
              <w:rPr>
                <w:sz w:val="20"/>
                <w:szCs w:val="20"/>
                <w:color w:val="auto"/>
              </w:rPr>
            </w:pPr>
            <w:r>
              <w:rPr>
                <w:rFonts w:ascii="Arial" w:cs="Arial" w:eastAsia="Arial" w:hAnsi="Arial"/>
                <w:sz w:val="18"/>
                <w:szCs w:val="18"/>
                <w:color w:val="auto"/>
              </w:rPr>
              <w:t>paid</w:t>
            </w:r>
          </w:p>
        </w:tc>
        <w:tc>
          <w:tcPr>
            <w:tcW w:w="720" w:type="dxa"/>
            <w:vAlign w:val="bottom"/>
          </w:tcPr>
          <w:p>
            <w:pPr>
              <w:ind w:left="240"/>
              <w:spacing w:after="0"/>
              <w:rPr>
                <w:sz w:val="20"/>
                <w:szCs w:val="20"/>
                <w:color w:val="auto"/>
              </w:rPr>
            </w:pPr>
            <w:r>
              <w:rPr>
                <w:rFonts w:ascii="Arial" w:cs="Arial" w:eastAsia="Arial" w:hAnsi="Arial"/>
                <w:sz w:val="18"/>
                <w:szCs w:val="18"/>
                <w:color w:val="auto"/>
              </w:rPr>
              <w:t>to</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Theravance</w:t>
            </w:r>
          </w:p>
        </w:tc>
        <w:tc>
          <w:tcPr>
            <w:tcW w:w="980" w:type="dxa"/>
            <w:vAlign w:val="bottom"/>
          </w:tcPr>
          <w:p>
            <w:pPr>
              <w:jc w:val="right"/>
              <w:spacing w:after="0"/>
              <w:rPr>
                <w:sz w:val="20"/>
                <w:szCs w:val="20"/>
                <w:color w:val="auto"/>
              </w:rPr>
            </w:pPr>
            <w:r>
              <w:rPr>
                <w:rFonts w:ascii="Arial" w:cs="Arial" w:eastAsia="Arial" w:hAnsi="Arial"/>
                <w:sz w:val="18"/>
                <w:szCs w:val="18"/>
                <w:color w:val="auto"/>
              </w:rPr>
              <w:t>quarterly.</w:t>
            </w:r>
          </w:p>
        </w:tc>
      </w:tr>
      <w:tr>
        <w:trPr>
          <w:trHeight w:val="269"/>
        </w:trPr>
        <w:tc>
          <w:tcPr>
            <w:tcW w:w="2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2021</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6,515,627</w:t>
            </w:r>
          </w:p>
        </w:tc>
      </w:tr>
      <w:tr>
        <w:trPr>
          <w:trHeight w:val="229"/>
        </w:trPr>
        <w:tc>
          <w:tcPr>
            <w:tcW w:w="3140" w:type="dxa"/>
            <w:vAlign w:val="bottom"/>
            <w:gridSpan w:val="3"/>
          </w:tcPr>
          <w:p>
            <w:pPr>
              <w:ind w:left="20"/>
              <w:spacing w:after="0"/>
              <w:rPr>
                <w:sz w:val="20"/>
                <w:szCs w:val="20"/>
                <w:color w:val="auto"/>
              </w:rPr>
            </w:pPr>
            <w:r>
              <w:rPr>
                <w:rFonts w:ascii="Arial" w:cs="Arial" w:eastAsia="Arial" w:hAnsi="Arial"/>
                <w:sz w:val="18"/>
                <w:szCs w:val="18"/>
                <w:color w:val="auto"/>
                <w:w w:val="92"/>
              </w:rPr>
              <w:t>Cash payment of royalty during the period</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(501,505)</w:t>
            </w:r>
          </w:p>
        </w:tc>
      </w:tr>
      <w:tr>
        <w:trPr>
          <w:trHeight w:val="230"/>
        </w:trPr>
        <w:tc>
          <w:tcPr>
            <w:tcW w:w="5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2"/>
              </w:rPr>
              <w:t>Change in fair value of contingent consideration included in operating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(294,119)</w:t>
            </w:r>
          </w:p>
        </w:tc>
      </w:tr>
      <w:tr>
        <w:trPr>
          <w:trHeight w:val="229"/>
        </w:trPr>
        <w:tc>
          <w:tcPr>
            <w:tcW w:w="59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0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276,350</w:t>
            </w: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5,996,353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liability of $6.0 million was accounted for as $2.4 million of other current liabilities and $3.6 million of other long-term liabilities on the condensed consolidated balance sheet as of June 30,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will result in a $1.0 million milestone payment due to Nordic. This milestone payment is included as a current liability at June 30, 2022.</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12, 2022, the Company entered into an amendment to our agreement with Nordic for it to assume responsibility for RediTrex marketing authorization in the U.S. and the opportunity to commercialize the product in the U.S. after March 31, 2023. Cumberland will continue to distribute and support the product until then. Nordic will return the 180,000 restricted Cumberland shares we previously issued to them, refund to Cumberland the milestone payment of $1 million we made associated with the brand's U.S. approval and issue a credit note in favor of the Company in the amount of $1 million for the unpaid milestone payment due from us for launch of the product line. The companies will cooperate on any transition and Cumberland will receive a long-term royalty on any Nordic sales of the product.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Cumberland has approximately $2.5 million in net intangible assets related to RediTrex at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Sancuso Acquisition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 2022, Cumberland acquired the U.S. rights to the FDA-approved oncology-supportive care medicine Sancuso from Kyowa Kirin, Inc., the U.S. affiliate of Japan-based Kyowa Kirin Co., Ltd.</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Cumberland acquired U.S. rights to Sancuso and assumed full commercial responsibility for the product in the U.S. – including its marketing, promotion, distribution, manufacturing and medical support activities.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The Company believes that $1.5 million of the milestone payments will be earned and paid.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preliminary valuation of the contingent consideration liability utilizing significant unobservable inputs. As a result, the valuation is classified as Level 3 fair value measurement.</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funded by cash and the Company's revolving credit facility. The Company is working with an outside consultant firm to finalize the Sancuso valuation of the transaction which will be completed later this year. The estimates of fair value for the more significant assets and liabilities assumed were as follows: prepaid expenses $0.3 million, inventory $5.2 million, goodwill $1.0 million, intangible assets $12.1 million, milestone payable $1.2 million and contingent liability $3.9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 2022</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3,946,716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362,453</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373,973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4,683,142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liability earned and accrued in operating expenses is paid to Kyowa Kirin quarterly. The contingent consideration liability of $4.7 million was accounted for as $1.9 million of current liabilities and $2.8 million of other long-term liabilities on the condensed consolidated balance sheet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Ethyol and Totect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Early in 2019, Cumberland announced a strategic review of the Company's brands, capabilities, and international partners. This review followed an accelerated business development initiative, which resulted in a series of transactions. During May 2019, Cumberland entered into the Dissolution Agreement with Clinigen in which the Company returned the exclusive rights to commercialize Ethyol and Totect in the United States to Clinigen. Under the final terms of the Dissolution Agreement, Cumberland was no longer responsible for the distribution, marketing and promotion of either Ethyol or Totect or any competing products after December 31, 2019. In exchange for the return of these product license rights and the non-compete provisions of the Dissolution Agreement, Cumberland received $5 million in financial consideration paid in quarterly installments over the two-years following the transition date. Cumberland recorded the first four quarterly installments totaling $3.0 million during 2020 and the final four installments totaling $2.0 million during 2021, as discontinued operations.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exit from Ethyol and Totect met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dissolution payments from Clinigen are reflected as revenue from discontinued operations. The Company did not incur expenses associated with these payments from Clinigen.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308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498,807</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106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498,807</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994,217</w:t>
            </w: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1060" w:type="dxa"/>
            <w:vAlign w:val="bottom"/>
          </w:tcPr>
          <w:p>
            <w:pPr>
              <w:jc w:val="right"/>
              <w:ind w:right="274"/>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 w:lineRule="exact"/>
        <w:rPr>
          <w:sz w:val="20"/>
          <w:szCs w:val="20"/>
          <w:color w:val="auto"/>
        </w:rPr>
      </w:pPr>
    </w:p>
    <w:p>
      <w:pPr>
        <w:ind w:right="382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jc w:val="both"/>
        <w:spacing w:after="0" w:line="287" w:lineRule="auto"/>
        <w:rPr>
          <w:sz w:val="20"/>
          <w:szCs w:val="20"/>
          <w:color w:val="auto"/>
        </w:rPr>
      </w:pPr>
      <w:r>
        <w:rPr>
          <w:rFonts w:ascii="Arial" w:cs="Arial" w:eastAsia="Arial" w:hAnsi="Arial"/>
          <w:sz w:val="16"/>
          <w:szCs w:val="16"/>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2021,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primary target sectors are hospital acute care, oncology, gastroenterology and rheumatology.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partnerships in Puerto Rico and the Middle East for our Vibativ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and are continuing to build a network of international partners to register and provide our medicines to patients in their countries.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includes:</w:t>
      </w:r>
    </w:p>
    <w:p>
      <w:pPr>
        <w:spacing w:after="0" w:line="15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oral, a prescription laxative, for the treatment of constipation;</w:t>
      </w:r>
    </w:p>
    <w:p>
      <w:pPr>
        <w:spacing w:after="0" w:line="96"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oral,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69"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disabling psoriasis;</w:t>
      </w:r>
    </w:p>
    <w:p>
      <w:pPr>
        <w:spacing w:after="0" w:line="159" w:lineRule="exact"/>
        <w:rPr>
          <w:rFonts w:ascii="Arial" w:cs="Arial" w:eastAsia="Arial" w:hAnsi="Arial"/>
          <w:sz w:val="18"/>
          <w:szCs w:val="18"/>
          <w:b w:val="1"/>
          <w:bCs w:val="1"/>
          <w:color w:val="auto"/>
        </w:rPr>
      </w:pPr>
    </w:p>
    <w:p>
      <w:pPr>
        <w:ind w:left="1300" w:right="20" w:hanging="320"/>
        <w:spacing w:after="0" w:line="236" w:lineRule="auto"/>
        <w:tabs>
          <w:tab w:leader="none" w:pos="12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Sancuso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granisetron)</w:t>
      </w:r>
      <w:r>
        <w:rPr>
          <w:rFonts w:ascii="Arial" w:cs="Arial" w:eastAsia="Arial" w:hAnsi="Arial"/>
          <w:sz w:val="18"/>
          <w:szCs w:val="18"/>
          <w:b w:val="1"/>
          <w:bCs w:val="1"/>
          <w:color w:val="auto"/>
        </w:rPr>
        <w:t xml:space="preserve"> </w:t>
      </w:r>
      <w:r>
        <w:rPr>
          <w:rFonts w:ascii="Arial" w:cs="Arial" w:eastAsia="Arial" w:hAnsi="Arial"/>
          <w:sz w:val="18"/>
          <w:szCs w:val="18"/>
          <w:color w:val="auto"/>
        </w:rPr>
        <w:t>transdermal, for the prevention of nausea and vomiting in patients receiving certain types of chemotherapy</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w:t>
      </w:r>
    </w:p>
    <w:p>
      <w:pPr>
        <w:spacing w:after="0" w:line="116" w:lineRule="exact"/>
        <w:rPr>
          <w:rFonts w:ascii="Arial" w:cs="Arial" w:eastAsia="Arial" w:hAnsi="Arial"/>
          <w:sz w:val="18"/>
          <w:szCs w:val="18"/>
          <w:b w:val="1"/>
          <w:bCs w:val="1"/>
          <w:color w:val="auto"/>
        </w:rPr>
      </w:pPr>
    </w:p>
    <w:p>
      <w:pPr>
        <w:ind w:left="1300" w:right="20" w:hanging="320"/>
        <w:spacing w:after="0" w:line="229" w:lineRule="auto"/>
        <w:tabs>
          <w:tab w:leader="none" w:pos="12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 hyponatremia;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27" w:lineRule="exact"/>
        <w:rPr>
          <w:rFonts w:ascii="Arial" w:cs="Arial" w:eastAsia="Arial" w:hAnsi="Arial"/>
          <w:sz w:val="18"/>
          <w:szCs w:val="18"/>
          <w:b w:val="1"/>
          <w:bCs w:val="1"/>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these commercial brands, we have Phase II clinical programs underway evaluating our ifetroban product candidates for patients with cardiomyopathy associated with 1) Duchenne Muscular Dystrophy (“DMD”), a fatal, genetic neuromuscular disease; 2) Systemic Sclerosis (“SSc”) or scleroderma, a debilitating autoimmune disorder characterized by fibrosis of the skin and internal organs; and 3) Aspirin-Exacerbated Respiratory Disease (“AERD”), a severe form of asthma.</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GROWTH STRATEGY</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Cumberland’s growth strategy involves maximizing the success of our existing brands while continuing to build a portfolio of differentiated products. We currently feature eight FDA products approved for sale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long-term sustainable growth by:</w:t>
      </w:r>
    </w:p>
    <w:p>
      <w:pPr>
        <w:spacing w:after="0" w:line="194" w:lineRule="exact"/>
        <w:rPr>
          <w:sz w:val="20"/>
          <w:szCs w:val="20"/>
          <w:color w:val="auto"/>
        </w:rPr>
      </w:pPr>
    </w:p>
    <w:p>
      <w:pPr>
        <w:jc w:val="both"/>
        <w:ind w:left="660" w:hanging="328"/>
        <w:spacing w:after="0" w:line="260"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17"/>
          <w:szCs w:val="17"/>
          <w:b w:val="1"/>
          <w:bCs w:val="1"/>
          <w:color w:val="auto"/>
        </w:rPr>
        <w:t xml:space="preserve">Supporting and expanding the use of our marketed products. </w:t>
      </w:r>
      <w:r>
        <w:rPr>
          <w:rFonts w:ascii="Arial" w:cs="Arial" w:eastAsia="Arial" w:hAnsi="Arial"/>
          <w:sz w:val="17"/>
          <w:szCs w:val="17"/>
          <w:color w:val="auto"/>
        </w:rPr>
        <w:t>We continue to evaluate our products following their FDA approval to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if additional clinical data could expand their market and use. For example, we have secured pediatric approval of Acetadote and Caldolor and are expanding the labeling for both brands accordingly. We also recently further expanded the labeling for Caldolor to allow its use prior to surgery. We will continue to explore such opportunities to bring our products to new patient populations.</w:t>
      </w:r>
    </w:p>
    <w:p>
      <w:pPr>
        <w:spacing w:after="0" w:line="142" w:lineRule="exact"/>
        <w:rPr>
          <w:rFonts w:ascii="Arial" w:cs="Arial" w:eastAsia="Arial" w:hAnsi="Arial"/>
          <w:sz w:val="21"/>
          <w:szCs w:val="21"/>
          <w:color w:val="auto"/>
        </w:rPr>
      </w:pPr>
    </w:p>
    <w:p>
      <w:pPr>
        <w:jc w:val="both"/>
        <w:ind w:left="660" w:hanging="328"/>
        <w:spacing w:after="0" w:line="24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Selectively adding complementary brands. </w:t>
      </w:r>
      <w:r>
        <w:rPr>
          <w:rFonts w:ascii="Arial" w:cs="Arial" w:eastAsia="Arial" w:hAnsi="Arial"/>
          <w:sz w:val="18"/>
          <w:szCs w:val="18"/>
          <w:color w:val="auto"/>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and Sancuso are examples of this strategy.</w:t>
      </w:r>
    </w:p>
    <w:p>
      <w:pPr>
        <w:spacing w:after="0" w:line="152"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Progressing our clinical pipeline and incubating future product opportunities at CET. </w:t>
      </w:r>
      <w:r>
        <w:rPr>
          <w:rFonts w:ascii="Arial" w:cs="Arial" w:eastAsia="Arial" w:hAnsi="Arial"/>
          <w:sz w:val="18"/>
          <w:szCs w:val="18"/>
          <w:color w:val="auto"/>
        </w:rPr>
        <w:t>We believe it is important to build a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new product opportunities, as we are doing though our ifetroban Phase II development programs. We are also supplementing our acquisitions and late-stage development activities with early-stage drug development activities with CET.</w:t>
      </w:r>
    </w:p>
    <w:p>
      <w:pPr>
        <w:spacing w:after="0" w:line="153" w:lineRule="exact"/>
        <w:rPr>
          <w:rFonts w:ascii="Arial" w:cs="Arial" w:eastAsia="Arial" w:hAnsi="Arial"/>
          <w:sz w:val="22"/>
          <w:szCs w:val="22"/>
          <w:color w:val="auto"/>
        </w:rPr>
      </w:pPr>
    </w:p>
    <w:p>
      <w:pPr>
        <w:jc w:val="both"/>
        <w:ind w:left="660" w:hanging="328"/>
        <w:spacing w:after="0" w:line="258"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17"/>
          <w:szCs w:val="17"/>
          <w:b w:val="1"/>
          <w:bCs w:val="1"/>
          <w:color w:val="auto"/>
        </w:rPr>
        <w:t xml:space="preserve">Leveraging our infrastructure through co-promotion partnerships. </w:t>
      </w:r>
      <w:r>
        <w:rPr>
          <w:rFonts w:ascii="Arial" w:cs="Arial" w:eastAsia="Arial" w:hAnsi="Arial"/>
          <w:sz w:val="17"/>
          <w:szCs w:val="17"/>
          <w:color w:val="auto"/>
        </w:rPr>
        <w:t>We believe that our commercial infrastructure can help drive prescription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volume and product sales. We look for strategic partners that can complement our capabilities and enhance opportunities for our brands. For example, our co-promotion partnerships have allowed us to expand the support for Kristalose and Sancuso across the U.S.</w:t>
      </w:r>
    </w:p>
    <w:p>
      <w:pPr>
        <w:spacing w:after="0" w:line="157" w:lineRule="exact"/>
        <w:rPr>
          <w:rFonts w:ascii="Arial" w:cs="Arial" w:eastAsia="Arial" w:hAnsi="Arial"/>
          <w:sz w:val="21"/>
          <w:szCs w:val="21"/>
          <w:color w:val="auto"/>
        </w:rPr>
      </w:pPr>
    </w:p>
    <w:p>
      <w:pPr>
        <w:jc w:val="both"/>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Building an international contribution to our business. </w:t>
      </w:r>
      <w:r>
        <w:rPr>
          <w:rFonts w:ascii="Arial" w:cs="Arial" w:eastAsia="Arial" w:hAnsi="Arial"/>
          <w:sz w:val="18"/>
          <w:szCs w:val="18"/>
          <w:color w:val="auto"/>
        </w:rPr>
        <w:t>We have established our own commercial capabilities, including three sales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17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Managing our operations with financial discipline. </w:t>
      </w:r>
      <w:r>
        <w:rPr>
          <w:rFonts w:ascii="Arial" w:cs="Arial" w:eastAsia="Arial" w:hAnsi="Arial"/>
          <w:sz w:val="18"/>
          <w:szCs w:val="18"/>
          <w:color w:val="auto"/>
        </w:rPr>
        <w:t>We continually work to manage our expenses in line with our revenues to deliver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operations. We remain in a 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Sancuso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January 2022, Cumberland acquired the U.S. rights to the FDA-approved oncology-supportive care medicine Sancuso from Kyowa Kirin, Inc.,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 of Japan-based Kyowa Kirin Co., Ltd.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acquired U.S. rights to Sancuso and assumed full commercial responsibility for the product in the U.S. – including its marketing, promotion, distribution, manufacturing and medical support activities. We largely completed the transition of these responsibilities from Kyowa Kirin to Cumberland during the second quarter of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Sancuso Promotion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2022, we entered into an agreement with Verity Pharmaceuticals International Limited (“Verity”) for the national co-promotion of Sancuso. Verity is a specialty pharmaceutical company that will utilize its established oncology commercial organization and customer network to co-promote Sancuso throughout the United States.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Verity will cover a majority of the U.S. market for an initial three-year term, with an option to extend for an additional two years. Verity and Cumberland will share in the incremental contribution margin resulting from Verity’s efforts.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July 2022, Verity launched their national co-promotion efforts in support of Sancuso.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Clinical Studies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been evaluating our ifetroban product candidate, a selective thromboxane-prostanoid receptor (“TPr”) antagonist, in a series of clinical studies. It has been dosed in nearly 1,400 subjects and was found to be safe and well tolerated in healthy volunteers and various patient populations.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is currently sponsoring three Phase II clinical programs to evaluate ifetroban in 1) Aspirin-Exacerbated Respiratory Disease, ("AERD") a severe form of asthma; 2) Systemic Sclerosis or scleroderma, a debilitating autoimmune disorder characterized by diffuse fibrosis of the skin and internal organs; and 3) patients with cardiomyopathy associated with Duchenne Muscular Dystrophy, a genetic neuromuscular disease that results in deterioration of the skeletal, heart and lung muscles.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are awaiting results from the studies underway before deciding on the best development path for the registration of ifetroban.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designing a fourth Phase II program to evaluate the use of ifetroban to treat patients with Progressive Fibrosing Interstitial Lung Diseases and we are currently preparing an application to the FDA to support the new program.</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Company-sponsored studies, Harvard clinical investigators have led a Phase II trial in patients with AERD. Their study is designed to understand the mechanism of ifetroban in those patients and therefore complements the work we have underway. Their work has been supported by a $5 million grant from the NIH. Patient enrollment in the study is now closed, and the data analysis is underway. We look forward to sharing the results of the study once we receive the study report from them in the coming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Ifetroban Publication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June 2022, the </w:t>
      </w:r>
      <w:r>
        <w:rPr>
          <w:rFonts w:ascii="Arial" w:cs="Arial" w:eastAsia="Arial" w:hAnsi="Arial"/>
          <w:sz w:val="18"/>
          <w:szCs w:val="18"/>
          <w:i w:val="1"/>
          <w:iCs w:val="1"/>
          <w:color w:val="auto"/>
        </w:rPr>
        <w:t>American Journal of Respiratory and Critical Care Medicine</w:t>
      </w:r>
      <w:r>
        <w:rPr>
          <w:rFonts w:ascii="Arial" w:cs="Arial" w:eastAsia="Arial" w:hAnsi="Arial"/>
          <w:sz w:val="18"/>
          <w:szCs w:val="18"/>
          <w:color w:val="auto"/>
        </w:rPr>
        <w:t xml:space="preserve"> published preclinical studies that support the use of ifetroban as a promising therapeutic for patients with pulmonary fibrosis associated with lung disease.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Specifically, the researchers reported that ifetroban was used to block thromboxane receptor signaling in three preclinical models of lung fibrosis: bleomycin-induced lung fibrosis, Hermansky-Pudlak Syndrome mice and radiation-induced lung fibrosis. Ifetroban reduced pro-fibrotic signaling in the lungs and prevented lung fibrosis due to multiple causes (bleomycin, genetic, radiation).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Revolving Credit Loan Agreement</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2022, Cumberland entered into the eighth amendment to our revolving credit loan agreement with Pinnacle Bank permitting the Funded Debt Ratio to be calculated on a rolling four-quarter basis to be no more than 3.00 to 1.00 for the second and third quarters of 2022 and 2.50 to 1.00 for each quarter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Nordic Pharma Arrangements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July 12, 2022, we entered into an amendment to our agreement with Nordic Pharma (“Nordic”) that addresses the responsibilities and financial arrangements regarding our license to Nordic's methotrexate line of products for the U.S. (the “License”). Our line of prefilled methotrexate syringes, marketed under the brand name RediTrex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is covered by the License.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amendment, we are providing Nordic with the opportunity to assume responsibility for commercializing the methotrexate products in the U.S. after March 31, 2023. We will continue to distribute and support the RediTrex product line during a transition period until then. Following the return of the License, Nordic will provide us with a royalty on their future sales of the product through April 2035. The companies will continue to collaborate on any transition and ongoing commercialization of the product 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Cumberland will transfer to Nordic the marketing authorization associated with the RediTrex product line.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Nordic will return the 180,000 shares we issued to them associated with the License and refund the $1 million we paid to them following the brand’s approval in the U.S. Nordic will also issue a credit note in favor of Cumberland in the amount of $1 million for the unpaid milestone payment due from us for our launch of the product 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Board Member</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2022, we were honored to welcome Martin Brown Jr. to Cumberland’s Board of Directors. His experience includes 10 years on the board of directors of Brown-Forman Corporation, a large American spirits and wine company whose shares are listed on the New York Stock Exchange. Additionally, he has served since 2018 on the board of directors of the parent company of Aegis Sciences Corporation, a federally certified health care laboratory headquartered in Nashville.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Mr. Brown is an attorney at Adams and Reese LLP. He has nearly 30 years of legal experience representing privately held businesses, counseling owners in complex business transactions, intellectual property licensing, international commerce, mergers and acquisitions, and estate planning. He has been listed since 2009 in the corporate law category of Best Lawyers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 has been an active board member for many community organizations, including the Land Trust for Tennessee, Nashville Public Radio, Montgomery Bell Academy, Nashville Public Television, Centerstone Mental Health Center, Cheekwood Estate and Gardens, and Tennessee chapter of the Nature Conservancy.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Brown brings significant legal, public company, health care and civic experience to our Board. We expect his contributions will be valuable in our efforts to acquire, develop and deliver innovative products to improve the quality of care for patients.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Special Committee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formed a Special Committee (the “Committee”) as an ad hoc committee of the Board of Directors to facilitate certain corporate development activities, including the review and evaluation of potential mergers, acquisitions, joint ventures, significant investments or divestitures of material assets. The Committee is composed solely of directors who meet the independence requirements of the NASDAQ Global Select Market. The Committee was activated so that the Company may properly consider and evaluate any corporate development opportunities that might arise as a result of the recent volatility in the financial markets associated with the biopharmaceutical industry.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Report</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early August 2022, we announced the results of our 2021 Sustainability Report, outlining our activities pertaining to environmental, social and governance matters. As the largest biopharmaceutical company founded and headquartered in the Mid-South, we hold ourselves to the highest standards of ethical practices and understand the importance of recognizing and addressing our impact on our constituents, the community and the environment.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report include:</w:t>
      </w:r>
    </w:p>
    <w:p>
      <w:pPr>
        <w:spacing w:after="0" w:line="17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provided 2.43 million doses of our products for patients in 2021.</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also safely disposed of over 6,200 pounds of expired or damaged products during the year.</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had no products recalled, no Company marketed brands listed on the FDA’s MedWatch Safety Alerts for Human Medical Products, no marketed Company product issues identified by FDA from their Adverse Event Reporting System and no clinical trials terminated due to failure to practice good clinical standards.</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2021 Sustainability Report also highlights our investment in our employees through our continuing education programs, employee development initiatives and employee recognition awards. Cumberland’s workforce is 44% women, and 15% of our employees are minorities.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of Tennessee and Tennessee Valley Authority Grants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State of Tennessee and the Tennessee Valley Authority have awarded Cumberland a total of $250,000 in grants to support the buildout of the new offices at 1600 West End Ave. and the relocation of the Company to this new headquarters. This new headquarters location keeps Cumberland near the Vanderbilt University Medical Center to enable our continued collaboration.</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 our portfolio of FDA-approved drug brands, and a deep pipeline of new drugs under development, Cumberland is poised to attain significant milestones in the coming years. We believe this well-located, state-of-the-art new headquarters will play an important role in the Company’s future success.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packager for our Omeclamox-Pak product has been unable to provide us with supplies of the product, having encountered difficulties and therefore suspending operations during the pandemic. We are currently awaiting the facility’s packaging to resume, while also exploring other alternatives to restart the product’s packaging before we build new inventory and resupply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Vaprisol Supply Update</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transitioning to a new manufacturer for our Vaprisol product. During 2021, we shipped all remaining inventory of the product and notified the FDA that supplies of the product were then not currently available. We have transferred manufacturing to a new facility and await the submission and FDA approval for that plant before resuming shipments. During the second quarter of 2022, the new manufacturer was issued an FDA Form 483 following an inspection of their facility. The FDA notified us that our application to manufacture Vaprisol at the new facility would need to be resubmitted once those 483 issues are satisfactorily resolved. Our new manufacturing partner is working with the FDA to address those issues on a timely basis. Meanwhile, the Company plans to provide an interim supply of compounded product to the market while awaiting the needed facility approval.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medical market. We are prepared for and look forward to future opportunities to carry out our mission throughout the remainder of the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2021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to the three months ended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three months ended June 30, 2022 and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1,243,669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291,235</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4,556,685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4,121,817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434,868</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463,295</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2,203,975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2,097,130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106,845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358,235</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12,145,690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10,491,212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1,654,478</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(410,809)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8,475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611,330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(111,765)</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(1,357,766)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732,143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(2,089,909)</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(1,364,666)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724,684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(2,089,350)</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3,570,272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5,275,065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(1,704,793)</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1,596,821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1,844,936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(248,115)</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(134,621)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399,952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(534,573)</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(25,992)</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86,294</w:t>
            </w: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1,243,669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three months ended June 30, 2022, were $10.3 million compared to $9.1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detailed in the table above, net revenue increased for two of our marketed products: Caldolor and RediTrex during the quarter. We also continued significant shipments of Sancuso which we launched earlier in the year.</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of $3.6 million for the second quarter of 2022, represented a decrease of $1.7 million when compared to the prior year period. The decrease was primarily the result of timing of shipments to one of our co-promotion partners.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During the quarter, there was a slight decrease in the branded product's revenue when compared to the prior year period.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Vaprisol revenue was $(0.1) million for the second quarter of 2022, a decrease of $0.5 million compared to the same period last year. This decrease is primarily due to the lack of inventory of the product, as we await FDA approval on a new manufacturer.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Caldolor revenue was $1.2 million for the second quarter of 2022, an increase of $0.3 million, or 27.2%, compared to the second quarter of 2021. The increase was the result of higher international shipments of the product.</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revenue was $1.6 million for the three months ended June 30, 2022, compared to $1.8 million for the same period last year. The decline was a result of increased purchases in 2021 associated in part with wholesaler stocking of our new packaged product.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Sancuso revenue was $3.4 million for the second quarter of 2022, which was $0.3 million higher than the second quarter of 2021 U.S. results reported by Kyowa Kirin, from whom Cumberland acquired the U.S. rights to Sancuso on January 3, 2022.</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Omeclamox-Pak had no sales for the second quarter of 2022,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three months ended June 30, 2022, was negatively impacted by various revenue adjustments.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second quarter of 2022 and 2021 were $2.0 million and $1.7 million, respectively. Cost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as a percentage of net revenues, were 19.7% during the three months ended June 30, 2022, similar to 19.2% during the three months ended June 30,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second quarter of 2022 increased $0.4 million compared to the same period last year.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an increase in marketing expenses associated with the Sancuso acquisition, including royalty costs, promotional spending and the costs associated with our new oncology sales division.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for the second quarter of 2022 and 2021 were $1.8 million and $1.4 million,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research and development costs is variable based on the number of trials, study sites, number of patients and the cost per patient in each of our clinical programs. We continue to fund our ongoing clinical initiatives associated with our pipeline products.</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increased to $2.2 million for the second quarter of 2022, compared to $2.1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2021, an increase of $0.1 million . The increase was primarily attributable to increases in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1,844,936</w:t>
            </w: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402,320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678,146</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767,813</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1,212,458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398,977</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360,572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992,922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2,295,054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2022 net revenue includes a $250,000 payment to Cumberland required under the terms of a new licensee agreement.</w:t>
      </w:r>
    </w:p>
    <w:p>
      <w:pPr>
        <w:spacing w:after="0" w:line="138" w:lineRule="exact"/>
        <w:rPr>
          <w:rFonts w:ascii="Arial" w:cs="Arial" w:eastAsia="Arial" w:hAnsi="Arial"/>
          <w:sz w:val="9"/>
          <w:szCs w:val="9"/>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June 30, 2022 and 2021, totaled approximately $1.5 million and $1.2 million, respectively. The increase in amortization expense is due to the acquisition of Sancuso.</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June 30, 2022, was comparable to the income tax expense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we had approximately $56.6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2022 and beyond, through the continued utilization of these net operating loss carryforwards, on any taxable income generated from our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 the second quarter of 2022, we recognized a gain on insurance proceeds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to the six months ended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six months ended June 30, 2022 and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1,881,555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4,243,769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85,791</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9,171,114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7,909,157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1,261,957</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951,064</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4,506,324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4,327,639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178,685</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782,566</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24,612,734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21,352,671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3,260,063</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(1,378,508)</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(206,923)</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(2,753,299)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388,852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(3,142,151)</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(2,767,099)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(3,141,034)</w:t>
            </w:r>
          </w:p>
        </w:tc>
        <w:tc>
          <w:tcPr>
            <w:tcW w:w="100" w:type="dxa"/>
            <w:vAlign w:val="bottom"/>
          </w:tcPr>
          <w:p>
            <w:pPr>
              <w:spacing w:after="0"/>
              <w:rPr>
                <w:sz w:val="19"/>
                <w:szCs w:val="19"/>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62"/>
        </w:trPr>
        <w:tc>
          <w:tcPr>
            <w:tcW w:w="55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Six months ended June 30,</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7,515,368</w:t>
            </w:r>
          </w:p>
        </w:tc>
        <w:tc>
          <w:tcPr>
            <w:tcW w:w="5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8,269,443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(754,075)</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6,795,758</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4,098,255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6,897,179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(2,798,924)</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2,153,546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2,477,824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(324,278)</w:t>
            </w: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(251,623)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1,534,216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(1,785,839)</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470,695</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177,774</w:t>
            </w:r>
          </w:p>
        </w:tc>
      </w:tr>
      <w:tr>
        <w:trPr>
          <w:trHeight w:val="22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132,532</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1,881,555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six months ended June 30, 2022, were $21.5 million compared to $19.6 million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$1.9 million. The addition of our newest product Sancuso contributed to an overall 9.6% revenue increase.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Kristalose revenue was $7.5 million during the first six months of 2022, a decrease of $0.8 million when compared with the prior year period. Revenue decreased due to slightly lower sales volume associated with one of our co-promotion partners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Vibativ revenue was $4.1 million for the six months ended June 30, 2022, compared to $6.9 million for the same period last year. The decrease in net revenue was a result of improved sales volume for the product during the six months ended June 30, 2021. The decline was a result of increased purchases in 2021 associated in part with wholesaler stocking of our new packaged product.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Vaprisol revenue was $(0.3) million for the first six months of 2022 as Cumberland is currently out of commercial inventory of the product. Net revenue was negatively impacted by various sales adjustments.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Omeclamox-Pak had no sales for the six months ended June 30, 2022,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six months ended June 30, 2022, was negatively impacted by product returns during the period.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There was a slight decrease in the product's year to date revenue for the six months ended June 30, 2022, when compared to the prior year period as a result of an increase in expired product returns in 2022.</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Caldolor revenue was $2.2 million for the first two quarters of 2022, a decrease of $0.3 million compared to the same period last year. International shipments decreased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first six months of 2022 and 2021 were consistent at $4.2 million for each period.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six months ended June 30, 2022, increased $1.3 million compared to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primarily attributable to an increase in marketing expenses associated with the Sancuso acquisition including royalty costs, promotional spending and the costs associated with our new oncology sales division.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were $3.6 million for the first six months of 2022 compared to $2.6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for the six months ended June 30, 2022, remained consistent with $4.5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$4.3 million during the six months ended June 30, 2021. In 2022, we experienced a slight increase in compensation expense.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The</w:t>
            </w:r>
          </w:p>
        </w:tc>
        <w:tc>
          <w:tcPr>
            <w:tcW w:w="1160" w:type="dxa"/>
            <w:vAlign w:val="bottom"/>
          </w:tcPr>
          <w:p>
            <w:pPr>
              <w:ind w:left="140"/>
              <w:spacing w:after="0"/>
              <w:rPr>
                <w:sz w:val="20"/>
                <w:szCs w:val="20"/>
                <w:color w:val="auto"/>
              </w:rPr>
            </w:pPr>
            <w:r>
              <w:rPr>
                <w:rFonts w:ascii="Arial" w:cs="Arial" w:eastAsia="Arial" w:hAnsi="Arial"/>
                <w:sz w:val="18"/>
                <w:szCs w:val="18"/>
                <w:color w:val="auto"/>
              </w:rPr>
              <w:t>components</w:t>
            </w:r>
          </w:p>
        </w:tc>
        <w:tc>
          <w:tcPr>
            <w:tcW w:w="560" w:type="dxa"/>
            <w:vAlign w:val="bottom"/>
          </w:tcPr>
          <w:p>
            <w:pPr>
              <w:ind w:left="140"/>
              <w:spacing w:after="0"/>
              <w:rPr>
                <w:sz w:val="20"/>
                <w:szCs w:val="20"/>
                <w:color w:val="auto"/>
              </w:rPr>
            </w:pPr>
            <w:r>
              <w:rPr>
                <w:rFonts w:ascii="Arial" w:cs="Arial" w:eastAsia="Arial" w:hAnsi="Arial"/>
                <w:sz w:val="18"/>
                <w:szCs w:val="18"/>
                <w:color w:val="auto"/>
              </w:rPr>
              <w:t>of</w:t>
            </w:r>
          </w:p>
        </w:tc>
        <w:tc>
          <w:tcPr>
            <w:tcW w:w="380" w:type="dxa"/>
            <w:vAlign w:val="bottom"/>
          </w:tcPr>
          <w:p>
            <w:pPr>
              <w:ind w:left="20"/>
              <w:spacing w:after="0"/>
              <w:rPr>
                <w:sz w:val="20"/>
                <w:szCs w:val="20"/>
                <w:color w:val="auto"/>
              </w:rPr>
            </w:pPr>
            <w:r>
              <w:rPr>
                <w:rFonts w:ascii="Arial" w:cs="Arial" w:eastAsia="Arial" w:hAnsi="Arial"/>
                <w:sz w:val="18"/>
                <w:szCs w:val="18"/>
                <w:color w:val="auto"/>
              </w:rPr>
              <w:t>the</w:t>
            </w:r>
          </w:p>
        </w:tc>
        <w:tc>
          <w:tcPr>
            <w:tcW w:w="1060" w:type="dxa"/>
            <w:vAlign w:val="bottom"/>
          </w:tcPr>
          <w:p>
            <w:pPr>
              <w:ind w:left="140"/>
              <w:spacing w:after="0"/>
              <w:rPr>
                <w:sz w:val="20"/>
                <w:szCs w:val="20"/>
                <w:color w:val="auto"/>
              </w:rPr>
            </w:pPr>
            <w:r>
              <w:rPr>
                <w:rFonts w:ascii="Arial" w:cs="Arial" w:eastAsia="Arial" w:hAnsi="Arial"/>
                <w:sz w:val="18"/>
                <w:szCs w:val="18"/>
                <w:color w:val="auto"/>
              </w:rPr>
              <w:t>statements</w:t>
            </w:r>
          </w:p>
        </w:tc>
        <w:tc>
          <w:tcPr>
            <w:tcW w:w="440" w:type="dxa"/>
            <w:vAlign w:val="bottom"/>
          </w:tcPr>
          <w:p>
            <w:pPr>
              <w:ind w:left="140"/>
              <w:spacing w:after="0"/>
              <w:rPr>
                <w:sz w:val="20"/>
                <w:szCs w:val="20"/>
                <w:color w:val="auto"/>
              </w:rPr>
            </w:pPr>
            <w:r>
              <w:rPr>
                <w:rFonts w:ascii="Arial" w:cs="Arial" w:eastAsia="Arial" w:hAnsi="Arial"/>
                <w:sz w:val="18"/>
                <w:szCs w:val="18"/>
                <w:color w:val="auto"/>
              </w:rPr>
              <w:t>of</w:t>
            </w:r>
          </w:p>
        </w:tc>
        <w:tc>
          <w:tcPr>
            <w:tcW w:w="10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60" w:type="dxa"/>
            <w:vAlign w:val="bottom"/>
          </w:tcPr>
          <w:p>
            <w:pPr>
              <w:ind w:left="140"/>
              <w:spacing w:after="0"/>
              <w:rPr>
                <w:sz w:val="20"/>
                <w:szCs w:val="20"/>
                <w:color w:val="auto"/>
              </w:rPr>
            </w:pPr>
            <w:r>
              <w:rPr>
                <w:rFonts w:ascii="Arial" w:cs="Arial" w:eastAsia="Arial" w:hAnsi="Arial"/>
                <w:sz w:val="18"/>
                <w:szCs w:val="18"/>
                <w:color w:val="auto"/>
                <w:w w:val="99"/>
              </w:rPr>
              <w:t>discussed</w:t>
            </w:r>
          </w:p>
        </w:tc>
        <w:tc>
          <w:tcPr>
            <w:tcW w:w="720" w:type="dxa"/>
            <w:vAlign w:val="bottom"/>
          </w:tcPr>
          <w:p>
            <w:pPr>
              <w:ind w:left="160"/>
              <w:spacing w:after="0"/>
              <w:rPr>
                <w:sz w:val="20"/>
                <w:szCs w:val="20"/>
                <w:color w:val="auto"/>
              </w:rPr>
            </w:pPr>
            <w:r>
              <w:rPr>
                <w:rFonts w:ascii="Arial" w:cs="Arial" w:eastAsia="Arial" w:hAnsi="Arial"/>
                <w:sz w:val="18"/>
                <w:szCs w:val="18"/>
                <w:color w:val="auto"/>
              </w:rPr>
              <w:t>above</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reflect</w:t>
            </w:r>
          </w:p>
        </w:tc>
        <w:tc>
          <w:tcPr>
            <w:tcW w:w="420" w:type="dxa"/>
            <w:vAlign w:val="bottom"/>
          </w:tcPr>
          <w:p>
            <w:pPr>
              <w:ind w:left="140"/>
              <w:spacing w:after="0"/>
              <w:rPr>
                <w:sz w:val="20"/>
                <w:szCs w:val="20"/>
                <w:color w:val="auto"/>
              </w:rPr>
            </w:pPr>
            <w:r>
              <w:rPr>
                <w:rFonts w:ascii="Arial" w:cs="Arial" w:eastAsia="Arial" w:hAnsi="Arial"/>
                <w:sz w:val="18"/>
                <w:szCs w:val="18"/>
                <w:color w:val="auto"/>
              </w:rPr>
              <w:t>the</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following</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impacts</w:t>
            </w:r>
          </w:p>
        </w:tc>
        <w:tc>
          <w:tcPr>
            <w:tcW w:w="560" w:type="dxa"/>
            <w:vAlign w:val="bottom"/>
          </w:tcPr>
          <w:p>
            <w:pPr>
              <w:jc w:val="right"/>
              <w:spacing w:after="0"/>
              <w:rPr>
                <w:sz w:val="20"/>
                <w:szCs w:val="20"/>
                <w:color w:val="auto"/>
              </w:rPr>
            </w:pPr>
            <w:r>
              <w:rPr>
                <w:rFonts w:ascii="Arial" w:cs="Arial" w:eastAsia="Arial" w:hAnsi="Arial"/>
                <w:sz w:val="18"/>
                <w:szCs w:val="18"/>
                <w:color w:val="auto"/>
              </w:rPr>
              <w:t>from</w:t>
            </w:r>
          </w:p>
        </w:tc>
        <w:tc>
          <w:tcPr>
            <w:tcW w:w="840" w:type="dxa"/>
            <w:vAlign w:val="bottom"/>
          </w:tcPr>
          <w:p>
            <w:pPr>
              <w:jc w:val="right"/>
              <w:spacing w:after="0"/>
              <w:rPr>
                <w:sz w:val="20"/>
                <w:szCs w:val="20"/>
                <w:color w:val="auto"/>
              </w:rPr>
            </w:pPr>
            <w:r>
              <w:rPr>
                <w:rFonts w:ascii="Arial" w:cs="Arial" w:eastAsia="Arial" w:hAnsi="Arial"/>
                <w:sz w:val="18"/>
                <w:szCs w:val="18"/>
                <w:color w:val="auto"/>
              </w:rPr>
              <w:t>Vibativ:</w:t>
            </w:r>
          </w:p>
        </w:tc>
      </w:tr>
      <w:tr>
        <w:trPr>
          <w:trHeight w:val="256"/>
        </w:trPr>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Financial Impact of Vibativ</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88"/>
              </w:rPr>
              <w:t>Six months ended June 30,</w:t>
            </w:r>
          </w:p>
        </w:tc>
        <w:tc>
          <w:tcPr>
            <w:tcW w:w="840" w:type="dxa"/>
            <w:vAlign w:val="bottom"/>
            <w:tcBorders>
              <w:bottom w:val="single" w:sz="8" w:color="auto"/>
            </w:tcBorders>
          </w:tcPr>
          <w:p>
            <w:pPr>
              <w:spacing w:after="0"/>
              <w:rPr>
                <w:sz w:val="22"/>
                <w:szCs w:val="22"/>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r>
      <w:tr>
        <w:trPr>
          <w:trHeight w:val="223"/>
        </w:trPr>
        <w:tc>
          <w:tcPr>
            <w:tcW w:w="16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4,248,255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6,897,179</w:t>
            </w:r>
          </w:p>
        </w:tc>
      </w:tr>
      <w:tr>
        <w:trPr>
          <w:trHeight w:val="229"/>
        </w:trPr>
        <w:tc>
          <w:tcPr>
            <w:tcW w:w="2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1,329,480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2,134,962</w:t>
            </w:r>
          </w:p>
        </w:tc>
      </w:tr>
      <w:tr>
        <w:trPr>
          <w:trHeight w:val="230"/>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Royalty and operating expenses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663,360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1,170,165</w:t>
            </w:r>
          </w:p>
        </w:tc>
      </w:tr>
      <w:tr>
        <w:trPr>
          <w:trHeight w:val="22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Vibativ contribution</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2,255,415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3,592,052</w:t>
            </w:r>
          </w:p>
        </w:tc>
      </w:tr>
      <w:tr>
        <w:trPr>
          <w:trHeight w:val="20"/>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2022 net revenue includes a $150,000 payment to Cumberland required under the terms of a new licensee agreement.</w:t>
      </w:r>
    </w:p>
    <w:p>
      <w:pPr>
        <w:spacing w:after="0" w:line="8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ectPr>
          <w:pgSz w:w="11900" w:h="16838" w:orient="portrait"/>
          <w:cols w:equalWidth="0" w:num="1">
            <w:col w:w="11240"/>
          </w:cols>
          <w:pgMar w:left="320" w:top="1421"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Impact of Vibativ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p>
      <w:pPr>
        <w:ind w:left="20"/>
        <w:spacing w:after="0" w:line="218" w:lineRule="auto"/>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Royalty and operating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Vibativ contribution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8"/>
        </w:numPr>
        <w:rPr>
          <w:rFonts w:ascii="Arial" w:cs="Arial" w:eastAsia="Arial" w:hAnsi="Arial"/>
          <w:sz w:val="15"/>
          <w:szCs w:val="15"/>
          <w:color w:val="auto"/>
        </w:rPr>
      </w:pPr>
      <w:r>
        <w:rPr>
          <w:rFonts w:ascii="Arial" w:cs="Arial" w:eastAsia="Arial" w:hAnsi="Arial"/>
          <w:sz w:val="15"/>
          <w:szCs w:val="15"/>
          <w:color w:val="auto"/>
        </w:rPr>
        <w:t>40,369,278</w:t>
      </w:r>
    </w:p>
    <w:p>
      <w:pPr>
        <w:spacing w:after="0" w:line="57" w:lineRule="exact"/>
        <w:rPr>
          <w:rFonts w:ascii="Arial" w:cs="Arial" w:eastAsia="Arial" w:hAnsi="Arial"/>
          <w:sz w:val="15"/>
          <w:szCs w:val="15"/>
          <w:color w:val="auto"/>
        </w:rPr>
      </w:pPr>
    </w:p>
    <w:p>
      <w:pPr>
        <w:ind w:left="1289"/>
        <w:spacing w:after="0"/>
        <w:rPr>
          <w:rFonts w:ascii="Arial" w:cs="Arial" w:eastAsia="Arial" w:hAnsi="Arial"/>
          <w:sz w:val="15"/>
          <w:szCs w:val="15"/>
          <w:color w:val="auto"/>
        </w:rPr>
      </w:pPr>
      <w:r>
        <w:rPr>
          <w:rFonts w:ascii="Arial" w:cs="Arial" w:eastAsia="Arial" w:hAnsi="Arial"/>
          <w:sz w:val="15"/>
          <w:szCs w:val="15"/>
          <w:color w:val="auto"/>
        </w:rPr>
        <w:t>13,518,736</w:t>
      </w:r>
    </w:p>
    <w:p>
      <w:pPr>
        <w:spacing w:after="0" w:line="57" w:lineRule="exact"/>
        <w:rPr>
          <w:rFonts w:ascii="Arial" w:cs="Arial" w:eastAsia="Arial" w:hAnsi="Arial"/>
          <w:sz w:val="15"/>
          <w:szCs w:val="15"/>
          <w:color w:val="auto"/>
        </w:rPr>
      </w:pPr>
    </w:p>
    <w:p>
      <w:pPr>
        <w:ind w:left="1389"/>
        <w:spacing w:after="0"/>
        <w:rPr>
          <w:rFonts w:ascii="Arial" w:cs="Arial" w:eastAsia="Arial" w:hAnsi="Arial"/>
          <w:sz w:val="15"/>
          <w:szCs w:val="15"/>
          <w:color w:val="auto"/>
        </w:rPr>
      </w:pPr>
      <w:r>
        <w:rPr>
          <w:rFonts w:ascii="Arial" w:cs="Arial" w:eastAsia="Arial" w:hAnsi="Arial"/>
          <w:sz w:val="15"/>
          <w:szCs w:val="15"/>
          <w:color w:val="auto"/>
        </w:rPr>
        <w:t>7,117,405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0" w:lineRule="exact"/>
        <w:rPr>
          <w:sz w:val="20"/>
          <w:szCs w:val="20"/>
          <w:color w:val="auto"/>
        </w:rPr>
      </w:pPr>
    </w:p>
    <w:p>
      <w:pPr>
        <w:ind w:left="1289" w:hanging="1289"/>
        <w:spacing w:after="0"/>
        <w:tabs>
          <w:tab w:leader="none" w:pos="1289" w:val="left"/>
        </w:tabs>
        <w:numPr>
          <w:ilvl w:val="0"/>
          <w:numId w:val="9"/>
        </w:numPr>
        <w:rPr>
          <w:rFonts w:ascii="Arial" w:cs="Arial" w:eastAsia="Arial" w:hAnsi="Arial"/>
          <w:sz w:val="15"/>
          <w:szCs w:val="15"/>
          <w:color w:val="auto"/>
        </w:rPr>
      </w:pPr>
      <w:r>
        <w:rPr>
          <w:rFonts w:ascii="Arial" w:cs="Arial" w:eastAsia="Arial" w:hAnsi="Arial"/>
          <w:sz w:val="15"/>
          <w:szCs w:val="15"/>
          <w:color w:val="auto"/>
        </w:rPr>
        <w:t>19,733,137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351" w:space="720"/>
            <w:col w:w="2169"/>
          </w:cols>
          <w:pgMar w:left="320" w:top="1421" w:right="339" w:bottom="1440" w:gutter="0" w:footer="0" w:header="0"/>
          <w:type w:val="continuous"/>
        </w:sectPr>
      </w:pPr>
    </w:p>
    <w:p>
      <w:pPr>
        <w:spacing w:after="0" w:line="49"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Net revenue includes a $150,000 payment to Cumberland required under the terms of a new licensee agreement.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The</w:t>
            </w:r>
          </w:p>
        </w:tc>
        <w:tc>
          <w:tcPr>
            <w:tcW w:w="1200" w:type="dxa"/>
            <w:vAlign w:val="bottom"/>
          </w:tcPr>
          <w:p>
            <w:pPr>
              <w:ind w:left="140"/>
              <w:spacing w:after="0"/>
              <w:rPr>
                <w:sz w:val="20"/>
                <w:szCs w:val="20"/>
                <w:color w:val="auto"/>
              </w:rPr>
            </w:pPr>
            <w:r>
              <w:rPr>
                <w:rFonts w:ascii="Arial" w:cs="Arial" w:eastAsia="Arial" w:hAnsi="Arial"/>
                <w:sz w:val="18"/>
                <w:szCs w:val="18"/>
                <w:color w:val="auto"/>
              </w:rPr>
              <w:t>components</w:t>
            </w:r>
          </w:p>
        </w:tc>
        <w:tc>
          <w:tcPr>
            <w:tcW w:w="380" w:type="dxa"/>
            <w:vAlign w:val="bottom"/>
          </w:tcPr>
          <w:p>
            <w:pPr>
              <w:ind w:left="80"/>
              <w:spacing w:after="0"/>
              <w:rPr>
                <w:sz w:val="20"/>
                <w:szCs w:val="20"/>
                <w:color w:val="auto"/>
              </w:rPr>
            </w:pPr>
            <w:r>
              <w:rPr>
                <w:rFonts w:ascii="Arial" w:cs="Arial" w:eastAsia="Arial" w:hAnsi="Arial"/>
                <w:sz w:val="18"/>
                <w:szCs w:val="18"/>
                <w:color w:val="auto"/>
              </w:rPr>
              <w:t>of</w:t>
            </w:r>
          </w:p>
        </w:tc>
        <w:tc>
          <w:tcPr>
            <w:tcW w:w="500" w:type="dxa"/>
            <w:vAlign w:val="bottom"/>
          </w:tcPr>
          <w:p>
            <w:pPr>
              <w:ind w:left="140"/>
              <w:spacing w:after="0"/>
              <w:rPr>
                <w:sz w:val="20"/>
                <w:szCs w:val="20"/>
                <w:color w:val="auto"/>
              </w:rPr>
            </w:pPr>
            <w:r>
              <w:rPr>
                <w:rFonts w:ascii="Arial" w:cs="Arial" w:eastAsia="Arial" w:hAnsi="Arial"/>
                <w:sz w:val="18"/>
                <w:szCs w:val="18"/>
                <w:color w:val="auto"/>
              </w:rPr>
              <w:t>the</w:t>
            </w:r>
          </w:p>
        </w:tc>
        <w:tc>
          <w:tcPr>
            <w:tcW w:w="1040" w:type="dxa"/>
            <w:vAlign w:val="bottom"/>
          </w:tcPr>
          <w:p>
            <w:pPr>
              <w:ind w:left="140"/>
              <w:spacing w:after="0"/>
              <w:rPr>
                <w:sz w:val="20"/>
                <w:szCs w:val="20"/>
                <w:color w:val="auto"/>
              </w:rPr>
            </w:pPr>
            <w:r>
              <w:rPr>
                <w:rFonts w:ascii="Arial" w:cs="Arial" w:eastAsia="Arial" w:hAnsi="Arial"/>
                <w:sz w:val="18"/>
                <w:szCs w:val="18"/>
                <w:color w:val="auto"/>
                <w:w w:val="99"/>
              </w:rPr>
              <w:t>statements</w:t>
            </w:r>
          </w:p>
        </w:tc>
        <w:tc>
          <w:tcPr>
            <w:tcW w:w="440" w:type="dxa"/>
            <w:vAlign w:val="bottom"/>
          </w:tcPr>
          <w:p>
            <w:pPr>
              <w:ind w:left="160"/>
              <w:spacing w:after="0"/>
              <w:rPr>
                <w:sz w:val="20"/>
                <w:szCs w:val="20"/>
                <w:color w:val="auto"/>
              </w:rPr>
            </w:pPr>
            <w:r>
              <w:rPr>
                <w:rFonts w:ascii="Arial" w:cs="Arial" w:eastAsia="Arial" w:hAnsi="Arial"/>
                <w:sz w:val="18"/>
                <w:szCs w:val="18"/>
                <w:color w:val="auto"/>
              </w:rPr>
              <w:t>of</w:t>
            </w:r>
          </w:p>
        </w:tc>
        <w:tc>
          <w:tcPr>
            <w:tcW w:w="10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80" w:type="dxa"/>
            <w:vAlign w:val="bottom"/>
          </w:tcPr>
          <w:p>
            <w:pPr>
              <w:ind w:left="140"/>
              <w:spacing w:after="0"/>
              <w:rPr>
                <w:sz w:val="20"/>
                <w:szCs w:val="20"/>
                <w:color w:val="auto"/>
              </w:rPr>
            </w:pPr>
            <w:r>
              <w:rPr>
                <w:rFonts w:ascii="Arial" w:cs="Arial" w:eastAsia="Arial" w:hAnsi="Arial"/>
                <w:sz w:val="18"/>
                <w:szCs w:val="18"/>
                <w:color w:val="auto"/>
              </w:rPr>
              <w:t>discussed</w:t>
            </w:r>
          </w:p>
        </w:tc>
        <w:tc>
          <w:tcPr>
            <w:tcW w:w="740" w:type="dxa"/>
            <w:vAlign w:val="bottom"/>
          </w:tcPr>
          <w:p>
            <w:pPr>
              <w:ind w:left="140"/>
              <w:spacing w:after="0"/>
              <w:rPr>
                <w:sz w:val="20"/>
                <w:szCs w:val="20"/>
                <w:color w:val="auto"/>
              </w:rPr>
            </w:pPr>
            <w:r>
              <w:rPr>
                <w:rFonts w:ascii="Arial" w:cs="Arial" w:eastAsia="Arial" w:hAnsi="Arial"/>
                <w:sz w:val="18"/>
                <w:szCs w:val="18"/>
                <w:color w:val="auto"/>
              </w:rPr>
              <w:t>above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reflect</w:t>
            </w:r>
          </w:p>
        </w:tc>
        <w:tc>
          <w:tcPr>
            <w:tcW w:w="420" w:type="dxa"/>
            <w:vAlign w:val="bottom"/>
          </w:tcPr>
          <w:p>
            <w:pPr>
              <w:ind w:left="140"/>
              <w:spacing w:after="0"/>
              <w:rPr>
                <w:sz w:val="20"/>
                <w:szCs w:val="20"/>
                <w:color w:val="auto"/>
              </w:rPr>
            </w:pPr>
            <w:r>
              <w:rPr>
                <w:rFonts w:ascii="Arial" w:cs="Arial" w:eastAsia="Arial" w:hAnsi="Arial"/>
                <w:sz w:val="18"/>
                <w:szCs w:val="18"/>
                <w:color w:val="auto"/>
              </w:rPr>
              <w:t>the</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following</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3"/>
              </w:rPr>
              <w:t>impacts</w:t>
            </w:r>
          </w:p>
        </w:tc>
        <w:tc>
          <w:tcPr>
            <w:tcW w:w="660" w:type="dxa"/>
            <w:vAlign w:val="bottom"/>
          </w:tcPr>
          <w:p>
            <w:pPr>
              <w:ind w:left="140"/>
              <w:spacing w:after="0"/>
              <w:rPr>
                <w:sz w:val="20"/>
                <w:szCs w:val="20"/>
                <w:color w:val="auto"/>
              </w:rPr>
            </w:pPr>
            <w:r>
              <w:rPr>
                <w:rFonts w:ascii="Arial" w:cs="Arial" w:eastAsia="Arial" w:hAnsi="Arial"/>
                <w:sz w:val="18"/>
                <w:szCs w:val="18"/>
                <w:color w:val="auto"/>
              </w:rPr>
              <w:t>from</w:t>
            </w:r>
          </w:p>
        </w:tc>
        <w:tc>
          <w:tcPr>
            <w:tcW w:w="780" w:type="dxa"/>
            <w:vAlign w:val="bottom"/>
          </w:tcPr>
          <w:p>
            <w:pPr>
              <w:ind w:left="120"/>
              <w:spacing w:after="0"/>
              <w:rPr>
                <w:sz w:val="20"/>
                <w:szCs w:val="20"/>
                <w:color w:val="auto"/>
              </w:rPr>
            </w:pPr>
            <w:r>
              <w:rPr>
                <w:rFonts w:ascii="Arial" w:cs="Arial" w:eastAsia="Arial" w:hAnsi="Arial"/>
                <w:sz w:val="18"/>
                <w:szCs w:val="18"/>
                <w:color w:val="auto"/>
                <w:w w:val="85"/>
              </w:rPr>
              <w:t>Sancuso:</w:t>
            </w:r>
          </w:p>
        </w:tc>
      </w:tr>
      <w:tr>
        <w:trPr>
          <w:trHeight w:val="257"/>
        </w:trPr>
        <w:tc>
          <w:tcPr>
            <w:tcW w:w="252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Six months ended June 30,</w:t>
            </w:r>
          </w:p>
        </w:tc>
        <w:tc>
          <w:tcPr>
            <w:tcW w:w="780" w:type="dxa"/>
            <w:vAlign w:val="bottom"/>
            <w:tcBorders>
              <w:bottom w:val="single" w:sz="8" w:color="auto"/>
            </w:tcBorders>
          </w:tcPr>
          <w:p>
            <w:pPr>
              <w:spacing w:after="0"/>
              <w:rPr>
                <w:sz w:val="22"/>
                <w:szCs w:val="22"/>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r>
      <w:tr>
        <w:trPr>
          <w:trHeight w:val="223"/>
        </w:trPr>
        <w:tc>
          <w:tcPr>
            <w:tcW w:w="16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7,045,758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748,836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29"/>
        </w:trPr>
        <w:tc>
          <w:tcPr>
            <w:tcW w:w="2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Royalty and operating expenses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1,903,022</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1640" w:type="dxa"/>
            <w:vAlign w:val="bottom"/>
            <w:gridSpan w:val="2"/>
          </w:tcPr>
          <w:p>
            <w:pPr>
              <w:ind w:left="20"/>
              <w:spacing w:after="0"/>
              <w:rPr>
                <w:sz w:val="20"/>
                <w:szCs w:val="20"/>
                <w:color w:val="auto"/>
              </w:rPr>
            </w:pPr>
            <w:r>
              <w:rPr>
                <w:rFonts w:ascii="Arial" w:cs="Arial" w:eastAsia="Arial" w:hAnsi="Arial"/>
                <w:sz w:val="18"/>
                <w:szCs w:val="18"/>
                <w:color w:val="auto"/>
                <w:w w:val="95"/>
              </w:rPr>
              <w:t>Sancuso contribution</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4,393,900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0"/>
        </w:trPr>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2022 net revenue includes a $250,000 payment to Cumberland required under the terms of a new licensee agreement.</w:t>
      </w:r>
    </w:p>
    <w:p>
      <w:pPr>
        <w:spacing w:after="0" w:line="97" w:lineRule="exact"/>
        <w:rPr>
          <w:rFonts w:ascii="Arial" w:cs="Arial" w:eastAsia="Arial" w:hAnsi="Arial"/>
          <w:sz w:val="9"/>
          <w:szCs w:val="9"/>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six months ended June 30, 2022, and six months ended June 30, 2021, totaled approximately $3.1 million and $2.3 million, respectively. The increase was attributable to the Sancuso acquisition.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(benefit) for the six months ended June 30, 2022, as a percentage of income (loss) from continuing operations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was 0.5% compared to 3.8% for the six months ended June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 the second quarter of 2022, we recognized a gain on insurance proceeds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June 30,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2021</w:t>
            </w:r>
          </w:p>
        </w:tc>
      </w:tr>
      <w:tr>
        <w:trPr>
          <w:trHeight w:val="102"/>
        </w:trPr>
        <w:tc>
          <w:tcPr>
            <w:tcW w:w="66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18,216,565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19,496,529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26,409,053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changes in cash and cash equivalents for the six months ended June 30, 2022 and June 30,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88"/>
        </w:trPr>
        <w:tc>
          <w:tcPr>
            <w:tcW w:w="6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2,180,038</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4,484,770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(13,714,489)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(366,854)</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2,710,200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(3,201,250)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(8,824,251)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$8.8 million decrease in cash and cash equivalents for the six months ended June 30, 2022, was primarily attributable to cash used in investing and partially offset by cash provided by operating and financing activities. Cash provided by operating activities of $2.2 million was primarily the result of a decreases in inventory of $2.9 million, decrease in other assets of $1.2 million and increases in accounts payable and other liabilities of $4.7 million, as well as the add back of non-cash expenses of depreciation, amortization and share-based compensation expense totaling $3.4 million. This was partially offset by accounts receivable increasing by $5.5 million, mainly from the addition of Sancuso sales and the decrease in long-term liabilities of $1.7 million. Cash used in investing activities was the result of the acquisition of Sancuso. Our financing activities included the increase in our line of credit of $4.0 million partially offset by the $0.8 million in cash used to repurchase shares of our common stock as well as the $0.5 million used for the payment of royalties for sales of Vibativ.</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net $0.9 million increase in cash and cash equivalents for the six months ended June 30, 2021, was primarily attributable to cash provided by operating activities, partially offset by cash used in investing and financing activities. Cash provided by operating activities of $4.5 million was positively impacted by decreases in inventory of $2.3 million and accounts receivable of $3.2 million, as well as the add back of non-cash expenses of depreciation, amortization and share-based compensation expense totaling $2.8 million. Operating activities were also offset by the decrease in accounts payable of $3.0 million and the forgiveness of our PPP Loan of $2.2 million. Cash used in investing activities was the result of additions to intangibles of $0.1 million and the payment of $0.2 million to the WHC JV. Our financing activities included the $0.8 million in cash used to repurchase shares of our common stock as well as the $1.4 million used for the payment of royalties to Theravance for sales of Vibativ.</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2022, the Company entered into the Eighth Amendment to the Revolving Credit Loan Agreement with Pinnacle Bank (the "Pinnacle Agreement") permitting the Maximum Funded Debt Ratio to be calculated on a rolling four-quarter basis to be no more than 3.00 to 1.00 for the second and third quarters of 2022 and 2.50 to 1.00 for each quarter thereafter. For the quarter ended June 30, 2022, we slightly exceeded the Maximum Funded Debt Ratio, but we relied on our provision in the latest amendment to address it.</w:t>
      </w:r>
    </w:p>
    <w:p>
      <w:pPr>
        <w:spacing w:after="0" w:line="1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28, 2021, the Company and Pinnacle Bank entered into a Fourth Amendment to the Revolving Credit Note and Fifth Amendment ("Fifth Amendment") to the Revolving Credit Loan Agreement to renew the Revolving Credit Loan.</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3.87% at June 30,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Company had $19.0 million and $15.0 million, respectively, in borrowings outstanding under its revolving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qualifying payroll costs, covered rent payments, and covered utilities. Cumberland used the PPP loan funds for such qualifying expenses. Due to assistance from our PPP loan, the Company did not lay off or furlough any employees as a result of the COVID-19 pandemic.</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2020, Cumberland submitted a request for the loan’s forgiveness. On June 11, 2021, the Company received a formal notice from the SBA that the full amount of the loan was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and 2021, we did not engage in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2022.</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interest rate risk related to borrowings under our line of credit is based on LIBOR plus an interest rate spread. The current pricing under the Pinnacle Agreement provides for an interest rate spread of 1.75% to 2.75% above LIBOR with a minimum LIBOR of 0.90%. The applicable interest rate under the Pinnacle Agreement was 3.87% at June 30, 2022. As of June 30, 2022, we had $19.0 million in borrowings outstanding under our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2022 and 2021.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2022,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developments with regard to the legal proceedings previously disclosed in the Company's Annual Report on Form 10-K for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other information set forth in this quarterly report, an investor should consider the risk factors included in the Company's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June 30, 2022:</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6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63"/>
              <w:spacing w:after="0" w:line="13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1940" w:type="dxa"/>
            <w:vAlign w:val="bottom"/>
          </w:tcPr>
          <w:p>
            <w:pPr>
              <w:jc w:val="center"/>
              <w:ind w:right="163"/>
              <w:spacing w:after="0" w:line="158"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or Units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tcPr>
          <w:p>
            <w:pPr>
              <w:jc w:val="center"/>
              <w:ind w:right="143"/>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which were also Part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the Publicly Announced Plans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per Share</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40" w:type="dxa"/>
            <w:vAlign w:val="bottom"/>
          </w:tcPr>
          <w:p>
            <w:pPr>
              <w:spacing w:after="0"/>
              <w:rPr>
                <w:sz w:val="17"/>
                <w:szCs w:val="17"/>
                <w:color w:val="auto"/>
              </w:rPr>
            </w:pPr>
          </w:p>
        </w:tc>
        <w:tc>
          <w:tcPr>
            <w:tcW w:w="194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28,036</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4,138,402</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May</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31,608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4,065,543</w:t>
            </w:r>
          </w:p>
        </w:tc>
        <w:tc>
          <w:tcPr>
            <w:tcW w:w="0" w:type="dxa"/>
            <w:vAlign w:val="bottom"/>
          </w:tcPr>
          <w:p>
            <w:pPr>
              <w:spacing w:after="0"/>
              <w:rPr>
                <w:sz w:val="1"/>
                <w:szCs w:val="1"/>
                <w:color w:val="auto"/>
              </w:rPr>
            </w:pPr>
          </w:p>
        </w:tc>
      </w:tr>
      <w:tr>
        <w:trPr>
          <w:trHeight w:val="148"/>
        </w:trPr>
        <w:tc>
          <w:tcPr>
            <w:tcW w:w="4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23,673</w:t>
            </w:r>
          </w:p>
        </w:tc>
        <w:tc>
          <w:tcPr>
            <w:tcW w:w="42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95"/>
              </w:rPr>
              <w:t>(1)</w:t>
            </w:r>
          </w:p>
        </w:tc>
        <w:tc>
          <w:tcPr>
            <w:tcW w:w="3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4,016,898</w:t>
            </w:r>
          </w:p>
        </w:tc>
        <w:tc>
          <w:tcPr>
            <w:tcW w:w="0" w:type="dxa"/>
            <w:vAlign w:val="bottom"/>
          </w:tcPr>
          <w:p>
            <w:pPr>
              <w:spacing w:after="0"/>
              <w:rPr>
                <w:sz w:val="1"/>
                <w:szCs w:val="1"/>
                <w:color w:val="auto"/>
              </w:rPr>
            </w:pPr>
          </w:p>
        </w:tc>
      </w:tr>
      <w:tr>
        <w:trPr>
          <w:trHeight w:val="86"/>
        </w:trPr>
        <w:tc>
          <w:tcPr>
            <w:tcW w:w="4280" w:type="dxa"/>
            <w:vAlign w:val="bottom"/>
            <w:vMerge w:val="continue"/>
            <w:shd w:val="clear" w:color="auto" w:fill="CCEEFF"/>
          </w:tcPr>
          <w:p>
            <w:pPr>
              <w:spacing w:after="0"/>
              <w:rPr>
                <w:sz w:val="7"/>
                <w:szCs w:val="7"/>
                <w:color w:val="auto"/>
              </w:rPr>
            </w:pPr>
          </w:p>
        </w:tc>
        <w:tc>
          <w:tcPr>
            <w:tcW w:w="2180" w:type="dxa"/>
            <w:vAlign w:val="bottom"/>
            <w:tcBorders>
              <w:bottom w:val="single" w:sz="8" w:color="auto"/>
            </w:tcBorders>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83,317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540" w:right="1340" w:hanging="5532"/>
        <w:spacing w:after="0" w:line="966" w:lineRule="auto"/>
        <w:tabs>
          <w:tab w:leader="none" w:pos="195"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Of this amount, 424 shares were repurchased directly through private purchases at the then-current fair market value of common stock.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No.</w:t>
            </w:r>
          </w:p>
        </w:tc>
        <w:tc>
          <w:tcPr>
            <w:tcW w:w="8440" w:type="dxa"/>
            <w:vAlign w:val="bottom"/>
            <w:gridSpan w:val="7"/>
          </w:tcPr>
          <w:p>
            <w:pPr>
              <w:spacing w:after="0"/>
              <w:rPr>
                <w:sz w:val="20"/>
                <w:szCs w:val="20"/>
                <w:color w:val="auto"/>
              </w:rPr>
            </w:pPr>
            <w:r>
              <w:rPr>
                <w:rFonts w:ascii="Arial" w:cs="Arial" w:eastAsia="Arial" w:hAnsi="Arial"/>
                <w:sz w:val="18"/>
                <w:szCs w:val="18"/>
                <w:color w:val="auto"/>
              </w:rPr>
              <w:t>Description</w:t>
            </w: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8440" w:type="dxa"/>
            <w:vAlign w:val="bottom"/>
            <w:gridSpan w:val="7"/>
          </w:tcPr>
          <w:p>
            <w:pPr>
              <w:spacing w:after="0"/>
              <w:rPr>
                <w:sz w:val="20"/>
                <w:szCs w:val="20"/>
                <w:color w:val="auto"/>
              </w:rPr>
            </w:pPr>
            <w:r>
              <w:rPr>
                <w:rFonts w:ascii="Arial" w:cs="Arial" w:eastAsia="Arial" w:hAnsi="Arial"/>
                <w:sz w:val="18"/>
                <w:szCs w:val="18"/>
                <w:color w:val="0000FF"/>
                <w:w w:val="92"/>
              </w:rPr>
              <w:t>Eighth Amendment to Revolving Credit Loan Agreement, dated as of June 30, 2022, by and between Cumberland</w:t>
            </w:r>
          </w:p>
        </w:tc>
      </w:tr>
      <w:tr>
        <w:trPr>
          <w:trHeight w:val="169"/>
        </w:trPr>
        <w:tc>
          <w:tcPr>
            <w:tcW w:w="1360" w:type="dxa"/>
            <w:vAlign w:val="bottom"/>
          </w:tcPr>
          <w:p>
            <w:pPr>
              <w:spacing w:after="0"/>
              <w:rPr>
                <w:sz w:val="14"/>
                <w:szCs w:val="14"/>
                <w:color w:val="auto"/>
              </w:rPr>
            </w:pPr>
          </w:p>
        </w:tc>
        <w:tc>
          <w:tcPr>
            <w:tcW w:w="842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Pharmaceuticals Inc. and Pinnacle Bank.</w:t>
            </w: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8"/>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8440" w:type="dxa"/>
            <w:vAlign w:val="bottom"/>
            <w:gridSpan w:val="7"/>
          </w:tcPr>
          <w:p>
            <w:pPr>
              <w:spacing w:after="0"/>
              <w:rPr>
                <w:sz w:val="20"/>
                <w:szCs w:val="20"/>
                <w:color w:val="auto"/>
              </w:rPr>
            </w:pPr>
            <w:r>
              <w:rPr>
                <w:rFonts w:ascii="Arial" w:cs="Arial" w:eastAsia="Arial" w:hAnsi="Arial"/>
                <w:sz w:val="18"/>
                <w:szCs w:val="18"/>
                <w:color w:val="0000FF"/>
                <w:w w:val="98"/>
              </w:rPr>
              <w:t>Certification of Chief Executive Officer Pursuant to Rule 13-14(a) of the Securities Exchange Act of 1934 as</w:t>
            </w:r>
          </w:p>
        </w:tc>
      </w:tr>
      <w:tr>
        <w:trPr>
          <w:trHeight w:val="156"/>
        </w:trPr>
        <w:tc>
          <w:tcPr>
            <w:tcW w:w="13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3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8440" w:type="dxa"/>
            <w:vAlign w:val="bottom"/>
            <w:gridSpan w:val="7"/>
          </w:tcPr>
          <w:p>
            <w:pPr>
              <w:spacing w:after="0"/>
              <w:rPr>
                <w:sz w:val="20"/>
                <w:szCs w:val="20"/>
                <w:color w:val="auto"/>
              </w:rPr>
            </w:pPr>
            <w:r>
              <w:rPr>
                <w:rFonts w:ascii="Arial" w:cs="Arial" w:eastAsia="Arial" w:hAnsi="Arial"/>
                <w:sz w:val="18"/>
                <w:szCs w:val="18"/>
                <w:color w:val="0000FF"/>
                <w:w w:val="99"/>
              </w:rPr>
              <w:t>Certification of Chief Financial Officer Pursuant to Rule 13-14(a) of the Securities Exchange Act of 1934 as</w:t>
            </w:r>
          </w:p>
        </w:tc>
      </w:tr>
      <w:tr>
        <w:trPr>
          <w:trHeight w:val="156"/>
        </w:trPr>
        <w:tc>
          <w:tcPr>
            <w:tcW w:w="13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34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8440" w:type="dxa"/>
            <w:vAlign w:val="bottom"/>
            <w:gridSpan w:val="7"/>
          </w:tcPr>
          <w:p>
            <w:pPr>
              <w:spacing w:after="0"/>
              <w:rPr>
                <w:sz w:val="20"/>
                <w:szCs w:val="20"/>
                <w:color w:val="auto"/>
              </w:rPr>
            </w:pPr>
            <w:r>
              <w:rPr>
                <w:rFonts w:ascii="Arial" w:cs="Arial" w:eastAsia="Arial" w:hAnsi="Arial"/>
                <w:sz w:val="18"/>
                <w:szCs w:val="18"/>
                <w:color w:val="0000FF"/>
                <w:w w:val="95"/>
              </w:rPr>
              <w:t>Certification of Chief Executive and Principal Financial Officer Pursuant to 18 U.S.C. Section 1350, as Adopted</w:t>
            </w:r>
          </w:p>
        </w:tc>
      </w:tr>
      <w:tr>
        <w:trPr>
          <w:trHeight w:val="156"/>
        </w:trPr>
        <w:tc>
          <w:tcPr>
            <w:tcW w:w="1360" w:type="dxa"/>
            <w:vAlign w:val="bottom"/>
          </w:tcPr>
          <w:p>
            <w:pPr>
              <w:spacing w:after="0"/>
              <w:rPr>
                <w:sz w:val="13"/>
                <w:szCs w:val="13"/>
                <w:color w:val="auto"/>
              </w:rPr>
            </w:pPr>
          </w:p>
        </w:tc>
        <w:tc>
          <w:tcPr>
            <w:tcW w:w="84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r>
      <w:tr>
        <w:trPr>
          <w:trHeight w:val="371"/>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 APPEAR IN THE</w:t>
            </w:r>
          </w:p>
        </w:tc>
      </w:tr>
      <w:tr>
        <w:trPr>
          <w:trHeight w:val="188"/>
        </w:trPr>
        <w:tc>
          <w:tcPr>
            <w:tcW w:w="1360" w:type="dxa"/>
            <w:vAlign w:val="bottom"/>
          </w:tcPr>
          <w:p>
            <w:pPr>
              <w:spacing w:after="0"/>
              <w:rPr>
                <w:sz w:val="16"/>
                <w:szCs w:val="16"/>
                <w:color w:val="auto"/>
              </w:rPr>
            </w:pPr>
          </w:p>
        </w:tc>
        <w:tc>
          <w:tcPr>
            <w:tcW w:w="8440" w:type="dxa"/>
            <w:vAlign w:val="bottom"/>
            <w:gridSpan w:val="7"/>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 XBRL</w:t>
            </w:r>
          </w:p>
        </w:tc>
      </w:tr>
      <w:tr>
        <w:trPr>
          <w:trHeight w:val="230"/>
        </w:trPr>
        <w:tc>
          <w:tcPr>
            <w:tcW w:w="1360" w:type="dxa"/>
            <w:vAlign w:val="bottom"/>
          </w:tcPr>
          <w:p>
            <w:pPr>
              <w:spacing w:after="0"/>
              <w:rPr>
                <w:sz w:val="20"/>
                <w:szCs w:val="20"/>
                <w:color w:val="auto"/>
              </w:rPr>
            </w:pPr>
          </w:p>
        </w:tc>
        <w:tc>
          <w:tcPr>
            <w:tcW w:w="844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84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4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COVER PAGE INTERACTIVE DATA FILE (FORMATTED AS INLINE XBRL AND CONTAINED IN</w:t>
      </w:r>
    </w:p>
    <w:p>
      <w:pPr>
        <w:jc w:val="both"/>
        <w:ind w:left="1000" w:right="7659" w:hanging="974"/>
        <w:spacing w:after="0" w:line="421"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EXHIBIT 101) * Filed herewith.</w:t>
      </w:r>
    </w:p>
    <w:p>
      <w:pPr>
        <w:spacing w:after="0" w:line="1" w:lineRule="exact"/>
        <w:rPr>
          <w:rFonts w:ascii="Arial" w:cs="Arial" w:eastAsia="Arial" w:hAnsi="Arial"/>
          <w:sz w:val="17"/>
          <w:szCs w:val="17"/>
          <w:color w:val="auto"/>
        </w:rPr>
      </w:pPr>
    </w:p>
    <w:p>
      <w:pPr>
        <w:ind w:left="1380" w:hanging="382"/>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6760" w:type="dxa"/>
            <w:vAlign w:val="bottom"/>
            <w:gridSpan w:val="2"/>
          </w:tcPr>
          <w:p>
            <w:pPr>
              <w:ind w:left="20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August 12, 2022</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John Hamm</w:t>
            </w:r>
          </w:p>
        </w:tc>
      </w:tr>
      <w:tr>
        <w:trPr>
          <w:trHeight w:val="222"/>
        </w:trPr>
        <w:tc>
          <w:tcPr>
            <w:tcW w:w="3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John Hamm</w:t>
            </w:r>
          </w:p>
        </w:tc>
      </w:tr>
      <w:tr>
        <w:trPr>
          <w:trHeight w:val="230"/>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w w:val="98"/>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5"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EIGHTH AMENDMENT TO REVOLVING CREDIT LOAN AGREEMENT</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THIS EIGHTH AMENDMENT TO REVOL YING CREDIT LOAN AGREEMENT (this</w:t>
      </w:r>
    </w:p>
    <w:p>
      <w:pPr>
        <w:spacing w:after="0" w:line="25" w:lineRule="exact"/>
        <w:rPr>
          <w:sz w:val="20"/>
          <w:szCs w:val="20"/>
          <w:color w:val="auto"/>
        </w:rPr>
      </w:pPr>
    </w:p>
    <w:p>
      <w:pPr>
        <w:ind w:right="20" w:firstLine="1537"/>
        <w:spacing w:after="0" w:line="320" w:lineRule="auto"/>
        <w:rPr>
          <w:sz w:val="20"/>
          <w:szCs w:val="20"/>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is entered into as of June 30, 2022 by and between CUMBERLAND PHARMACEUTICALS INC.,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Tennessee corporation </w:t>
      </w:r>
      <w:r>
        <w:rPr>
          <w:rFonts w:ascii="Arial" w:cs="Arial" w:eastAsia="Arial" w:hAnsi="Arial"/>
          <w:sz w:val="17"/>
          <w:szCs w:val="17"/>
          <w:b w:val="1"/>
          <w:bCs w:val="1"/>
          <w:color w:val="auto"/>
        </w:rPr>
        <w:t>("Borrower"),</w:t>
      </w:r>
      <w:r>
        <w:rPr>
          <w:rFonts w:ascii="Arial" w:cs="Arial" w:eastAsia="Arial" w:hAnsi="Arial"/>
          <w:sz w:val="18"/>
          <w:szCs w:val="18"/>
          <w:color w:val="auto"/>
        </w:rPr>
        <w:t xml:space="preserve"> and PINNACLE BANK, a Tennessee banking corporation (the </w:t>
      </w:r>
      <w:r>
        <w:rPr>
          <w:rFonts w:ascii="Arial" w:cs="Arial" w:eastAsia="Arial" w:hAnsi="Arial"/>
          <w:sz w:val="17"/>
          <w:szCs w:val="17"/>
          <w:b w:val="1"/>
          <w:bCs w:val="1"/>
          <w:color w:val="auto"/>
        </w:rPr>
        <w:t>"Lender").</w:t>
      </w:r>
    </w:p>
    <w:p>
      <w:pPr>
        <w:spacing w:after="0" w:line="14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RECITALS:</w:t>
      </w:r>
    </w:p>
    <w:p>
      <w:pPr>
        <w:spacing w:after="0" w:line="261" w:lineRule="exact"/>
        <w:rPr>
          <w:sz w:val="20"/>
          <w:szCs w:val="20"/>
          <w:color w:val="auto"/>
        </w:rPr>
      </w:pPr>
    </w:p>
    <w:p>
      <w:pPr>
        <w:jc w:val="both"/>
        <w:ind w:left="660" w:hanging="328"/>
        <w:spacing w:after="0" w:line="254" w:lineRule="auto"/>
        <w:tabs>
          <w:tab w:leader="none" w:pos="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Borrower and the Lender entered into that certain Revolving Credit Loan Agreement dated as of July 31, 2017, as amended by that certain First Amendment to Revolving Credit Loan Agreement dated August 14, 2018, as amended by that certain First Amendment to Revolving Credit Note and Second Amendment to Revolving Credit Loan Agreement dated October 17, 2018, as amended by that certain Second Amendment to Revolving Credit Note and Third Amendment to Revolving Credit Loan Agreement dated May 10, 2019, as amended by that certain Third Amendment to Revolving Credit Note and Fourth Amendment to Revolving Credit Loan Agreement dated October 7, 2020, as amended by that certain Fourth Amendment to Revolving Credit Note and Fifth Amendment to Revolving Credit Loan Agreement dated as of October 28, 2021, as amended by that certain Fifth Amendment to Revolving Credit Note and Sixth Amendment to Revolving Credit Loan Agreement dated as of December 31, 2021, and as amended by that certain Seventh Amendment to Revolving Credit Loan Agreement dated as of March 31, 2022(the </w:t>
      </w:r>
      <w:r>
        <w:rPr>
          <w:rFonts w:ascii="Arial" w:cs="Arial" w:eastAsia="Arial" w:hAnsi="Arial"/>
          <w:sz w:val="16"/>
          <w:szCs w:val="16"/>
          <w:b w:val="1"/>
          <w:bCs w:val="1"/>
          <w:color w:val="auto"/>
        </w:rPr>
        <w:t>"Loan Agreement").</w:t>
      </w:r>
      <w:r>
        <w:rPr>
          <w:rFonts w:ascii="Arial" w:cs="Arial" w:eastAsia="Arial" w:hAnsi="Arial"/>
          <w:sz w:val="18"/>
          <w:szCs w:val="18"/>
          <w:color w:val="auto"/>
        </w:rPr>
        <w:t xml:space="preserve"> Capitalized terms not otherwise defined therein have the same meaning as set forth in the Loan Agreement.</w:t>
      </w:r>
    </w:p>
    <w:p>
      <w:pPr>
        <w:spacing w:after="0" w:line="22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Borrower and the Lender desire to amend the Loan Agreement as provided herein.</w:t>
      </w:r>
    </w:p>
    <w:p>
      <w:pPr>
        <w:spacing w:after="0" w:line="254" w:lineRule="exact"/>
        <w:rPr>
          <w:sz w:val="20"/>
          <w:szCs w:val="20"/>
          <w:color w:val="auto"/>
        </w:rPr>
      </w:pPr>
    </w:p>
    <w:p>
      <w:pPr>
        <w:ind w:firstLine="2142"/>
        <w:spacing w:after="0" w:line="261" w:lineRule="auto"/>
        <w:rPr>
          <w:sz w:val="20"/>
          <w:szCs w:val="20"/>
          <w:color w:val="auto"/>
        </w:rPr>
      </w:pPr>
      <w:r>
        <w:rPr>
          <w:rFonts w:ascii="Arial" w:cs="Arial" w:eastAsia="Arial" w:hAnsi="Arial"/>
          <w:sz w:val="19"/>
          <w:szCs w:val="19"/>
          <w:color w:val="auto"/>
        </w:rPr>
        <w:t>NOW, THEREFORE, in consideration of the premises and for other good and valuable consideration, the receipt and adequacy of which is hereby acknowledged, the parties hereto agree as follows:</w:t>
      </w:r>
    </w:p>
    <w:p>
      <w:pPr>
        <w:spacing w:after="0" w:line="18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9"/>
          <w:szCs w:val="19"/>
          <w:color w:val="auto"/>
        </w:rPr>
      </w:pP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w:t>
      </w:r>
      <w:r>
        <w:rPr>
          <w:rFonts w:ascii="Arial" w:cs="Arial" w:eastAsia="Arial" w:hAnsi="Arial"/>
          <w:sz w:val="18"/>
          <w:szCs w:val="18"/>
          <w:color w:val="auto"/>
        </w:rPr>
        <w:t>of the Loan Agreement is hereby amended and restated as follows:</w:t>
      </w:r>
    </w:p>
    <w:p>
      <w:pPr>
        <w:spacing w:after="0" w:line="220" w:lineRule="exact"/>
        <w:rPr>
          <w:sz w:val="20"/>
          <w:szCs w:val="20"/>
          <w:color w:val="auto"/>
        </w:rPr>
      </w:pPr>
    </w:p>
    <w:p>
      <w:pPr>
        <w:ind w:right="20" w:firstLine="2777"/>
        <w:spacing w:after="0" w:line="262" w:lineRule="auto"/>
        <w:rPr>
          <w:sz w:val="20"/>
          <w:szCs w:val="20"/>
          <w:color w:val="auto"/>
        </w:rPr>
      </w:pPr>
      <w:r>
        <w:rPr>
          <w:rFonts w:ascii="Arial" w:cs="Arial" w:eastAsia="Arial" w:hAnsi="Arial"/>
          <w:sz w:val="19"/>
          <w:szCs w:val="19"/>
          <w:color w:val="auto"/>
        </w:rPr>
        <w:t xml:space="preserve">6.7 </w:t>
      </w:r>
      <w:r>
        <w:rPr>
          <w:rFonts w:ascii="Arial" w:cs="Arial" w:eastAsia="Arial" w:hAnsi="Arial"/>
          <w:sz w:val="21"/>
          <w:szCs w:val="21"/>
          <w:u w:val="single" w:color="auto"/>
          <w:color w:val="auto"/>
        </w:rPr>
        <w:t>Maximum Funded Debt R</w:t>
      </w:r>
      <w:r>
        <w:rPr>
          <w:rFonts w:ascii="Arial" w:cs="Arial" w:eastAsia="Arial" w:hAnsi="Arial"/>
          <w:sz w:val="19"/>
          <w:szCs w:val="19"/>
          <w:color w:val="auto"/>
        </w:rPr>
        <w:t>atio. Permit the Funded Debt Ratio of Borrower, as calculated on a rolling four quarter basis for Borrower and its Subsidiaries, to exceed the following ratios as of the dates set forth below:</w:t>
      </w:r>
    </w:p>
    <w:tbl>
      <w:tblPr>
        <w:tblLayout w:type="fixed"/>
        <w:tblInd w:w="1210" w:type="dxa"/>
        <w:tblCellMar>
          <w:top w:w="0" w:type="dxa"/>
          <w:left w:w="0" w:type="dxa"/>
          <w:bottom w:w="0" w:type="dxa"/>
          <w:right w:w="0" w:type="dxa"/>
        </w:tblCellMar>
      </w:tblPr>
      <w:tr>
        <w:trPr>
          <w:trHeight w:val="220"/>
        </w:trPr>
        <w:tc>
          <w:tcPr>
            <w:tcW w:w="4460" w:type="dxa"/>
            <w:vAlign w:val="bottom"/>
            <w:tcBorders>
              <w:top w:val="single" w:sz="8" w:color="auto"/>
              <w:left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Measurement Date</w:t>
            </w:r>
          </w:p>
        </w:tc>
        <w:tc>
          <w:tcPr>
            <w:tcW w:w="44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Maximum Ratio</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tcPr>
          <w:p>
            <w:pPr>
              <w:spacing w:after="0" w:line="20" w:lineRule="exact"/>
              <w:rPr>
                <w:sz w:val="1"/>
                <w:szCs w:val="1"/>
                <w:color w:val="auto"/>
              </w:rPr>
            </w:pPr>
          </w:p>
        </w:tc>
      </w:tr>
      <w:tr>
        <w:trPr>
          <w:trHeight w:val="238"/>
        </w:trPr>
        <w:tc>
          <w:tcPr>
            <w:tcW w:w="4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June 30, 2022 and September 30</w:t>
            </w:r>
          </w:p>
        </w:tc>
        <w:tc>
          <w:tcPr>
            <w:tcW w:w="4420" w:type="dxa"/>
            <w:vAlign w:val="bottom"/>
            <w:tcBorders>
              <w:right w:val="single" w:sz="8" w:color="auto"/>
            </w:tcBorders>
          </w:tcPr>
          <w:p>
            <w:pPr>
              <w:ind w:left="1460"/>
              <w:spacing w:after="0"/>
              <w:rPr>
                <w:sz w:val="20"/>
                <w:szCs w:val="20"/>
                <w:color w:val="auto"/>
              </w:rPr>
            </w:pPr>
            <w:r>
              <w:rPr>
                <w:rFonts w:ascii="Arial" w:cs="Arial" w:eastAsia="Arial" w:hAnsi="Arial"/>
                <w:sz w:val="19"/>
                <w:szCs w:val="19"/>
                <w:color w:val="auto"/>
              </w:rPr>
              <w:t>3.00 to 1.</w:t>
            </w:r>
          </w:p>
        </w:tc>
      </w:tr>
      <w:tr>
        <w:trPr>
          <w:trHeight w:val="25"/>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83"/>
        </w:trPr>
        <w:tc>
          <w:tcPr>
            <w:tcW w:w="446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19"/>
                <w:szCs w:val="19"/>
                <w:color w:val="auto"/>
                <w:w w:val="94"/>
              </w:rPr>
              <w:t xml:space="preserve">December 31, 2022 and each </w:t>
            </w:r>
            <w:r>
              <w:rPr>
                <w:rFonts w:ascii="Arial" w:cs="Arial" w:eastAsia="Arial" w:hAnsi="Arial"/>
                <w:sz w:val="21"/>
                <w:szCs w:val="21"/>
                <w:color w:val="auto"/>
                <w:w w:val="94"/>
              </w:rPr>
              <w:t>March</w:t>
            </w:r>
            <w:r>
              <w:rPr>
                <w:rFonts w:ascii="Arial" w:cs="Arial" w:eastAsia="Arial" w:hAnsi="Arial"/>
                <w:sz w:val="19"/>
                <w:szCs w:val="19"/>
                <w:color w:val="auto"/>
                <w:w w:val="94"/>
              </w:rPr>
              <w:t xml:space="preserve"> 31s</w:t>
            </w:r>
            <w:r>
              <w:rPr>
                <w:rFonts w:ascii="Arial" w:cs="Arial" w:eastAsia="Arial" w:hAnsi="Arial"/>
                <w:sz w:val="21"/>
                <w:szCs w:val="21"/>
                <w:color w:val="auto"/>
                <w:w w:val="94"/>
              </w:rPr>
              <w:t>i, Ju</w:t>
            </w:r>
            <w:r>
              <w:rPr>
                <w:rFonts w:ascii="Arial" w:cs="Arial" w:eastAsia="Arial" w:hAnsi="Arial"/>
                <w:sz w:val="19"/>
                <w:szCs w:val="19"/>
                <w:color w:val="auto"/>
                <w:w w:val="94"/>
              </w:rPr>
              <w:t>ne 30th,</w:t>
            </w:r>
          </w:p>
        </w:tc>
        <w:tc>
          <w:tcPr>
            <w:tcW w:w="4420" w:type="dxa"/>
            <w:vAlign w:val="bottom"/>
            <w:tcBorders>
              <w:right w:val="single" w:sz="8" w:color="auto"/>
            </w:tcBorders>
          </w:tcPr>
          <w:p>
            <w:pPr>
              <w:ind w:left="1460"/>
              <w:spacing w:after="0" w:line="183" w:lineRule="exact"/>
              <w:rPr>
                <w:sz w:val="20"/>
                <w:szCs w:val="20"/>
                <w:color w:val="auto"/>
              </w:rPr>
            </w:pPr>
            <w:r>
              <w:rPr>
                <w:rFonts w:ascii="Arial" w:cs="Arial" w:eastAsia="Arial" w:hAnsi="Arial"/>
                <w:sz w:val="19"/>
                <w:szCs w:val="19"/>
                <w:color w:val="auto"/>
              </w:rPr>
              <w:t>2.50 to 1.</w:t>
            </w:r>
          </w:p>
        </w:tc>
      </w:tr>
      <w:tr>
        <w:trPr>
          <w:trHeight w:val="270"/>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Sept</w:t>
            </w:r>
            <w:r>
              <w:rPr>
                <w:rFonts w:ascii="Arial" w:cs="Arial" w:eastAsia="Arial" w:hAnsi="Arial"/>
                <w:sz w:val="18"/>
                <w:szCs w:val="18"/>
                <w:color w:val="auto"/>
              </w:rPr>
              <w:t>ember 30th</w:t>
            </w:r>
            <w:r>
              <w:rPr>
                <w:rFonts w:ascii="Arial" w:cs="Arial" w:eastAsia="Arial" w:hAnsi="Arial"/>
                <w:sz w:val="22"/>
                <w:szCs w:val="22"/>
                <w:color w:val="auto"/>
              </w:rPr>
              <w:t xml:space="preserve"> and </w:t>
            </w:r>
            <w:r>
              <w:rPr>
                <w:rFonts w:ascii="Arial" w:cs="Arial" w:eastAsia="Arial" w:hAnsi="Arial"/>
                <w:sz w:val="18"/>
                <w:szCs w:val="18"/>
                <w:color w:val="auto"/>
              </w:rPr>
              <w:t>December</w:t>
            </w:r>
          </w:p>
        </w:tc>
        <w:tc>
          <w:tcPr>
            <w:tcW w:w="44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35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9"/>
          <w:szCs w:val="19"/>
          <w:color w:val="auto"/>
        </w:rPr>
      </w:pP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w:t>
      </w:r>
      <w:r>
        <w:rPr>
          <w:rFonts w:ascii="Arial" w:cs="Arial" w:eastAsia="Arial" w:hAnsi="Arial"/>
          <w:sz w:val="18"/>
          <w:szCs w:val="18"/>
          <w:color w:val="auto"/>
        </w:rPr>
        <w:t>of the Loan Agreement is hereby amended and restated as follows:</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20"/>
          <w:szCs w:val="20"/>
          <w:u w:val="single" w:color="auto"/>
          <w:color w:val="auto"/>
        </w:rPr>
        <w:t>Liquiditv C</w:t>
      </w:r>
      <w:r>
        <w:rPr>
          <w:rFonts w:ascii="Arial" w:cs="Arial" w:eastAsia="Arial" w:hAnsi="Arial"/>
          <w:sz w:val="18"/>
          <w:szCs w:val="18"/>
          <w:color w:val="auto"/>
        </w:rPr>
        <w:t xml:space="preserve">ure. For a three (3) day period after the occurrence of an Event of Default under </w:t>
      </w:r>
      <w:r>
        <w:rPr>
          <w:rFonts w:ascii="Arial" w:cs="Arial" w:eastAsia="Arial" w:hAnsi="Arial"/>
          <w:sz w:val="20"/>
          <w:szCs w:val="20"/>
          <w:u w:val="single" w:color="auto"/>
          <w:color w:val="auto"/>
        </w:rPr>
        <w:t>Section</w:t>
      </w:r>
    </w:p>
    <w:p>
      <w:pPr>
        <w:spacing w:after="0" w:line="4"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u w:val="single" w:color="auto"/>
          <w:color w:val="auto"/>
        </w:rPr>
        <w:t>6</w:t>
      </w:r>
      <w:r>
        <w:rPr>
          <w:rFonts w:ascii="Arial" w:cs="Arial" w:eastAsia="Arial" w:hAnsi="Arial"/>
          <w:sz w:val="18"/>
          <w:szCs w:val="18"/>
          <w:color w:val="auto"/>
        </w:rPr>
        <w:t>.7. hereof (such Event of Default being deemed to have occurred on the date on which the Compliance Certificate for such period is required to</w:t>
      </w:r>
      <w:r>
        <w:rPr>
          <w:rFonts w:ascii="Arial" w:cs="Arial" w:eastAsia="Arial" w:hAnsi="Arial"/>
          <w:sz w:val="22"/>
          <w:szCs w:val="22"/>
          <w:color w:val="auto"/>
        </w:rPr>
        <w:t xml:space="preserve"> </w:t>
      </w:r>
      <w:r>
        <w:rPr>
          <w:rFonts w:ascii="Arial" w:cs="Arial" w:eastAsia="Arial" w:hAnsi="Arial"/>
          <w:sz w:val="18"/>
          <w:szCs w:val="18"/>
          <w:color w:val="auto"/>
        </w:rPr>
        <w:t xml:space="preserve">be delivered pursuant to Section </w:t>
      </w:r>
      <w:r>
        <w:rPr>
          <w:rFonts w:ascii="Arial" w:cs="Arial" w:eastAsia="Arial" w:hAnsi="Arial"/>
          <w:sz w:val="21"/>
          <w:szCs w:val="21"/>
          <w:color w:val="auto"/>
        </w:rPr>
        <w:t>5.l(c)</w:t>
      </w:r>
      <w:r>
        <w:rPr>
          <w:rFonts w:ascii="Arial" w:cs="Arial" w:eastAsia="Arial" w:hAnsi="Arial"/>
          <w:sz w:val="18"/>
          <w:szCs w:val="18"/>
          <w:color w:val="auto"/>
        </w:rPr>
        <w:t xml:space="preserve"> hereof), Borrower may cure such Event of Default by paying down the Loan in an</w:t>
      </w:r>
    </w:p>
    <w:p>
      <w:pPr>
        <w:spacing w:after="0" w:line="26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I 05639-30 I 0 I 0</w:t>
      </w:r>
    </w:p>
    <w:p>
      <w:pPr>
        <w:sectPr>
          <w:pgSz w:w="11900" w:h="16838" w:orient="portrait"/>
          <w:cols w:equalWidth="0" w:num="1">
            <w:col w:w="11240"/>
          </w:cols>
          <w:pgMar w:left="320" w:top="783" w:right="339" w:bottom="1440" w:gutter="0" w:footer="0" w:header="0"/>
        </w:sectPr>
      </w:pPr>
    </w:p>
    <w:bookmarkStart w:id="37" w:name="page38"/>
    <w:bookmarkEnd w:id="37"/>
    <w:p>
      <w:pPr>
        <w:ind w:firstLine="725"/>
        <w:spacing w:after="0" w:line="264" w:lineRule="auto"/>
        <w:rPr>
          <w:sz w:val="20"/>
          <w:szCs w:val="20"/>
          <w:color w:val="auto"/>
        </w:rPr>
      </w:pPr>
      <w:r>
        <w:rPr>
          <w:rFonts w:ascii="Arial" w:cs="Arial" w:eastAsia="Arial" w:hAnsi="Arial"/>
          <w:sz w:val="19"/>
          <w:szCs w:val="19"/>
          <w:color w:val="auto"/>
        </w:rPr>
        <w:t xml:space="preserve">amount that would have resulted in compliance with </w:t>
      </w:r>
      <w:r>
        <w:rPr>
          <w:rFonts w:ascii="Arial" w:cs="Arial" w:eastAsia="Arial" w:hAnsi="Arial"/>
          <w:sz w:val="21"/>
          <w:szCs w:val="21"/>
          <w:u w:val="single" w:color="auto"/>
          <w:color w:val="auto"/>
        </w:rPr>
        <w:t>Section 6.7</w:t>
      </w:r>
      <w:r>
        <w:rPr>
          <w:rFonts w:ascii="Arial" w:cs="Arial" w:eastAsia="Arial" w:hAnsi="Arial"/>
          <w:sz w:val="19"/>
          <w:szCs w:val="19"/>
          <w:color w:val="auto"/>
        </w:rPr>
        <w:t xml:space="preserve"> as of the date of measurement. From June 30, 2022 to the Maturity Date, Borrower may not exercise the Liquidity Cure provided hereunder more than two (2) times.</w:t>
      </w:r>
    </w:p>
    <w:p>
      <w:pPr>
        <w:spacing w:after="0" w:line="1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a condition precedent to the effectiveness of this Amendment, Borrower shall pay to Lender all fees and expenses incurred by Lender</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herewith, including without limitation a</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$4,000 amendment fee and reasonable legal fees.</w:t>
      </w:r>
    </w:p>
    <w:p>
      <w:pPr>
        <w:spacing w:after="0" w:line="2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Loan Agreement are not amended in any other respect.</w:t>
      </w:r>
    </w:p>
    <w:p>
      <w:pPr>
        <w:spacing w:after="0" w:line="254" w:lineRule="exact"/>
        <w:rPr>
          <w:sz w:val="20"/>
          <w:szCs w:val="20"/>
          <w:color w:val="auto"/>
        </w:rPr>
      </w:pPr>
    </w:p>
    <w:p>
      <w:pPr>
        <w:ind w:left="660" w:hanging="328"/>
        <w:spacing w:after="0" w:line="276" w:lineRule="auto"/>
        <w:tabs>
          <w:tab w:leader="none" w:pos="656" w:val="left"/>
        </w:tabs>
        <w:numPr>
          <w:ilvl w:val="0"/>
          <w:numId w:val="21"/>
        </w:numPr>
        <w:rPr>
          <w:rFonts w:ascii="Arial" w:cs="Arial" w:eastAsia="Arial" w:hAnsi="Arial"/>
          <w:sz w:val="19"/>
          <w:szCs w:val="19"/>
          <w:color w:val="auto"/>
        </w:rPr>
      </w:pPr>
      <w:r>
        <w:rPr>
          <w:rFonts w:ascii="Arial" w:cs="Arial" w:eastAsia="Arial" w:hAnsi="Arial"/>
          <w:sz w:val="19"/>
          <w:szCs w:val="19"/>
          <w:color w:val="auto"/>
        </w:rPr>
        <w:t>Borrower reaffirms the terms and provisions of the Loan Documents and agrees that such are valid and binding, enforceable in accordance with their terms and provisions, and subject to no defense, counterclaim, or objection.</w:t>
      </w:r>
    </w:p>
    <w:p>
      <w:pPr>
        <w:spacing w:after="0" w:line="199"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[signatures commence on following page]</w:t>
      </w:r>
    </w:p>
    <w:p>
      <w:pPr>
        <w:sectPr>
          <w:pgSz w:w="11900" w:h="16838" w:orient="portrait"/>
          <w:cols w:equalWidth="0" w:num="1">
            <w:col w:w="11240"/>
          </w:cols>
          <w:pgMar w:left="320" w:top="739"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ENTERED INTO as of the date first written above.</w:t>
      </w:r>
    </w:p>
    <w:p>
      <w:pPr>
        <w:spacing w:after="0" w:line="23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BORROWER:</w:t>
      </w:r>
    </w:p>
    <w:p>
      <w:pPr>
        <w:spacing w:after="0" w:line="283"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14605</wp:posOffset>
            </wp:positionV>
            <wp:extent cx="2717165" cy="574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71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LENDER:</w:t>
      </w:r>
    </w:p>
    <w:p>
      <w:pPr>
        <w:spacing w:after="0" w:line="28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PINNACLE BANK</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58"/>
          <w:szCs w:val="58"/>
          <w:i w:val="1"/>
          <w:iCs w:val="1"/>
          <w:color w:val="4666A7"/>
        </w:rPr>
        <w:t>il</w:t>
      </w:r>
      <w:r>
        <w:rPr>
          <w:rFonts w:ascii="Arial" w:cs="Arial" w:eastAsia="Arial" w:hAnsi="Arial"/>
          <w:sz w:val="21"/>
          <w:szCs w:val="21"/>
          <w:i w:val="1"/>
          <w:iCs w:val="1"/>
          <w:color w:val="4666A7"/>
        </w:rPr>
        <w:t>v</w:t>
      </w:r>
      <w:r>
        <w:rPr>
          <w:rFonts w:ascii="Arial" w:cs="Arial" w:eastAsia="Arial" w:hAnsi="Arial"/>
          <w:sz w:val="58"/>
          <w:szCs w:val="58"/>
          <w:i w:val="1"/>
          <w:iCs w:val="1"/>
          <w:color w:val="2650A5"/>
        </w:rPr>
        <w:t>1A</w:t>
      </w:r>
      <w:r>
        <w:rPr>
          <w:rFonts w:ascii="Arial" w:cs="Arial" w:eastAsia="Arial" w:hAnsi="Arial"/>
          <w:sz w:val="17"/>
          <w:szCs w:val="17"/>
          <w:color w:val="auto"/>
        </w:rPr>
        <w:t xml:space="preserve"> </w:t>
      </w:r>
      <w:r>
        <w:rPr>
          <w:rFonts w:ascii="Arial" w:cs="Arial" w:eastAsia="Arial" w:hAnsi="Arial"/>
          <w:sz w:val="58"/>
          <w:szCs w:val="58"/>
          <w:i w:val="1"/>
          <w:iCs w:val="1"/>
          <w:color w:val="9097CD"/>
        </w:rPr>
        <w:t>-</w:t>
      </w:r>
    </w:p>
    <w:p>
      <w:pPr>
        <w:spacing w:after="0" w:line="2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Mark D. M</w:t>
      </w:r>
      <w:r>
        <w:rPr>
          <w:rFonts w:ascii="Arial" w:cs="Arial" w:eastAsia="Arial" w:hAnsi="Arial"/>
          <w:sz w:val="21"/>
          <w:szCs w:val="21"/>
          <w:color w:val="auto"/>
        </w:rPr>
        <w:t>a</w:t>
      </w:r>
      <w:r>
        <w:rPr>
          <w:rFonts w:ascii="Arial" w:cs="Arial" w:eastAsia="Arial" w:hAnsi="Arial"/>
          <w:sz w:val="21"/>
          <w:szCs w:val="21"/>
          <w:color w:val="0F1A2F"/>
        </w:rPr>
        <w:t>tt</w:t>
      </w:r>
      <w:r>
        <w:rPr>
          <w:rFonts w:ascii="Arial" w:cs="Arial" w:eastAsia="Arial" w:hAnsi="Arial"/>
          <w:sz w:val="18"/>
          <w:szCs w:val="18"/>
          <w:color w:val="auto"/>
        </w:rPr>
        <w:t>so</w:t>
      </w:r>
      <w:r>
        <w:rPr>
          <w:rFonts w:ascii="Arial" w:cs="Arial" w:eastAsia="Arial" w:hAnsi="Arial"/>
          <w:sz w:val="21"/>
          <w:szCs w:val="21"/>
          <w:color w:val="auto"/>
        </w:rPr>
        <w:t>n</w:t>
      </w:r>
      <w:r>
        <w:rPr>
          <w:rFonts w:ascii="Arial" w:cs="Arial" w:eastAsia="Arial" w:hAnsi="Arial"/>
          <w:sz w:val="21"/>
          <w:szCs w:val="21"/>
          <w:color w:val="0F1A2F"/>
        </w:rPr>
        <w:t>:</w:t>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[Signature Page to Eighth Amendment to Revolving Credit Loan Agreement]</w:t>
      </w:r>
    </w:p>
    <w:p>
      <w:pPr>
        <w:sectPr>
          <w:pgSz w:w="11900" w:h="16838" w:orient="portrait"/>
          <w:cols w:equalWidth="0" w:num="1">
            <w:col w:w="9019"/>
          </w:cols>
          <w:pgMar w:left="1440" w:top="144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sz w:val="20"/>
          <w:szCs w:val="20"/>
          <w:color w:val="auto"/>
        </w:rPr>
      </w:pPr>
    </w:p>
    <w:p>
      <w:pPr>
        <w:ind w:left="680" w:right="60" w:hanging="654"/>
        <w:spacing w:after="0" w:line="274"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sz w:val="20"/>
          <w:szCs w:val="20"/>
          <w:color w:val="auto"/>
        </w:rPr>
      </w:pPr>
    </w:p>
    <w:p>
      <w:pPr>
        <w:ind w:left="680" w:right="100" w:hanging="654"/>
        <w:spacing w:after="0" w:line="229"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780"/>
        <w:spacing w:after="0"/>
        <w:tabs>
          <w:tab w:leader="none" w:pos="6800" w:val="left"/>
        </w:tabs>
        <w:rPr>
          <w:sz w:val="20"/>
          <w:szCs w:val="20"/>
          <w:color w:val="auto"/>
        </w:rPr>
      </w:pPr>
      <w:r>
        <w:rPr>
          <w:rFonts w:ascii="Arial" w:cs="Arial" w:eastAsia="Arial" w:hAnsi="Arial"/>
          <w:sz w:val="18"/>
          <w:szCs w:val="18"/>
          <w:color w:val="auto"/>
        </w:rPr>
        <w:t>August 12, 2022 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sz w:val="20"/>
          <w:szCs w:val="20"/>
          <w:color w:val="auto"/>
        </w:rPr>
      </w:pPr>
    </w:p>
    <w:p>
      <w:pPr>
        <w:ind w:left="680" w:right="60" w:hanging="654"/>
        <w:spacing w:after="0" w:line="274"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sz w:val="20"/>
          <w:szCs w:val="20"/>
          <w:color w:val="auto"/>
        </w:rPr>
      </w:pPr>
    </w:p>
    <w:p>
      <w:pPr>
        <w:ind w:left="680" w:right="100" w:hanging="654"/>
        <w:spacing w:after="0" w:line="229"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840"/>
        <w:spacing w:after="0"/>
        <w:tabs>
          <w:tab w:leader="none" w:pos="6800" w:val="left"/>
        </w:tabs>
        <w:rPr>
          <w:sz w:val="20"/>
          <w:szCs w:val="20"/>
          <w:color w:val="auto"/>
        </w:rPr>
      </w:pPr>
      <w:r>
        <w:rPr>
          <w:rFonts w:ascii="Arial" w:cs="Arial" w:eastAsia="Arial" w:hAnsi="Arial"/>
          <w:sz w:val="18"/>
          <w:szCs w:val="18"/>
          <w:color w:val="auto"/>
        </w:rPr>
        <w:t>August 12, 2022 By:</w:t>
      </w:r>
      <w:r>
        <w:rPr>
          <w:sz w:val="20"/>
          <w:szCs w:val="20"/>
          <w:color w:val="auto"/>
        </w:rPr>
        <w:tab/>
      </w:r>
      <w:r>
        <w:rPr>
          <w:rFonts w:ascii="Arial" w:cs="Arial" w:eastAsia="Arial" w:hAnsi="Arial"/>
          <w:sz w:val="16"/>
          <w:szCs w:val="16"/>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June 30, 2022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1" w:lineRule="exact"/>
        <w:rPr>
          <w:sz w:val="20"/>
          <w:szCs w:val="20"/>
          <w:color w:val="auto"/>
        </w:rPr>
      </w:pPr>
    </w:p>
    <w:p>
      <w:pPr>
        <w:ind w:left="680" w:hanging="654"/>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sz w:val="20"/>
          <w:szCs w:val="20"/>
          <w:color w:val="auto"/>
        </w:rPr>
      </w:pPr>
    </w:p>
    <w:p>
      <w:pPr>
        <w:ind w:left="680" w:hanging="654"/>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August 12,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August 12, 2022</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04"/>
    </w:lvl>
    <w:lvl w:ilvl="1">
      <w:lvlJc w:val="left"/>
      <w:lvlText w:val="*"/>
      <w:numFmt w:val="bullet"/>
      <w:start w:val="1"/>
    </w:lvl>
  </w:abstractNum>
  <w:abstractNum w:abstractNumId="13">
    <w:nsid w:val="6763845E"/>
    <w:multiLevelType w:val="hybridMultilevel"/>
    <w:lvl w:ilvl="0">
      <w:lvlJc w:val="left"/>
      <w:lvlText w:val="%1"/>
      <w:numFmt w:val="decimal"/>
      <w:start w:val="1"/>
    </w:lvl>
    <w:lvl w:ilvl="1">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bullet"/>
      <w:start w:val="1"/>
    </w:lvl>
  </w:abstractNum>
  <w:abstractNum w:abstractNumId="22">
    <w:nsid w:val="2CA88611"/>
    <w:multiLevelType w:val="hybridMultilevel"/>
    <w:lvl w:ilvl="0">
      <w:lvlJc w:val="left"/>
      <w:lvlText w:val="2"/>
      <w:numFmt w:val="bullet"/>
      <w:start w:val="1"/>
    </w:lvl>
  </w:abstractNum>
  <w:abstractNum w:abstractNumId="23">
    <w:nsid w:val="836C40E"/>
    <w:multiLevelType w:val="hybridMultilevel"/>
    <w:lvl w:ilvl="0">
      <w:lvlJc w:val="left"/>
      <w:lvlText w:val="3"/>
      <w:numFmt w:val="bullet"/>
      <w:start w:val="1"/>
    </w:lvl>
  </w:abstractNum>
  <w:abstractNum w:abstractNumId="24">
    <w:nsid w:val="2901D82"/>
    <w:multiLevelType w:val="hybridMultilevel"/>
    <w:lvl w:ilvl="0">
      <w:lvlJc w:val="left"/>
      <w:lvlText w:val="4"/>
      <w:numFmt w:val="bullet"/>
      <w:start w:val="1"/>
    </w:lvl>
    <w:lvl w:ilvl="1">
      <w:lvlJc w:val="left"/>
      <w:lvlText w:val="%2."/>
      <w:numFmt w:val="lowerLetter"/>
      <w:start w:val="1"/>
    </w:lvl>
  </w:abstractNum>
  <w:abstractNum w:abstractNumId="25">
    <w:nsid w:val="3A95F874"/>
    <w:multiLevelType w:val="hybridMultilevel"/>
    <w:lvl w:ilvl="0">
      <w:lvlJc w:val="left"/>
      <w:lvlText w:val="5"/>
      <w:numFmt w:val="bullet"/>
      <w:start w:val="1"/>
    </w:lvl>
    <w:lvl w:ilvl="1">
      <w:lvlJc w:val="left"/>
      <w:lvlText w:val="%2."/>
      <w:numFmt w:val="lowerLetter"/>
      <w:start w:val="1"/>
    </w:lvl>
  </w:abstractNum>
  <w:abstractNum w:abstractNumId="26">
    <w:nsid w:val="8138641"/>
    <w:multiLevelType w:val="hybridMultilevel"/>
    <w:lvl w:ilvl="0">
      <w:lvlJc w:val="left"/>
      <w:lvlText w:val="1"/>
      <w:numFmt w:val="bullet"/>
      <w:start w:val="1"/>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3"/>
      <w:numFmt w:val="bullet"/>
      <w:start w:val="1"/>
    </w:lvl>
  </w:abstractNum>
  <w:abstractNum w:abstractNumId="29">
    <w:nsid w:val="737B8DDC"/>
    <w:multiLevelType w:val="hybridMultilevel"/>
    <w:lvl w:ilvl="0">
      <w:lvlJc w:val="left"/>
      <w:lvlText w:val="4"/>
      <w:numFmt w:val="bullet"/>
      <w:start w:val="1"/>
    </w:lvl>
    <w:lvl w:ilvl="1">
      <w:lvlJc w:val="left"/>
      <w:lvlText w:val="%2."/>
      <w:numFmt w:val="lowerLetter"/>
      <w:start w:val="1"/>
    </w:lvl>
  </w:abstractNum>
  <w:abstractNum w:abstractNumId="30">
    <w:nsid w:val="6CEAF087"/>
    <w:multiLevelType w:val="hybridMultilevel"/>
    <w:lvl w:ilvl="0">
      <w:lvlJc w:val="left"/>
      <w:lvlText w:val="5"/>
      <w:numFmt w:val="bullet"/>
      <w:start w:val="1"/>
    </w:lvl>
    <w:lvl w:ilvl="1">
      <w:lvlJc w:val="left"/>
      <w:lvlText w:val="%2."/>
      <w:numFmt w:val="lowerLetter"/>
      <w:start w:val="1"/>
    </w:lvl>
  </w:abstractNum>
  <w:abstractNum w:abstractNumId="31">
    <w:nsid w:val="22221A70"/>
    <w:multiLevelType w:val="hybridMultilevel"/>
    <w:lvl w:ilvl="0">
      <w:lvlJc w:val="left"/>
      <w:lvlText w:val="1"/>
      <w:numFmt w:val="bullet"/>
      <w:start w:val="1"/>
    </w:lvl>
  </w:abstractNum>
  <w:abstractNum w:abstractNumId="32">
    <w:nsid w:val="4516DDE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2022-08-13T15:38:09Z</dcterms:created>
  <dcterms:modified xsi:type="dcterms:W3CDTF">2022-08-13T15:38:09Z</dcterms:modified>
</cp:coreProperties>
</file>