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Hamm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1600 West End Avenue, Suite 1300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TN 37203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 Pharmaceuticals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001-33637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Hamm: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 Management's Discussion and Analysis of Financial Condition and Results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68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revised disclosure to be included in future filings to break out research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development expenses by clinical program or by indication. For amounts that are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tracked by program, provide other quantitative or qualitative disclosure that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provides more transparency as to the type of research and development expenses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(i.e. by nature or type of expense) for each period presented which should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to total research and development expense on the Statements of Operations.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(2) Significant Accounting Policies, page F-10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you will provide the segment disclosures required by ASC 280-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10-50, as amended by ASU 2023-07, in your future filings. Refer to ASC 280-10-50-</w:t>
      </w:r>
    </w:p>
    <w:p>
      <w:pPr>
        <w:ind w:right="85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4,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 for single reportable segment entity requirements.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Vanessa Robertson at 202-551-3649 or Tracie Mariner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18" w:right="1440" w:bottom="83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2025-12-22T00:15:27Z</dcterms:created>
  <dcterms:modified xsi:type="dcterms:W3CDTF">2025-12-22T00:15:27Z</dcterms:modified>
</cp:coreProperties>
</file>