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19" w:lineRule="exact"/>
        <w:rPr>
          <w:sz w:val="24"/>
          <w:szCs w:val="24"/>
          <w:color w:val="auto"/>
        </w:rPr>
      </w:pPr>
    </w:p>
    <w:p>
      <w:pPr>
        <w:jc w:val="center"/>
        <w:ind w:right="-339"/>
        <w:spacing w:after="0"/>
        <w:rPr>
          <w:sz w:val="20"/>
          <w:szCs w:val="20"/>
          <w:color w:val="auto"/>
        </w:rPr>
      </w:pPr>
      <w:r>
        <w:rPr>
          <w:rFonts w:ascii="Arial" w:cs="Arial" w:eastAsia="Arial" w:hAnsi="Arial"/>
          <w:sz w:val="36"/>
          <w:szCs w:val="36"/>
          <w:b w:val="1"/>
          <w:bCs w:val="1"/>
          <w:color w:val="auto"/>
        </w:rPr>
        <w:t>Form 10-K</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2019</w:t>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of</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47"/>
          <w:szCs w:val="47"/>
          <w:b w:val="1"/>
          <w:bCs w:val="1"/>
          <w:color w:val="auto"/>
        </w:rPr>
        <w:t>CUMBERLAND PHARMACEUTICALS INC.</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 Tennessee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IRS Employer Identification No. 62-1765329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001-33637</w:t>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2525 West End Avenue, Suite 950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Nashville, Tennessee 37203</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(615) 255-0068</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980" w:type="dxa"/>
            <w:vAlign w:val="bottom"/>
            <w:gridSpan w:val="5"/>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63"/>
        </w:trPr>
        <w:tc>
          <w:tcPr>
            <w:tcW w:w="35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Title of each class</w:t>
            </w:r>
          </w:p>
        </w:tc>
        <w:tc>
          <w:tcPr>
            <w:tcW w:w="5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40" w:type="dxa"/>
            <w:vAlign w:val="bottom"/>
          </w:tcPr>
          <w:p>
            <w:pPr>
              <w:spacing w:after="0"/>
              <w:rPr>
                <w:sz w:val="22"/>
                <w:szCs w:val="22"/>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3540" w:type="dxa"/>
            <w:vAlign w:val="bottom"/>
          </w:tcPr>
          <w:p>
            <w:pPr>
              <w:jc w:val="center"/>
              <w:ind w:left="430"/>
              <w:spacing w:after="0"/>
              <w:rPr>
                <w:sz w:val="20"/>
                <w:szCs w:val="20"/>
                <w:color w:val="auto"/>
              </w:rPr>
            </w:pPr>
            <w:r>
              <w:rPr>
                <w:rFonts w:ascii="Arial" w:cs="Arial" w:eastAsia="Arial" w:hAnsi="Arial"/>
                <w:sz w:val="18"/>
                <w:szCs w:val="18"/>
                <w:color w:val="auto"/>
                <w:w w:val="89"/>
              </w:rPr>
              <w:t>Common Stock, $0.00 par value per share</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CPIX</w:t>
            </w: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u w:val="single" w:color="auto"/>
          <w:color w:val="auto"/>
        </w:rPr>
        <w:t>None</w:t>
      </w:r>
    </w:p>
    <w:p>
      <w:pPr>
        <w:spacing w:after="0" w:line="36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Cumberland Pharmaceuticals Inc. is not a well-known seasoned issuer, as defined in Rule 405 of the Securities Act.</w:t>
      </w:r>
    </w:p>
    <w:p>
      <w:pPr>
        <w:spacing w:after="0" w:line="33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Cumberland Pharmaceuticals Inc. is required to file reports pursuant to Section 13 or Section 15(d) of the Act. Cumberland Pharmaceuticals Inc.</w:t>
      </w:r>
    </w:p>
    <w:p>
      <w:pPr>
        <w:spacing w:after="0" w:line="46" w:lineRule="exact"/>
        <w:rPr>
          <w:sz w:val="24"/>
          <w:szCs w:val="24"/>
          <w:color w:val="auto"/>
        </w:rPr>
      </w:pPr>
    </w:p>
    <w:p>
      <w:pPr>
        <w:ind w:right="20" w:firstLine="8"/>
        <w:spacing w:after="0" w:line="26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filed all reports required to be filed by Section 13 or 15(d) of the Securities Exchange Act of 1934 during the preceding 12 months, and (2) has been subject to such filing requirements for the past 90 days.</w:t>
      </w:r>
    </w:p>
    <w:p>
      <w:pPr>
        <w:spacing w:after="0" w:line="320"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Cumberland Pharmaceuticals Inc. has submitted electronically and posted on its corporate Web site every Interactive Data File required to be submitted and posted pursuant to Rule 405 of Regulation S-T (§232.405 of this chapter) during the preceding 12 months.</w:t>
      </w:r>
    </w:p>
    <w:p>
      <w:pPr>
        <w:spacing w:after="0" w:line="30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Cumberland Pharmaceuticals Inc. is a non-accelerated filer as defined in Rule 12b-2 of the Exchange Act and is not a shell company.</w:t>
      </w:r>
    </w:p>
    <w:p>
      <w:pPr>
        <w:spacing w:after="0" w:line="372"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The aggregate market value of common stock held by non-affiliates as of June 28, 2019 was $57,172,655. The number of shares of the registrant’s Common Stock, no par value, outstanding as of March 16, 2020 was 15,181,442.</w:t>
      </w:r>
    </w:p>
    <w:p>
      <w:pPr>
        <w:spacing w:after="0" w:line="27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firstLine="324"/>
        <w:spacing w:after="0" w:line="250" w:lineRule="auto"/>
        <w:rPr>
          <w:sz w:val="20"/>
          <w:szCs w:val="20"/>
          <w:color w:val="auto"/>
        </w:rPr>
      </w:pPr>
      <w:r>
        <w:rPr>
          <w:rFonts w:ascii="Arial" w:cs="Arial" w:eastAsia="Arial" w:hAnsi="Arial"/>
          <w:sz w:val="18"/>
          <w:szCs w:val="18"/>
          <w:color w:val="auto"/>
        </w:rPr>
        <w:t>Certain information required in Part III of Form 10-K is incorporated by reference from the registrant’s Proxy Statement for its 2020 annual meeting of shareholders.</w:t>
      </w:r>
    </w:p>
    <w:p>
      <w:pPr>
        <w:spacing w:after="0" w:line="1" w:lineRule="exact"/>
        <w:rPr>
          <w:sz w:val="24"/>
          <w:szCs w:val="24"/>
          <w:color w:val="auto"/>
        </w:rPr>
      </w:pPr>
    </w:p>
    <w:p>
      <w:pPr>
        <w:ind w:left="90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20" w:type="dxa"/>
            <w:vAlign w:val="bottom"/>
            <w:gridSpan w:val="4"/>
          </w:tcPr>
          <w:p>
            <w:pPr>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580" w:type="dxa"/>
            <w:vAlign w:val="bottom"/>
            <w:tcBorders>
              <w:top w:val="single" w:sz="8" w:color="auto"/>
            </w:tcBorders>
            <w:gridSpan w:val="2"/>
          </w:tcPr>
          <w:p>
            <w:pPr>
              <w:jc w:val="center"/>
              <w:ind w:left="411"/>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40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8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Business</w:t>
              </w:r>
            </w:hyperlink>
          </w:p>
        </w:tc>
        <w:tc>
          <w:tcPr>
            <w:tcW w:w="580" w:type="dxa"/>
            <w:vAlign w:val="bottom"/>
            <w:gridSpan w:val="2"/>
          </w:tcPr>
          <w:p>
            <w:pPr>
              <w:jc w:val="center"/>
              <w:ind w:left="41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Item 1A: Risk Factors</w:t>
              </w:r>
            </w:hyperlink>
          </w:p>
        </w:tc>
        <w:tc>
          <w:tcPr>
            <w:tcW w:w="758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31">
              <w:r>
                <w:rPr>
                  <w:rFonts w:ascii="Arial" w:cs="Arial" w:eastAsia="Arial" w:hAnsi="Arial"/>
                  <w:sz w:val="15"/>
                  <w:szCs w:val="15"/>
                  <w:color w:val="0000FF"/>
                  <w:w w:val="71"/>
                </w:rPr>
                <w:t>29</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80" w:type="dxa"/>
            <w:vAlign w:val="bottom"/>
            <w:gridSpan w:val="21"/>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1B: Unresolved Staff Comments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7"/>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Item 2: Properties</w:t>
              </w:r>
            </w:hyperlink>
          </w:p>
        </w:tc>
        <w:tc>
          <w:tcPr>
            <w:tcW w:w="1420" w:type="dxa"/>
            <w:vAlign w:val="bottom"/>
            <w:gridSpan w:val="7"/>
          </w:tcPr>
          <w:p>
            <w:pPr>
              <w:spacing w:after="0"/>
              <w:rPr>
                <w:sz w:val="24"/>
                <w:szCs w:val="24"/>
                <w:color w:val="auto"/>
              </w:rPr>
            </w:pPr>
          </w:p>
        </w:tc>
        <w:tc>
          <w:tcPr>
            <w:tcW w:w="646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56">
              <w:r>
                <w:rPr>
                  <w:rFonts w:ascii="Arial" w:cs="Arial" w:eastAsia="Arial" w:hAnsi="Arial"/>
                  <w:sz w:val="15"/>
                  <w:szCs w:val="15"/>
                  <w:color w:val="0000FF"/>
                  <w:w w:val="71"/>
                </w:rPr>
                <w:t>54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9"/>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Item 3: Legal Proceedings</w:t>
              </w:r>
            </w:hyperlink>
          </w:p>
        </w:tc>
        <w:tc>
          <w:tcPr>
            <w:tcW w:w="728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56">
              <w:r>
                <w:rPr>
                  <w:rFonts w:ascii="Arial" w:cs="Arial" w:eastAsia="Arial" w:hAnsi="Arial"/>
                  <w:sz w:val="15"/>
                  <w:szCs w:val="15"/>
                  <w:color w:val="0000FF"/>
                  <w:w w:val="71"/>
                </w:rPr>
                <w:t>54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80" w:type="dxa"/>
            <w:vAlign w:val="bottom"/>
            <w:gridSpan w:val="2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4. Mine Safety Disclosures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PART II</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80" w:type="dxa"/>
            <w:vAlign w:val="bottom"/>
            <w:gridSpan w:val="2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5: Market for Registrant’s Common Equity, Related Stockholder Matters and Issuer Purchases of Equity</w:t>
              </w:r>
            </w:hyperlink>
          </w:p>
        </w:tc>
        <w:tc>
          <w:tcPr>
            <w:tcW w:w="500" w:type="dxa"/>
            <w:vAlign w:val="bottom"/>
            <w:vMerge w:val="restart"/>
          </w:tcPr>
          <w:p>
            <w:pPr>
              <w:spacing w:after="0"/>
              <w:rPr>
                <w:sz w:val="24"/>
                <w:szCs w:val="24"/>
                <w:color w:val="auto"/>
              </w:rPr>
            </w:pPr>
          </w:p>
        </w:tc>
        <w:tc>
          <w:tcPr>
            <w:tcW w:w="480" w:type="dxa"/>
            <w:vAlign w:val="bottom"/>
            <w:gridSpan w:val="2"/>
            <w:vMerge w:val="restart"/>
          </w:tcPr>
          <w:p>
            <w:pPr>
              <w:jc w:val="center"/>
              <w:ind w:right="360"/>
              <w:spacing w:after="0"/>
              <w:rPr>
                <w:rFonts w:ascii="Arial" w:cs="Arial" w:eastAsia="Arial" w:hAnsi="Arial"/>
                <w:sz w:val="15"/>
                <w:szCs w:val="15"/>
                <w:color w:val="0000FF"/>
                <w:w w:val="71"/>
              </w:rPr>
            </w:pPr>
            <w:hyperlink w:anchor="page56">
              <w:r>
                <w:rPr>
                  <w:rFonts w:ascii="Arial" w:cs="Arial" w:eastAsia="Arial" w:hAnsi="Arial"/>
                  <w:sz w:val="15"/>
                  <w:szCs w:val="15"/>
                  <w:color w:val="0000FF"/>
                  <w:w w:val="71"/>
                </w:rPr>
                <w:t>54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5"/>
          </w:tcPr>
          <w:p>
            <w:pPr>
              <w:spacing w:after="0" w:line="156" w:lineRule="exact"/>
              <w:rPr>
                <w:rFonts w:ascii="Arial" w:cs="Arial" w:eastAsia="Arial" w:hAnsi="Arial"/>
                <w:sz w:val="18"/>
                <w:szCs w:val="18"/>
                <w:color w:val="0000FF"/>
                <w:w w:val="80"/>
              </w:rPr>
            </w:pPr>
            <w:hyperlink w:anchor="page56">
              <w:r>
                <w:rPr>
                  <w:rFonts w:ascii="Arial" w:cs="Arial" w:eastAsia="Arial" w:hAnsi="Arial"/>
                  <w:sz w:val="18"/>
                  <w:szCs w:val="18"/>
                  <w:color w:val="0000FF"/>
                  <w:w w:val="80"/>
                </w:rPr>
                <w:t>Securities</w:t>
              </w:r>
            </w:hyperlink>
          </w:p>
        </w:tc>
        <w:tc>
          <w:tcPr>
            <w:tcW w:w="7420" w:type="dxa"/>
            <w:vAlign w:val="bottom"/>
            <w:gridSpan w:val="16"/>
          </w:tcPr>
          <w:p>
            <w:pPr>
              <w:spacing w:after="0"/>
              <w:rPr>
                <w:sz w:val="13"/>
                <w:szCs w:val="13"/>
                <w:color w:val="auto"/>
              </w:rPr>
            </w:pPr>
          </w:p>
        </w:tc>
        <w:tc>
          <w:tcPr>
            <w:tcW w:w="13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12"/>
          </w:tcPr>
          <w:p>
            <w:pP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Item 6: Selected Financial Data</w:t>
              </w:r>
            </w:hyperlink>
          </w:p>
        </w:tc>
        <w:tc>
          <w:tcPr>
            <w:tcW w:w="690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58">
              <w:r>
                <w:rPr>
                  <w:rFonts w:ascii="Arial" w:cs="Arial" w:eastAsia="Arial" w:hAnsi="Arial"/>
                  <w:sz w:val="15"/>
                  <w:szCs w:val="15"/>
                  <w:color w:val="0000FF"/>
                  <w:w w:val="71"/>
                </w:rPr>
                <w:t>56</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18"/>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Item 7: Management’s Discussion and Analysis of Financial Condition and Results of Operations</w:t>
              </w:r>
            </w:hyperlink>
          </w:p>
        </w:tc>
        <w:tc>
          <w:tcPr>
            <w:tcW w:w="21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59">
              <w:r>
                <w:rPr>
                  <w:rFonts w:ascii="Arial" w:cs="Arial" w:eastAsia="Arial" w:hAnsi="Arial"/>
                  <w:sz w:val="15"/>
                  <w:szCs w:val="15"/>
                  <w:color w:val="0000FF"/>
                  <w:w w:val="71"/>
                </w:rPr>
                <w:t>57</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18"/>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7A: Quantitative and Qualitative Disclosures About Market Risk</w:t>
              </w:r>
            </w:hyperlink>
          </w:p>
        </w:tc>
        <w:tc>
          <w:tcPr>
            <w:tcW w:w="21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72</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1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8: Financial Statements and Supplementary Data</w:t>
              </w:r>
            </w:hyperlink>
          </w:p>
        </w:tc>
        <w:tc>
          <w:tcPr>
            <w:tcW w:w="414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73</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19"/>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Item 9: Changes in and Disagreements with Accountants on Accounting and Financial Disclosure</w:t>
              </w:r>
            </w:hyperlink>
          </w:p>
        </w:tc>
        <w:tc>
          <w:tcPr>
            <w:tcW w:w="21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75">
              <w:r>
                <w:rPr>
                  <w:rFonts w:ascii="Arial" w:cs="Arial" w:eastAsia="Arial" w:hAnsi="Arial"/>
                  <w:sz w:val="15"/>
                  <w:szCs w:val="15"/>
                  <w:color w:val="0000FF"/>
                  <w:w w:val="71"/>
                </w:rPr>
                <w:t>73</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1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9A: Controls and Procedures</w:t>
              </w:r>
            </w:hyperlink>
          </w:p>
        </w:tc>
        <w:tc>
          <w:tcPr>
            <w:tcW w:w="21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75">
              <w:r>
                <w:rPr>
                  <w:rFonts w:ascii="Arial" w:cs="Arial" w:eastAsia="Arial" w:hAnsi="Arial"/>
                  <w:sz w:val="15"/>
                  <w:szCs w:val="15"/>
                  <w:color w:val="0000FF"/>
                  <w:w w:val="71"/>
                </w:rPr>
                <w:t>73</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10"/>
          </w:tcPr>
          <w:p>
            <w:pPr>
              <w:spacing w:after="0"/>
              <w:rPr>
                <w:rFonts w:ascii="Arial" w:cs="Arial" w:eastAsia="Arial" w:hAnsi="Arial"/>
                <w:sz w:val="18"/>
                <w:szCs w:val="18"/>
                <w:color w:val="0000FF"/>
                <w:w w:val="93"/>
              </w:rPr>
            </w:pPr>
            <w:hyperlink w:anchor="page75">
              <w:r>
                <w:rPr>
                  <w:rFonts w:ascii="Arial" w:cs="Arial" w:eastAsia="Arial" w:hAnsi="Arial"/>
                  <w:sz w:val="18"/>
                  <w:szCs w:val="18"/>
                  <w:color w:val="0000FF"/>
                  <w:w w:val="93"/>
                </w:rPr>
                <w:t>Item 9B: Other Information</w:t>
              </w:r>
            </w:hyperlink>
          </w:p>
        </w:tc>
        <w:tc>
          <w:tcPr>
            <w:tcW w:w="460" w:type="dxa"/>
            <w:vAlign w:val="bottom"/>
            <w:gridSpan w:val="3"/>
          </w:tcPr>
          <w:p>
            <w:pPr>
              <w:spacing w:after="0"/>
              <w:rPr>
                <w:sz w:val="24"/>
                <w:szCs w:val="24"/>
                <w:color w:val="auto"/>
              </w:rPr>
            </w:pPr>
          </w:p>
        </w:tc>
        <w:tc>
          <w:tcPr>
            <w:tcW w:w="672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75">
              <w:r>
                <w:rPr>
                  <w:rFonts w:ascii="Arial" w:cs="Arial" w:eastAsia="Arial" w:hAnsi="Arial"/>
                  <w:sz w:val="15"/>
                  <w:szCs w:val="15"/>
                  <w:color w:val="0000FF"/>
                  <w:w w:val="71"/>
                </w:rPr>
                <w:t>73</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PART III</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gridSpan w:val="5"/>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PART IV</w:t>
              </w:r>
            </w:hyperlink>
          </w:p>
        </w:tc>
        <w:tc>
          <w:tcPr>
            <w:tcW w:w="8720" w:type="dxa"/>
            <w:vAlign w:val="bottom"/>
            <w:gridSpan w:val="17"/>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74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80" w:type="dxa"/>
            <w:vAlign w:val="bottom"/>
            <w:gridSpan w:val="2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15: Exhibits, Financial Statement Schedules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74</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11"/>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Item 16: Executive Summary</w:t>
              </w:r>
            </w:hyperlink>
          </w:p>
        </w:tc>
        <w:tc>
          <w:tcPr>
            <w:tcW w:w="1420" w:type="dxa"/>
            <w:vAlign w:val="bottom"/>
            <w:gridSpan w:val="4"/>
          </w:tcPr>
          <w:p>
            <w:pPr>
              <w:spacing w:after="0"/>
              <w:rPr>
                <w:sz w:val="18"/>
                <w:szCs w:val="18"/>
                <w:color w:val="auto"/>
              </w:rPr>
            </w:pPr>
          </w:p>
        </w:tc>
        <w:tc>
          <w:tcPr>
            <w:tcW w:w="564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80</w:t>
              </w:r>
            </w:hyperlink>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SIGNATURES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80</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2"/>
        </w:trPr>
        <w:tc>
          <w:tcPr>
            <w:tcW w:w="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7040245</wp:posOffset>
            </wp:positionH>
            <wp:positionV relativeFrom="paragraph">
              <wp:posOffset>-5579745</wp:posOffset>
            </wp:positionV>
            <wp:extent cx="26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Cumberland Pharmaceuticals Inc. (“Cumberland,” the “Company,” or as used in the context of “we,” “us,” or “our”), is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the quality of care for patients and address unmet or poorly met medical needs. We promote our approved products through our hospital and field sales forces in the United States and are establishing a network of international partners to bring our medicines to patients in their countries.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FDA approved brands include:</w:t>
      </w:r>
    </w:p>
    <w:p>
      <w:pPr>
        <w:spacing w:after="0" w:line="8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86" w:lineRule="exact"/>
        <w:rPr>
          <w:rFonts w:ascii="Arial" w:cs="Arial" w:eastAsia="Arial" w:hAnsi="Arial"/>
          <w:sz w:val="18"/>
          <w:szCs w:val="18"/>
          <w:color w:val="auto"/>
        </w:rPr>
      </w:pPr>
    </w:p>
    <w:p>
      <w:pPr>
        <w:ind w:left="660" w:right="20" w:hanging="328"/>
        <w:spacing w:after="0" w:line="22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 related duodenal</w:t>
      </w:r>
      <w:r>
        <w:rPr>
          <w:rFonts w:ascii="Arial" w:cs="Arial" w:eastAsia="Arial" w:hAnsi="Arial"/>
          <w:sz w:val="18"/>
          <w:szCs w:val="18"/>
          <w:b w:val="1"/>
          <w:bCs w:val="1"/>
          <w:color w:val="auto"/>
        </w:rPr>
        <w:t xml:space="preserve"> </w:t>
      </w:r>
      <w:r>
        <w:rPr>
          <w:rFonts w:ascii="Arial" w:cs="Arial" w:eastAsia="Arial" w:hAnsi="Arial"/>
          <w:sz w:val="18"/>
          <w:szCs w:val="18"/>
          <w:color w:val="auto"/>
        </w:rPr>
        <w:t>ulcer disease;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Vaprisol</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conivaptan</w:t>
      </w:r>
      <w:r>
        <w:rPr>
          <w:rFonts w:ascii="Arial" w:cs="Arial" w:eastAsia="Arial" w:hAnsi="Arial"/>
          <w:sz w:val="17"/>
          <w:szCs w:val="17"/>
          <w:color w:val="auto"/>
        </w:rPr>
        <w:t>) Injection, to raise serum sodium levels in hospitalized patients with euvolemic and hypervolemic hyponatremia;</w:t>
      </w:r>
    </w:p>
    <w:p>
      <w:pPr>
        <w:spacing w:after="0" w:line="111" w:lineRule="exact"/>
        <w:rPr>
          <w:rFonts w:ascii="Arial" w:cs="Arial" w:eastAsia="Arial" w:hAnsi="Arial"/>
          <w:sz w:val="17"/>
          <w:szCs w:val="17"/>
          <w:b w:val="1"/>
          <w:bCs w:val="1"/>
          <w:color w:val="auto"/>
        </w:rPr>
      </w:pPr>
    </w:p>
    <w:p>
      <w:pPr>
        <w:ind w:left="660" w:hanging="328"/>
        <w:spacing w:after="0" w:line="22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bacterial pneumonia, as well as complicated skin and skin structure infections; and</w:t>
      </w:r>
    </w:p>
    <w:p>
      <w:pPr>
        <w:spacing w:after="0" w:line="129" w:lineRule="exact"/>
        <w:rPr>
          <w:rFonts w:ascii="Arial" w:cs="Arial" w:eastAsia="Arial" w:hAnsi="Arial"/>
          <w:sz w:val="18"/>
          <w:szCs w:val="18"/>
          <w:color w:val="auto"/>
        </w:rPr>
      </w:pPr>
    </w:p>
    <w:p>
      <w:pPr>
        <w:ind w:left="660" w:right="120" w:hanging="328"/>
        <w:spacing w:after="0" w:line="21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RediTrex</w:t>
      </w:r>
      <w:r>
        <w:rPr>
          <w:rFonts w:ascii="Arial" w:cs="Arial" w:eastAsia="Arial" w:hAnsi="Arial"/>
          <w:sz w:val="28"/>
          <w:szCs w:val="28"/>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 disabling</w:t>
      </w:r>
      <w:r>
        <w:rPr>
          <w:rFonts w:ascii="Arial" w:cs="Arial" w:eastAsia="Arial" w:hAnsi="Arial"/>
          <w:sz w:val="18"/>
          <w:szCs w:val="18"/>
          <w:b w:val="1"/>
          <w:bCs w:val="1"/>
          <w:color w:val="auto"/>
        </w:rPr>
        <w:t xml:space="preserve"> </w:t>
      </w:r>
      <w:r>
        <w:rPr>
          <w:rFonts w:ascii="Arial" w:cs="Arial" w:eastAsia="Arial" w:hAnsi="Arial"/>
          <w:sz w:val="18"/>
          <w:szCs w:val="18"/>
          <w:color w:val="auto"/>
        </w:rPr>
        <w:t>psoriasis.</w:t>
      </w:r>
    </w:p>
    <w:p>
      <w:pPr>
        <w:spacing w:after="0" w:line="13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we have Phase II clinical programs underway evaluating our ifetroban product candidates in patients with cardiomyopathy associated with Duchenne Muscular Dystrophy (“DMD”), Systemic Sclerosis (“SSc”), and Aspirin-Exacerbated Respiratory Disease ("AERD"). We have also completed Phase II clinical programs with ifetroban in patients with Hepatorenal Syndrome (“HRS”) and patients with Portal Hypertension (“PH”).</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both product development and commercial capabilities and we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product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Cumberland's growth strategy involves maximizing the potential of our existing brands, while continuing to build a portfolio of differentiated products. We currently feature seven FDA approved products for sale in the United States. Through our international partners, we are working to bring our medicines to patients in their countries. We also look for opportunities to expand our products into additional patient populations through clinical trials, through new presentations, and through our support for select, investigator-initiated studies. We also actively pursue opportunities to acquire additional marketed products, as well as late-stage development product candidates in our target medical specialties. Our clinical team is developing a pipeline of new product candidates largely to address unmet medical needs.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were incorporated in 1999 and have been headquartered in Nashville, Tennessee since inception. During 2009, we completed an initial public offering of our common shares and listing on the Nasdaq stock exchange. Our website address is </w:t>
      </w:r>
      <w:r>
        <w:rPr>
          <w:rFonts w:ascii="Arial" w:cs="Arial" w:eastAsia="Arial" w:hAnsi="Arial"/>
          <w:sz w:val="18"/>
          <w:szCs w:val="18"/>
          <w:i w:val="1"/>
          <w:iCs w:val="1"/>
          <w:color w:val="auto"/>
        </w:rPr>
        <w:t>www.cumberlandpharma.com</w:t>
      </w:r>
      <w:r>
        <w:rPr>
          <w:rFonts w:ascii="Arial" w:cs="Arial" w:eastAsia="Arial" w:hAnsi="Arial"/>
          <w:sz w:val="18"/>
          <w:szCs w:val="18"/>
          <w:color w:val="auto"/>
        </w:rPr>
        <w:t xml:space="preserve">. We make available through our website our Annual Reports on Form 10-K, Quarterly Reports on Form 10-Q, Current Reports on Form 8-K and all material press releases, other filings and amendments to those reports as soon as reasonably practicable after their filing with the U.S. Securities and Exchange Commission, (“SEC”). These filings are also available to the public at </w:t>
      </w:r>
      <w:r>
        <w:rPr>
          <w:rFonts w:ascii="Arial" w:cs="Arial" w:eastAsia="Arial" w:hAnsi="Arial"/>
          <w:sz w:val="18"/>
          <w:szCs w:val="18"/>
          <w:i w:val="1"/>
          <w:iCs w:val="1"/>
          <w:color w:val="auto"/>
        </w:rPr>
        <w:t>www.sec.gov.</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51"/>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Our key products include:</w:t>
            </w: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3500" w:type="dxa"/>
            <w:vAlign w:val="bottom"/>
            <w:gridSpan w:val="2"/>
          </w:tcPr>
          <w:p>
            <w:pPr>
              <w:ind w:left="1340"/>
              <w:spacing w:after="0"/>
              <w:rPr>
                <w:sz w:val="20"/>
                <w:szCs w:val="20"/>
                <w:color w:val="auto"/>
              </w:rPr>
            </w:pPr>
            <w:r>
              <w:rPr>
                <w:rFonts w:ascii="Arial" w:cs="Arial" w:eastAsia="Arial" w:hAnsi="Arial"/>
                <w:sz w:val="18"/>
                <w:szCs w:val="18"/>
                <w:b w:val="1"/>
                <w:bCs w:val="1"/>
                <w:color w:val="auto"/>
              </w:rPr>
              <w:t>Products</w:t>
            </w:r>
          </w:p>
        </w:tc>
        <w:tc>
          <w:tcPr>
            <w:tcW w:w="5840" w:type="dxa"/>
            <w:vAlign w:val="bottom"/>
            <w:gridSpan w:val="2"/>
          </w:tcPr>
          <w:p>
            <w:pPr>
              <w:ind w:left="2460"/>
              <w:spacing w:after="0"/>
              <w:rPr>
                <w:sz w:val="20"/>
                <w:szCs w:val="20"/>
                <w:color w:val="auto"/>
              </w:rPr>
            </w:pPr>
            <w:r>
              <w:rPr>
                <w:rFonts w:ascii="Arial" w:cs="Arial" w:eastAsia="Arial" w:hAnsi="Arial"/>
                <w:sz w:val="18"/>
                <w:szCs w:val="18"/>
                <w:b w:val="1"/>
                <w:bCs w:val="1"/>
                <w:color w:val="auto"/>
              </w:rPr>
              <w:t>Indication</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7"/>
        </w:trPr>
        <w:tc>
          <w:tcPr>
            <w:tcW w:w="3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425"/>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Acetadote</w:t>
            </w:r>
            <w:r>
              <w:rPr>
                <w:rFonts w:ascii="Arial" w:cs="Arial" w:eastAsia="Arial" w:hAnsi="Arial"/>
                <w:sz w:val="23"/>
                <w:szCs w:val="23"/>
                <w:color w:val="auto"/>
                <w:vertAlign w:val="superscript"/>
              </w:rPr>
              <w:t>®</w:t>
            </w:r>
          </w:p>
        </w:tc>
        <w:tc>
          <w:tcPr>
            <w:tcW w:w="5840" w:type="dxa"/>
            <w:vAlign w:val="bottom"/>
            <w:gridSpan w:val="2"/>
          </w:tcPr>
          <w:p>
            <w:pPr>
              <w:spacing w:after="0"/>
              <w:rPr>
                <w:sz w:val="20"/>
                <w:szCs w:val="20"/>
                <w:color w:val="auto"/>
              </w:rPr>
            </w:pPr>
            <w:r>
              <w:rPr>
                <w:rFonts w:ascii="Arial" w:cs="Arial" w:eastAsia="Arial" w:hAnsi="Arial"/>
                <w:sz w:val="18"/>
                <w:szCs w:val="18"/>
                <w:color w:val="auto"/>
              </w:rPr>
              <w:t>Acetaminophen Poisoning</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Caldolor</w:t>
            </w:r>
            <w:r>
              <w:rPr>
                <w:rFonts w:ascii="Arial" w:cs="Arial" w:eastAsia="Arial" w:hAnsi="Arial"/>
                <w:sz w:val="23"/>
                <w:szCs w:val="23"/>
                <w:color w:val="auto"/>
                <w:vertAlign w:val="superscript"/>
              </w:rPr>
              <w:t>®</w:t>
            </w:r>
          </w:p>
        </w:tc>
        <w:tc>
          <w:tcPr>
            <w:tcW w:w="5840" w:type="dxa"/>
            <w:vAlign w:val="bottom"/>
            <w:gridSpan w:val="2"/>
          </w:tcPr>
          <w:p>
            <w:pPr>
              <w:spacing w:after="0"/>
              <w:rPr>
                <w:sz w:val="20"/>
                <w:szCs w:val="20"/>
                <w:color w:val="auto"/>
              </w:rPr>
            </w:pPr>
            <w:r>
              <w:rPr>
                <w:rFonts w:ascii="Arial" w:cs="Arial" w:eastAsia="Arial" w:hAnsi="Arial"/>
                <w:sz w:val="18"/>
                <w:szCs w:val="18"/>
                <w:color w:val="auto"/>
              </w:rPr>
              <w:t>Pain and Fever</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Kristalose</w:t>
            </w:r>
            <w:r>
              <w:rPr>
                <w:rFonts w:ascii="Arial" w:cs="Arial" w:eastAsia="Arial" w:hAnsi="Arial"/>
                <w:sz w:val="23"/>
                <w:szCs w:val="23"/>
                <w:color w:val="auto"/>
                <w:vertAlign w:val="superscript"/>
              </w:rPr>
              <w:t>®</w:t>
            </w:r>
          </w:p>
        </w:tc>
        <w:tc>
          <w:tcPr>
            <w:tcW w:w="5840" w:type="dxa"/>
            <w:vAlign w:val="bottom"/>
            <w:gridSpan w:val="2"/>
          </w:tcPr>
          <w:p>
            <w:pPr>
              <w:spacing w:after="0"/>
              <w:rPr>
                <w:sz w:val="20"/>
                <w:szCs w:val="20"/>
                <w:color w:val="auto"/>
              </w:rPr>
            </w:pPr>
            <w:r>
              <w:rPr>
                <w:rFonts w:ascii="Arial" w:cs="Arial" w:eastAsia="Arial" w:hAnsi="Arial"/>
                <w:sz w:val="18"/>
                <w:szCs w:val="18"/>
                <w:color w:val="auto"/>
              </w:rPr>
              <w:t>Chronic and Acute Constipation</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Omeclamox</w:t>
            </w:r>
            <w:r>
              <w:rPr>
                <w:rFonts w:ascii="Arial" w:cs="Arial" w:eastAsia="Arial" w:hAnsi="Arial"/>
                <w:sz w:val="23"/>
                <w:szCs w:val="23"/>
                <w:color w:val="auto"/>
                <w:vertAlign w:val="superscript"/>
              </w:rPr>
              <w:t>®</w:t>
            </w:r>
            <w:r>
              <w:rPr>
                <w:rFonts w:ascii="Arial" w:cs="Arial" w:eastAsia="Arial" w:hAnsi="Arial"/>
                <w:sz w:val="18"/>
                <w:szCs w:val="18"/>
                <w:color w:val="auto"/>
              </w:rPr>
              <w:t>-Pak</w:t>
            </w:r>
          </w:p>
        </w:tc>
        <w:tc>
          <w:tcPr>
            <w:tcW w:w="5840" w:type="dxa"/>
            <w:vAlign w:val="bottom"/>
            <w:gridSpan w:val="2"/>
          </w:tcPr>
          <w:p>
            <w:pPr>
              <w:spacing w:after="0"/>
              <w:rPr>
                <w:sz w:val="20"/>
                <w:szCs w:val="20"/>
                <w:color w:val="auto"/>
              </w:rPr>
            </w:pPr>
            <w:r>
              <w:rPr>
                <w:rFonts w:ascii="Arial" w:cs="Arial" w:eastAsia="Arial" w:hAnsi="Arial"/>
                <w:sz w:val="18"/>
                <w:szCs w:val="18"/>
                <w:color w:val="auto"/>
              </w:rPr>
              <w:t>H. pylori infection and related Duodenal Ulcer disease</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Vaprisol</w:t>
            </w:r>
            <w:r>
              <w:rPr>
                <w:rFonts w:ascii="Arial" w:cs="Arial" w:eastAsia="Arial" w:hAnsi="Arial"/>
                <w:sz w:val="23"/>
                <w:szCs w:val="23"/>
                <w:color w:val="auto"/>
                <w:vertAlign w:val="superscript"/>
              </w:rPr>
              <w:t>®</w:t>
            </w:r>
          </w:p>
        </w:tc>
        <w:tc>
          <w:tcPr>
            <w:tcW w:w="5840" w:type="dxa"/>
            <w:vAlign w:val="bottom"/>
            <w:gridSpan w:val="2"/>
          </w:tcPr>
          <w:p>
            <w:pPr>
              <w:spacing w:after="0"/>
              <w:rPr>
                <w:sz w:val="20"/>
                <w:szCs w:val="20"/>
                <w:color w:val="auto"/>
              </w:rPr>
            </w:pPr>
            <w:r>
              <w:rPr>
                <w:rFonts w:ascii="Arial" w:cs="Arial" w:eastAsia="Arial" w:hAnsi="Arial"/>
                <w:sz w:val="18"/>
                <w:szCs w:val="18"/>
                <w:color w:val="auto"/>
              </w:rPr>
              <w:t>Euvolemic and Hypervolemic Hyponatremia</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Vibativ</w:t>
            </w:r>
            <w:r>
              <w:rPr>
                <w:rFonts w:ascii="Arial" w:cs="Arial" w:eastAsia="Arial" w:hAnsi="Arial"/>
                <w:sz w:val="23"/>
                <w:szCs w:val="23"/>
                <w:color w:val="auto"/>
                <w:vertAlign w:val="superscript"/>
              </w:rPr>
              <w:t>®</w:t>
            </w:r>
          </w:p>
        </w:tc>
        <w:tc>
          <w:tcPr>
            <w:tcW w:w="5840" w:type="dxa"/>
            <w:vAlign w:val="bottom"/>
            <w:gridSpan w:val="2"/>
          </w:tcPr>
          <w:p>
            <w:pPr>
              <w:spacing w:after="0"/>
              <w:rPr>
                <w:sz w:val="20"/>
                <w:szCs w:val="20"/>
                <w:color w:val="auto"/>
              </w:rPr>
            </w:pPr>
            <w:r>
              <w:rPr>
                <w:rFonts w:ascii="Arial" w:cs="Arial" w:eastAsia="Arial" w:hAnsi="Arial"/>
                <w:sz w:val="18"/>
                <w:szCs w:val="18"/>
                <w:color w:val="auto"/>
              </w:rPr>
              <w:t>Serious bacterial infections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RediTrex™</w:t>
            </w:r>
          </w:p>
        </w:tc>
        <w:tc>
          <w:tcPr>
            <w:tcW w:w="5840" w:type="dxa"/>
            <w:vAlign w:val="bottom"/>
            <w:gridSpan w:val="2"/>
          </w:tcPr>
          <w:p>
            <w:pPr>
              <w:spacing w:after="0"/>
              <w:rPr>
                <w:sz w:val="20"/>
                <w:szCs w:val="20"/>
                <w:color w:val="auto"/>
              </w:rPr>
            </w:pPr>
            <w:r>
              <w:rPr>
                <w:rFonts w:ascii="Arial" w:cs="Arial" w:eastAsia="Arial" w:hAnsi="Arial"/>
                <w:sz w:val="18"/>
                <w:szCs w:val="18"/>
                <w:color w:val="auto"/>
              </w:rPr>
              <w:t>Arthritis and psoriasis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Approved</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color w:val="auto"/>
          <w:vertAlign w:val="superscript"/>
        </w:rPr>
        <w:t>®</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Acetadote is an intravenous formulation of N-acetylcysteine, indicated for the treatment of the liver toxicity associated with acetaminophen poisoning. Acetadote, has been available in the United States since Cumberland's 2004 introduction of the product through our hospital sales force. Acetadote is typically used in hospital emergency departments to prevent or lessen potential liver damage resulting from an overdose of acetaminophen, a common ingredient in many over-the-counter and prescription pain relieving and fever-reducing products. Acetaminophen overdose continues to be a leading cause of poisonings reported by hospital emergency departments in the United States, and Acetadote has become a standard of care for treating this potentially life-threatening condition.</w:t>
      </w:r>
    </w:p>
    <w:p>
      <w:pPr>
        <w:spacing w:after="0" w:line="1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Acetadote received U.S. Food and Drug Administration ("FDA") approval as an orphan drug, which provided seven years of marketing exclusivity from the date of approval. In connection with the FDA's approval of Acetadote, we committed to certain post-marketing activities for the product. Completion of our first Phase IV commitment resulted in the FDA's 2006 approval of expanded labeling for the product for use in pediatric patients. Completion of our second Phase IV commitment resulted in further revised labeling for the product with FDA approval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safety data in 2008. Completion of our third and final Phase IV commitment in 2010 culminated in the FDA’s approval of a new formulation for the product. The next generation formulation, contains no ethylene diamine tetracetic acid ("EDTA") or other stabilization agent, chelating agent or preservative. In early 2011, Cumberland introduced this new Acetadote formulation replacing the original form of the product which we no longer manufacture.</w:t>
      </w:r>
    </w:p>
    <w:p>
      <w:pPr>
        <w:spacing w:after="0" w:line="10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June 2013, the FDA approved updated labeling for Acetadote revising the product's indication and providing new dosing guidance for specific patient populations. As a result, dosing guidance is now included for patients weighing over 100 kg, and new language has been added to alert health care providers that, in certain clinical situations, therapy should be extended for some patients.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Beginning in 2012, the United States Patent and Trademark Office (the "USPTO") issued us a series of patents associated with our Acetadote product. These patents are discussed in Part I, Item I, "</w:t>
      </w:r>
      <w:r>
        <w:rPr>
          <w:rFonts w:ascii="Arial" w:cs="Arial" w:eastAsia="Arial" w:hAnsi="Arial"/>
          <w:sz w:val="16"/>
          <w:szCs w:val="16"/>
          <w:i w:val="1"/>
          <w:iCs w:val="1"/>
          <w:color w:val="auto"/>
        </w:rPr>
        <w:t>Business - Trademarks and Patents</w:t>
      </w:r>
      <w:r>
        <w:rPr>
          <w:rFonts w:ascii="Arial" w:cs="Arial" w:eastAsia="Arial" w:hAnsi="Arial"/>
          <w:sz w:val="16"/>
          <w:szCs w:val="16"/>
          <w:color w:val="auto"/>
        </w:rPr>
        <w:t>" of this Form 10-K. On November 8, 2012, we learned that the FDA approved an abbreviated new drug application (ANDA) filed by InnoPharma, Inc. and referencing Acetadote. That product, with the old formulation containing EDTA, was subsequently introduced by APP, a division of Fresenius Kabi USA, at the end of 2012. In early 2013, we entered into an agreement with Perrigo Company resulting in the distribution of our Authorized Generic acetylcysteine injection (our "Authorized Generic") product. Both Acetadote and our Authorized Generic utilize the new, EDTA-free formulation which accounted for continued significant market share during 2019.</w:t>
      </w:r>
    </w:p>
    <w:p>
      <w:pPr>
        <w:spacing w:after="0" w:line="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2015, an Illinois judge issued a final ruling in favor of Cumberland Pharmaceuticals Inc. in a patent case associated with Acetadote. By ruling in Cumberland's favor, the court upheld the validity of the patent which encompasses our EDTA-Free formulation and has a term until August 2025. The court also granted a permanent injunction preventing challengers from marketing a generic version of our proprietary Acetadote product formulation before the expiration of Cumberland’s patent in August 2025.</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26, 2017, an Appeals Court affirmed the District Court ruling in the Company's favor upholding Cumberland's Acetadote patent and expressly rejected the validity challenge.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Caldolor</w:t>
      </w:r>
      <w:r>
        <w:rPr>
          <w:rFonts w:ascii="Arial" w:cs="Arial" w:eastAsia="Arial" w:hAnsi="Arial"/>
          <w:sz w:val="23"/>
          <w:szCs w:val="23"/>
          <w:color w:val="auto"/>
          <w:vertAlign w:val="superscript"/>
        </w:rPr>
        <w:t>®</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Caldolor, our intravenous formulation of ibuprofen, was the first injectable product approved in the U.S. for the treatment of both pain and fever. We conducted a series of clinical studies in over nine hundred adult patients to develop the data to support our FDA submission for the product's registration. The FDA approved Caldolor for marketing in the United States in 2009 following a priority review. The product was indicated for use in adults as a sole treatment for the management of mild to moderate pain and for the management of moderate to severe pain as an adjunct to opioid analgesics. It was also the first FDA approved intravenous therapy for treating fever.</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late 2009, we launched Caldolor and stocked the product at major wholesalers serving hospitals nationwide. We initially worked to establish a core group of medical facilities approving and purchasing the product and then focused on building more sales volume and treating a broader range of patients within those stocked facilities. We promote Caldolor in the United States through our dedicated hospital sales force.</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completed a series of Phase IV studies to gather additional data to support our Caldolor product. Those clinical trials involved another 1,000 patients, adult and pediatric patients. These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2015 we received FDA approval for the use of Caldolor in pediatric patients six months of age and older. Caldolor is the first and only injectable non-steroidal anti-inflammatory drug (NSAID) approved for use in children. We then initiated a study to collect data on the use of Caldolor in children ranging in age from birth up to six months of age. Enrollment in that study was completed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early 2018, we completed and filed the application for FDA approval of a next generation Caldolor product featuring an improved presentation and formulation. In April 2018, the FDA determined that the application was complete and notified us of their acceptance of the submission for review. There were then a number of communications with questions addressed through multiple amendments that were submitted to the application.</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the FDA approved the application for our next generation Caldolor product. In April 2019, we began initial shipments of the product to select customers. During the third and fourth quarters of 2019, there was a growing demand for the new product from these select accounts and we began planning for a full-scale launch in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Kristalose</w:t>
      </w:r>
      <w:r>
        <w:rPr>
          <w:rFonts w:ascii="Arial" w:cs="Arial" w:eastAsia="Arial" w:hAnsi="Arial"/>
          <w:sz w:val="23"/>
          <w:szCs w:val="23"/>
          <w:color w:val="auto"/>
          <w:vertAlign w:val="superscript"/>
        </w:rPr>
        <w:t>®</w:t>
      </w:r>
    </w:p>
    <w:p>
      <w:pPr>
        <w:spacing w:after="0" w:line="10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Kristalose is a prescription laxative administered orally for the treatment of acute and chronic constipation. An innovative, dry powder crystalline formulation of lactulose, Kristalose is designed to enhance patient acceptance and compliance. Kristalose is the only prescription laxative available in pre-measured powder packets.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Kristalose dissolves easily in four ounces of water, offering patients a virtually taste-free, grit-free and essentially calorie-free alternative to lactulose syrups. We conducted a preference study which indicated that seventy-seven percent of patients surveyed prefer the taste, consistency and portability of Kristalose over similar products in syrup forms.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acquired exclusive U.S. commercialization rights to Kristalose in 2006, assembled a dedicated field sales force and re-launched it in September 2006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late 2011, through a series of transactions, we entered into an agreement to acquire assets associated with the Kristalose brand including the Kristalose trademark and the FDA registration.</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Using the preference data as a cornerstone of our marketing efforts, we repositioned the brand in early 2014. The marketing strategy which continued in 2019 included an enhanced patient coupon program and expanded managed care coverage for the product.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added a co-promotion partner to provide support for the brand in 2017. Poly Pharmaceuticals is promoting Kristalose to physician targets not covered by our field sales forces. In 2018 we added another co-promotion partner, 2R Pharmaceuticals who is repackaging Kristalose and featuring it with additional new physician targets.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Omeclamox</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-Pak</w:t>
      </w:r>
    </w:p>
    <w:p>
      <w:pPr>
        <w:spacing w:after="0" w:line="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Many ulcers of the gastrointestinal tract are caused by an infection from the Helicobacter pylori (“H. pylori”) bacterium. Omeclamox-Pak is a branded prescription product used for the treatment of these infections and the related duodenal ulcer disease. This innovative product combines three well-known and widely prescribed medications: omeprazole, clarithromycin, and amoxicillin. Omeclamox-Pak was the first FDA approved triple therapy combination medication to contain omeprazole as the proton pump inhibitor, which works to decrease the amount of acid the stomach produces. Clarithromycin and amoxicillin are both antibiotic agents which hinder the growth of the H. pylori bacteria. Interaction of these agents allows the stomach lining to heal effectively. The medications are packaged together on convenient daily dosing cards, making it simple to follow the twice a day dosing before meals.</w:t>
      </w:r>
    </w:p>
    <w:p>
      <w:pPr>
        <w:spacing w:after="0" w:line="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there are competing combination products, Omeclamox-Pak is one of the few actively marketed brands for this condition. In addition, compared to the competitors, Omeclamox-Pak involves the lowest pill burden and fewest days of therapy. Our involvement with Omeclamox-Pak began in October 2013, through a co-promotion agreement with Pernix Therapeutics ("Pernix"). In November 2015, Cumberland entered into an exclusive license and supply agreement with Gastro-Entero Logic, LLC (“GEL”), assumed full commercial responsibility for Omeclamox-Pak in the United States, and concluded our agreements with Pernix. Cumberland became responsible for the distribution, national accounts and all sales promotion of Omeclamox-Pak under the GEL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2018, we completed an agreement with GEL to acquire all remaining assets associated with Omeclamox-Pak including the Product’s FDA approval as well as the domestic and international trademarks. The closing of this transaction ended Cumberland’s payments of royalties and manufacturing fees to GEL, and we assumed responsibility for the maintenance of the Product’s FDA approval and for the oversight of the Product’s manufacturing and packaging.</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field sales force promotes Omeclamox-Pak to the gastroenterology market segment, which accounts for the largest component of the prescriber base for this product. We supplement this personal promotion through telemarketing campaigns to expand the support and use of the product. We have also established a series of contracts to provide managed care coverage for Omeclamox-Pak.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color w:val="auto"/>
          <w:vertAlign w:val="superscript"/>
        </w:rPr>
        <w:t>®</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early 2014, we entered into an agreement with Astellas Pharma US, Inc. ("Astellas") to acquire Vaprisol, including certain product rights, intellectual property and related assets. Vaprisol is a prescription brand indicated to raise serum sodium levels in hospitalized patients with euvolemic and hypervolemic hyponatremia. The product was developed and registered by Astellas. It is one of two branded prescription products indicated for the treatment of hyponatremia, and the only intravenously administered branded treatment. During 2019 normal supply of the product resumed and we supported it through our hospital sales division.</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re-launched active promotion of the brand during the middle of 2014 utilizing our hospital sales force supported by a series of marketing initiatives. In late 2017, we encountered delays in manufacture and supply of the product which impacted its sales until the second quarter of 2018 when new inventory arrived. We then restocked the distribution channels for Vaprisol and increased our inventory level of the brand.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i w:val="1"/>
          <w:iCs w:val="1"/>
          <w:color w:val="auto"/>
          <w:vertAlign w:val="superscript"/>
        </w:rPr>
        <w:t>®</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2018, the Company announced an agreement with Theravance Biopharma ("Theravance") to acquire the Vibativ assets from Theravance and assume global responsibility for Vibativ including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2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Immediately after the closing, we initiated shipments of Vibativ and assumed responsibility for the supply chain and distribution of the product in the U.S. Vibativ is supported by our hospital sales division. During 2019 we transitioned responsibilities for the brand from Theravance to Cumberland.</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late 2019, we announced a publication in </w:t>
      </w:r>
      <w:r>
        <w:rPr>
          <w:rFonts w:ascii="Arial" w:cs="Arial" w:eastAsia="Arial" w:hAnsi="Arial"/>
          <w:sz w:val="18"/>
          <w:szCs w:val="18"/>
          <w:i w:val="1"/>
          <w:iCs w:val="1"/>
          <w:color w:val="auto"/>
        </w:rPr>
        <w:t>Infectious Diseases and Therapy</w:t>
      </w:r>
      <w:r>
        <w:rPr>
          <w:rFonts w:ascii="Arial" w:cs="Arial" w:eastAsia="Arial" w:hAnsi="Arial"/>
          <w:sz w:val="18"/>
          <w:szCs w:val="18"/>
          <w:color w:val="auto"/>
        </w:rPr>
        <w:t xml:space="preserve">, with study results showing numerically superior cure rates of telavancin compared to vancomycin within a subset of patients who were enrolled in phase 3 ATTAIN trials and had hospital-acquired pneumonia caused by bacteria with low susceptibility to vancomycin. Additionally, an online publication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detailed the positive clinical outcomes that resulted from treating multiple infection types with Vibativ, including complicated skin infections, bone and joint infections, bacteremia and endocarditis, and lower respiratory tract infections.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RediTrex</w:t>
      </w:r>
      <w:r>
        <w:rPr>
          <w:rFonts w:ascii="Arial" w:cs="Arial" w:eastAsia="Arial" w:hAnsi="Arial"/>
          <w:sz w:val="23"/>
          <w:szCs w:val="23"/>
          <w:i w:val="1"/>
          <w:iCs w:val="1"/>
          <w:color w:val="auto"/>
          <w:vertAlign w:val="superscript"/>
        </w:rPr>
        <w:t>™</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2016, we announced an agreement with Nordic Group B.V. to commercialize their methotrexate product line in the United States. This new line of injectable products is designed for treating patients with arthritis and psoriasis. Cumberland is responsible for the registration and commercialization of these products while Nordic will manage the product supply. Nordic has registered and is selling their methotrexate products in several European countries.</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late 2018, we completed the submission and filed with the FDA a New Drug Application for our methotrexate products. In December 2019, we received FDA approval for RediTrex and began planning for a 2020 launch of this product line.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Ethyol</w:t>
      </w:r>
      <w:r>
        <w:rPr>
          <w:rFonts w:ascii="Arial" w:cs="Arial" w:eastAsia="Arial" w:hAnsi="Arial"/>
          <w:sz w:val="23"/>
          <w:szCs w:val="23"/>
          <w:color w:val="auto"/>
          <w:vertAlign w:val="superscript"/>
        </w:rPr>
        <w:t>®</w:t>
      </w:r>
    </w:p>
    <w:p>
      <w:pPr>
        <w:spacing w:after="0" w:line="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2016, the Company announced an agreement with Clinigen Group Plc ("Clinigen") in which Cumberland acquired the exclusive rights to commercialize and reintroduce Ethyol in the United States. Ethyol is an FDA approved cytoprotective drug containing amifostine for injection. It is indicated as an adjuvant therapy to reduce the incidence of xerostomia (dry mouth) as a side-effect in patients undergoing post-operative radiation treatment for head and neck cancer. It also reduces the cumulative renal toxicity associated with the repeated administration of cisplatin in patients with advanced ovarian cancer. Under the terms of the agreement, Cumberland is responsible for all marketing, promotion, and distribution of the product in the United States.</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late 2016, we began distribution of Ethyol for injection to wholesalers within the United States and launched national promotional support for the brand by our hospital sales division.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early 2019 we initiated a strategic review of our products, partners and organization. As a result, we concluded our distribution and support for Ethyol and transitioned the product responsibilities back to Clinigen. As a result, Cumberland will no longer be involved with the distribution, marketing and promotion of Ethyol or any competing products after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Totect</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we announced an exclusive agreement with Clinigen to distribute the oncology support drug, Totect in the United States. It is an FDA approved hospital based emergency oncology intervention drug, indicated to treat the toxic effects of anthracycline chemotherapy. It treats anthracycline extravasation that occurs when the injected medication escapes from the blood vessels and circulates into surrounding tissues in the body, causing severe damage and serious complications. Totect can limit such damage without the need for additional surgeries or procedures and enables patients to continue their essential anti-cancer treatment.</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late July 2017, we initiated distribution and sale of Totect (dexrazoxane hydrochloride) in the United States. This followed the FDA approval of the updated labeling and product manufacturer for the product. In late September 2017, we announced the relaunch of Totect in the United States.We launched Totect during a national shortage of dexrazoxane in late 2017, resulting in strong initial demand for the product. During 2018 a number of competitive products returned, reducing Totect’s share of the market.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our strategic review we concluded our distribution of Totect and transitioned the rights and responsibilities for the brand back to Clinigen.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development pipeline includes a series of product candidates in Phase II development. Our areas of focus include: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Hepatorenal Syndrome ("HRS")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2011, we entered into an agreement to acquire the rights to ifetroban, a new Phase II product candidate. Our acquisition of the rights to the ifetroban program includes an extensive clinical database and non-clinical data package as well as manufacturing processes, know-how and intellectual property. Ifetroban was initially developed by a large pharmaceutical company for significant cardiovascular indications. That company conducted extensive studies for their target indications and eventually donated the entire program to Vanderbilt University. Researchers at Vanderbilt identified ifetroban as a potentially valuable compound in treating patients for several niche indications. Cumberland acquired the rights to the ifetroban program from Vanderbilt through CET with the intention to develop the product for several potential new indications.</w:t>
      </w:r>
    </w:p>
    <w:p>
      <w:pPr>
        <w:spacing w:after="0" w:line="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commenced manufacturing of an intravenous formulation of ifetroban and the FDA has cleared our investigational new drug (“IND”) application for this product candidate. We have initiated clinical development under the brand name Hepatoren and are evaluating this candidate for the treatment of critically ill hospitalized patients suffering from hepatorenal syndrome ("HRS"). HRS is a life threatening condition involving liver and kidney failure, with a high mortality rate and no approved pharmaceutical therapy in the U.S. We completed a sixty-four patient Phase II study to evaluate the safety, efficacy and pharmacokinetics of escalating doses of Hepatoren in HRS patients.</w:t>
      </w:r>
    </w:p>
    <w:p>
      <w:pPr>
        <w:spacing w:after="0" w:line="12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Progression to higher dose levels was reviewed and approved by an independent safety committee. The study was stratified into Type I or Type II patients with HRS based upon the progression of their disease.</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Top line results from this study indicated that Hepatoren was overall well tolerated in the HRS patients with no safety concerns noted. We have filed the results from this study with the FDA and began evaluating the design for a follow-on Phase II efficacy study.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Aspirin-Exacerbated Respiratory Disease ("AERD")</w:t>
      </w:r>
    </w:p>
    <w:p>
      <w:pPr>
        <w:spacing w:after="0" w:line="1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completed the manufacturing and initiated clinical development of an oral formulation of ifetroban under the brand name Boxaban. We are evaluating this candidate for patients suffering from Aspirin-Exacerbated Respiratory Disease ("AERD"), also known as Samter’s Triad, a chronic medical condition that consists of three clinical features: asthma, sinus disease with nasal polyposis and sensitivity to aspirin. AERD is characterized by sharp increases in inflammatory mediators and platelet activity within the respiratory system. Approximately one in twenty asthmatic adults in the U.S. suffer from AERD and awareness of the disease is growing within the medical community. There is no U.S. approved pharmaceutical treatment for AERD.</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completed an initial Phase II clinical study to evaluate the safety and tolerability of Boxaban in AERD patients. The multicenter study involved sixteen patients at several U.S. medical centers led by the Scripps Research Institute. Results indicated that Boxaban was well tolerated with no safety concerns noted in patients with a history of AERD.</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early 2017, the FDA cleared Cumberland’s IND application for the Company’s AERD clinical program. Following this clearance, we initiated a follow-on multicenter Phase II efficacy study to evaluate the efficacy of Boxaban in seventy-six patients with symptomatic AERD. Enrollment in this multi-center, placebo controlled study progressed in 2019 at a growing number of allergy and asthma centers across the 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Sclerosis ("SSc")</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2016, we announced the addition of Vasculan to our pipeline. Through Cumberland's ifetroban program, Cumberland has initiated the clinical development of ifetroban oral capsules for the treatment of systemic sclerosis.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Systemic sclerosis ("SSc"), also called scleroderma, is a debilitating autoimmune disorder characterized by diffuse fibrosis of the skin and internal organs, as well as vascular dysfunction. Preclinical studies have shown that ifetroban prevents and can restore cardiac function in a preclinical model of pulmonary arterial hypertension. This disease has a high morbidity and the highest case-specific mortality of any rheumatic disorder with 50% of patients dying or developing major internal organ complications within 3 years of diagnosis. Although several medications are used to treat the skin disease associated with SSc, there is no universally effective treatment to improve the function of affected internal organs such as the lungs, heart, and gastrointestinal tract.</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FDA has cleared our IND application to evaluate the safety and efficacy of Vasculan in patients with SSc. As a result, we initiated a Phase II multicenter study in thirty-four SSc patients. Enrollment in this randomized, placebo controlled trial progressed at several scleroderma centers of excellence in the United States during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Portal Hypertinsion ("PH")</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2016, we announced the addition of Portaban to our pipeline. Cumberland has initiated the clinical development of Portaban for the treatment of portal hypertension ("PH") associated with chronic liver disease. Preclinical studies have shown ifetroban can reduce portal pressure, inflammation, and fibrosis in multiple models of liver injury.</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FDA cleared our IND application for a clinical development program evaluating Portaban in thirty patients with PH. Following that clearance, a multicenter Phase II study was initiated. During 2018 enrollment in this randomized, placebo controlled study was completed.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study was primarily designed to evaluate the safety of ifetroban treatment in this population and was not powered for any efficacy measurement.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initial review of the data from the study shows ifetroban was safe and well tolerated with no unexpected safety findings.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measured hepatic venous pressure. Patients enrolled had a greater degree of variability than expected in their hepatic venous pressure gradient, therefore no definitive conclusions could be made on the impact of ifetroban on modulating that gradient. A full analysis of the data to include biomarkers and exploratory endpoints is ongoing.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 ("DMD")</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September 24, 2019, Cumberland announced U.S. Food and Drug Administration ("FDA") Orphan Drug Grant funding for a new Phase II clinical program. The Company has initiated the clinical development of ifetroban for the treatment of cardiomyopathy associated with Duchenne Muscular Dystrophy (“DMD”). Based on preclinical findings, the FDA has cleared Cumberland’s application to study ifetroban in DMD patients, 7 years of age and older. In addition, Cumberland has been awarded just over $1 million in funding from the FDA through their Orphan Drug Grant program to support this Phase II DMD clinical study. It is the first DMD clinical study approved for FDA Orphan Product Development funding.</w:t>
      </w:r>
    </w:p>
    <w:p>
      <w:pPr>
        <w:spacing w:after="0" w:line="1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pilot studies of ifetroban are underway including several investigator-initiated trials. We are awaiting further study results before deciding on the best path for approval for ifetroban, our first new chemical entity.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Hospital Product Candidate</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 reducing agent for use in the hospital setting.</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2017, we completed a Phase I study which defined the pharmacokinetic properties and provided a favorable safety profile for this new product candidate. The study results and a proposed clinical development plan were discussed with the FDA and, as a result, a Phase II study has been initiated and progressed during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growth strategy involves maximizing the potential of our existing brands while continuing to build a portfolio of differentiated products. We currently market six FDA approved products for sale in the United States. Through our international partners, we are working to bring our products to patients in their countries. We also look for opportunities to expand our products into additional patient populations through clinical trials, new indications, and select investigator-initiated studies. We actively pursue opportunities to acquire additional marketed products as well as late-stage development product candidates in our target medical specialties. Our clinical team is developing a pipeline of new product candidates to address unmet medical needs. Further, we are supplementing these activities with the early stage drug development activities at CET, our majority-owned subsidiary. Specifically, we are seeking long term sustainable growth by executing the following plans:</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Support and expand the use of our marketed products. </w:t>
      </w:r>
      <w:r>
        <w:rPr>
          <w:rFonts w:ascii="Arial" w:cs="Arial" w:eastAsia="Arial" w:hAnsi="Arial"/>
          <w:sz w:val="18"/>
          <w:szCs w:val="18"/>
          <w:color w:val="auto"/>
        </w:rPr>
        <w:t>We continue to evaluate our products following their FDA approval to determine if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data could expand their market and use. We will continue to explore opportunities for label expansion to bring our products to new patient populations. We have secured pediatric approval, expanding the labeling for both our Acetadote and Caldolor brands.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Selectively add complementary brands. </w:t>
      </w:r>
      <w:r>
        <w:rPr>
          <w:rFonts w:ascii="Arial" w:cs="Arial" w:eastAsia="Arial" w:hAnsi="Arial"/>
          <w:sz w:val="18"/>
          <w:szCs w:val="18"/>
          <w:color w:val="auto"/>
        </w:rPr>
        <w:t>In addition to our product development activities, we are also seeking to acquire products or late-stage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product candidates to continue to build a portfolio of complementary brands. We focus on under-promoted, FDA 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represents our largest product acquisition.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Progress clinical pipeline and incubate future product opportunities at CET. </w:t>
      </w:r>
      <w:r>
        <w:rPr>
          <w:rFonts w:ascii="Arial" w:cs="Arial" w:eastAsia="Arial" w:hAnsi="Arial"/>
          <w:sz w:val="17"/>
          <w:szCs w:val="17"/>
          <w:color w:val="auto"/>
        </w:rPr>
        <w:t>We believe it is important to build a pipeline of innovative new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Our ifetroban Phase II development programs represent the implementation of this strategy. At CET, we are supplementing our acquisition and late-stage development activities with the early-stage drug development activities. CET partners with universities and other research organizations to develop promising, early-stage product candidates, which Cumberland has the opportunity to further develop and commercialize. We expanded our network of university collaborations with the addition of Louisiana State University and the Medical University of South Carolina.</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Leverage our infrastructure through co-promotion partnerships. </w:t>
      </w:r>
      <w:r>
        <w:rPr>
          <w:rFonts w:ascii="Arial" w:cs="Arial" w:eastAsia="Arial" w:hAnsi="Arial"/>
          <w:sz w:val="17"/>
          <w:szCs w:val="17"/>
          <w:color w:val="auto"/>
        </w:rPr>
        <w:t>We believe that our commercial infrastructure can help drive prescription volume and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sales. We look for strategic partners that can complement our capabilities and enhance the opportunity for our brands. Our co-promotion partnership with Poly Pharmaceuticals, Inc. allows us to expand current promotional support for Kristalose across the United States.</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Build an international contribution to our business. </w:t>
      </w:r>
      <w:r>
        <w:rPr>
          <w:rFonts w:ascii="Arial" w:cs="Arial" w:eastAsia="Arial" w:hAnsi="Arial"/>
          <w:sz w:val="18"/>
          <w:szCs w:val="18"/>
          <w:color w:val="auto"/>
        </w:rPr>
        <w:t>We have established our own commercial capabilities, including two sales divisions to cover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U.S. market for our products. We are also building a network of select international partners to register our products and make them available to patients in their countries.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Manage our operations with financial discipline. </w:t>
      </w:r>
      <w:r>
        <w:rPr>
          <w:rFonts w:ascii="Arial" w:cs="Arial" w:eastAsia="Arial" w:hAnsi="Arial"/>
          <w:sz w:val="18"/>
          <w:szCs w:val="18"/>
          <w:color w:val="auto"/>
        </w:rPr>
        <w:t>We continually work to manage our expenses in line with our revenues in order to deliver positive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 from operations. We remain in a strong financial position, with favorable gross margins, and a strong balance sheet. We use excess cash flow for our ongoing share repurchase program.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sales and marketing team has broad industry experience in selling branded pharmaceuticals. Our sales and marketing professionals manage our dedicated hospital and gastroenterology sales forces, including approximately 50 sales representatives and district managers, direct our national marketing campaigns and maintain key national account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13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 xml:space="preserve">Hospital market: </w:t>
      </w:r>
      <w:r>
        <w:rPr>
          <w:rFonts w:ascii="Arial" w:cs="Arial" w:eastAsia="Arial" w:hAnsi="Arial"/>
          <w:sz w:val="18"/>
          <w:szCs w:val="18"/>
          <w:color w:val="auto"/>
        </w:rPr>
        <w:t>We promote Caldolor, Vaprisol, Acetadote, and Vibativ through our dedicated hospital sales division. This organization targets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hospitals across the U.S. and is comprised of sales professionals with substantial experience in the hospital market. Independent market data continues to indicate that the majority of pharmaceutical promotional spending is directed toward large, outpatient markets on drugs intended for chronic use rather than short-term, hospital use.</w:t>
      </w:r>
    </w:p>
    <w:p>
      <w:pPr>
        <w:spacing w:after="0" w:line="10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believe the hospital market is under-served and highly concentrated, and that it can be penetrated effectively by a small, dedicated sales force without large-scale promotional activity. Our established position in the hospital market provided the rationale for adding Vibativ as our first infectious disease product that complement our hospital product line. Our strategy has been to increase the focus of our hospital sales team on targeted, high priority accounts.</w:t>
      </w:r>
    </w:p>
    <w:p>
      <w:pPr>
        <w:spacing w:after="0" w:line="11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Gastroenterology market: </w:t>
      </w:r>
      <w:r>
        <w:rPr>
          <w:rFonts w:ascii="Arial" w:cs="Arial" w:eastAsia="Arial" w:hAnsi="Arial"/>
          <w:sz w:val="17"/>
          <w:szCs w:val="17"/>
          <w:color w:val="auto"/>
        </w:rPr>
        <w:t>We promote Kristalose and Omeclamox-Pak through a dedicated field sales team addressing a targeted group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physicians who are large prescribers of both products. Because the market for gastrointestinal diseases is broad in patient scope, yet relatively narrow in physician base, we believe it provides product opportunities that can be penetrated with a modest sized sales force.</w:t>
      </w:r>
    </w:p>
    <w:p>
      <w:pPr>
        <w:spacing w:after="0" w:line="9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By investing in our sales and marketing activities we believe that we can increase market share for both products. Our field sales force features both Kristalose and Omeclamox-Pak during most of their physician calls, establishing our presence in the gastroenterology market.</w:t>
      </w:r>
    </w:p>
    <w:p>
      <w:pPr>
        <w:spacing w:after="0" w:line="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marketing executives conduct ongoing analyses to evaluate marketing campaigns and promotional programs. The evaluations include development of product profiles, testing of the profiles against the needs of the market, determining what additional product information or development work is needed to effectively market the products and preparing financial forecasts.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utilize professional branding and packaging as well as promotional items to support our products, including direct mail, sales brochures, journal advertising, educational and reminder leave-behinds, patient educational pieces, coupons, and product sampling. We also regularly attend select medical meetings and trade shows to expand the awareness of our products.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national accounts function is responsible for key large buyers and related marketing programs. National accounts maintains relationships with our wholesaler customers as well as with third-party payors such as group purchasing organizations, pharmacy benefit managers, hospital buying groups, state and federal government purchasers and health insurance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CUSTOMERS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customers are wholesale pharmaceutical distributors in the United States. Total revenue by customer for each customer representing 10% or more of consolidated gross revenues are summarized below for the year ended December 31, 2019:</w:t>
      </w:r>
    </w:p>
    <w:p>
      <w:pPr>
        <w:spacing w:after="0" w:line="157" w:lineRule="exact"/>
        <w:rPr>
          <w:sz w:val="20"/>
          <w:szCs w:val="20"/>
          <w:color w:val="auto"/>
        </w:rPr>
      </w:pPr>
    </w:p>
    <w:tbl>
      <w:tblPr>
        <w:tblLayout w:type="fixed"/>
        <w:tblInd w:w="292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17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142"/>
        </w:trPr>
        <w:tc>
          <w:tcPr>
            <w:tcW w:w="3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1</w:t>
            </w:r>
          </w:p>
        </w:tc>
        <w:tc>
          <w:tcPr>
            <w:tcW w:w="172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Customer 2</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3</w:t>
            </w:r>
          </w:p>
        </w:tc>
        <w:tc>
          <w:tcPr>
            <w:tcW w:w="172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Customer 4</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PARTNERSHIPS</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established our own capabilities to support the commercialization of our products in the U.S. Our international strategy is to identify and partner with other companies that have the appropriate capabilities to support our products in their respective countries. We have entered into a series of agreements to establish an international network, which is summarized in the table below and includes information on our primary partners: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ind w:left="840"/>
              <w:spacing w:after="0"/>
              <w:rPr>
                <w:sz w:val="20"/>
                <w:szCs w:val="20"/>
                <w:color w:val="auto"/>
              </w:rPr>
            </w:pPr>
            <w:r>
              <w:rPr>
                <w:rFonts w:ascii="Arial" w:cs="Arial" w:eastAsia="Arial" w:hAnsi="Arial"/>
                <w:sz w:val="18"/>
                <w:szCs w:val="18"/>
                <w:b w:val="1"/>
                <w:bCs w:val="1"/>
                <w:color w:val="auto"/>
              </w:rPr>
              <w:t>International Partner</w:t>
            </w: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Product(s)</w:t>
            </w:r>
          </w:p>
        </w:tc>
        <w:tc>
          <w:tcPr>
            <w:tcW w:w="4680" w:type="dxa"/>
            <w:vAlign w:val="bottom"/>
            <w:gridSpan w:val="2"/>
          </w:tcPr>
          <w:p>
            <w:pPr>
              <w:ind w:left="1920"/>
              <w:spacing w:after="0"/>
              <w:rPr>
                <w:sz w:val="20"/>
                <w:szCs w:val="20"/>
                <w:color w:val="auto"/>
              </w:rPr>
            </w:pPr>
            <w:r>
              <w:rPr>
                <w:rFonts w:ascii="Arial" w:cs="Arial" w:eastAsia="Arial" w:hAnsi="Arial"/>
                <w:sz w:val="18"/>
                <w:szCs w:val="18"/>
                <w:b w:val="1"/>
                <w:bCs w:val="1"/>
                <w:color w:val="auto"/>
              </w:rPr>
              <w:t>Territory</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Status</w:t>
            </w:r>
          </w:p>
        </w:tc>
      </w:tr>
      <w:tr>
        <w:trPr>
          <w:trHeight w:val="27"/>
        </w:trPr>
        <w:tc>
          <w:tcPr>
            <w:tcW w:w="3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88"/>
        </w:trPr>
        <w:tc>
          <w:tcPr>
            <w:tcW w:w="3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Phebra Pty Ltd</w:t>
            </w: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Acetadote</w:t>
            </w: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Australia and New Zealand</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Marketed</w:t>
            </w:r>
          </w:p>
        </w:tc>
      </w:tr>
      <w:tr>
        <w:trPr>
          <w:trHeight w:val="24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DB Pharm Korea Co.,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Caldolor</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South Korea</w:t>
            </w:r>
          </w:p>
        </w:tc>
        <w:tc>
          <w:tcPr>
            <w:tcW w:w="1540" w:type="dxa"/>
            <w:vAlign w:val="bottom"/>
          </w:tcPr>
          <w:p>
            <w:pPr>
              <w:ind w:left="20"/>
              <w:spacing w:after="0"/>
              <w:rPr>
                <w:sz w:val="20"/>
                <w:szCs w:val="20"/>
                <w:color w:val="auto"/>
              </w:rPr>
            </w:pPr>
            <w:r>
              <w:rPr>
                <w:rFonts w:ascii="Arial" w:cs="Arial" w:eastAsia="Arial" w:hAnsi="Arial"/>
                <w:sz w:val="18"/>
                <w:szCs w:val="18"/>
                <w:color w:val="auto"/>
              </w:rPr>
              <w:t>Marketed</w:t>
            </w:r>
          </w:p>
        </w:tc>
      </w:tr>
      <w:tr>
        <w:trPr>
          <w:trHeight w:val="270"/>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Vibativ</w:t>
            </w:r>
          </w:p>
        </w:tc>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Registration</w:t>
            </w: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Seqirus (a CSL company)</w:t>
            </w: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Caldolor</w:t>
            </w: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Australia and New Zealand</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Marketed</w:t>
            </w:r>
          </w:p>
        </w:tc>
      </w:tr>
      <w:tr>
        <w:trPr>
          <w:trHeight w:val="24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Sandor Medicaids Pvt.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Caldolor</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India, Pakistan, Bangladesh and Nepal</w:t>
            </w:r>
          </w:p>
        </w:tc>
        <w:tc>
          <w:tcPr>
            <w:tcW w:w="1540" w:type="dxa"/>
            <w:vAlign w:val="bottom"/>
          </w:tcPr>
          <w:p>
            <w:pPr>
              <w:ind w:left="20"/>
              <w:spacing w:after="0"/>
              <w:rPr>
                <w:sz w:val="20"/>
                <w:szCs w:val="20"/>
                <w:color w:val="auto"/>
              </w:rPr>
            </w:pPr>
            <w:r>
              <w:rPr>
                <w:rFonts w:ascii="Arial" w:cs="Arial" w:eastAsia="Arial" w:hAnsi="Arial"/>
                <w:sz w:val="18"/>
                <w:szCs w:val="18"/>
                <w:color w:val="auto"/>
              </w:rPr>
              <w:t>Marketed</w:t>
            </w: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GerminMED</w:t>
            </w: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Caldolor</w:t>
            </w: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Arabian Peninsula</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Marketed</w:t>
            </w:r>
          </w:p>
        </w:tc>
      </w:tr>
      <w:tr>
        <w:trPr>
          <w:trHeight w:val="24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PT. ETHICA Industri Farmasi</w:t>
            </w:r>
          </w:p>
        </w:tc>
        <w:tc>
          <w:tcPr>
            <w:tcW w:w="1360" w:type="dxa"/>
            <w:vAlign w:val="bottom"/>
            <w:gridSpan w:val="2"/>
          </w:tcPr>
          <w:p>
            <w:pPr>
              <w:spacing w:after="0"/>
              <w:rPr>
                <w:sz w:val="20"/>
                <w:szCs w:val="20"/>
                <w:color w:val="auto"/>
              </w:rPr>
            </w:pPr>
            <w:r>
              <w:rPr>
                <w:rFonts w:ascii="Arial" w:cs="Arial" w:eastAsia="Arial" w:hAnsi="Arial"/>
                <w:sz w:val="18"/>
                <w:szCs w:val="18"/>
                <w:color w:val="auto"/>
              </w:rPr>
              <w:t>Caldolor</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Indonesia</w:t>
            </w:r>
          </w:p>
        </w:tc>
        <w:tc>
          <w:tcPr>
            <w:tcW w:w="1540" w:type="dxa"/>
            <w:vAlign w:val="bottom"/>
          </w:tcPr>
          <w:p>
            <w:pPr>
              <w:ind w:left="20"/>
              <w:spacing w:after="0"/>
              <w:rPr>
                <w:sz w:val="20"/>
                <w:szCs w:val="20"/>
                <w:color w:val="auto"/>
              </w:rPr>
            </w:pPr>
            <w:r>
              <w:rPr>
                <w:rFonts w:ascii="Arial" w:cs="Arial" w:eastAsia="Arial" w:hAnsi="Arial"/>
                <w:sz w:val="18"/>
                <w:szCs w:val="18"/>
                <w:color w:val="auto"/>
              </w:rPr>
              <w:t>Registration</w:t>
            </w: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Laboratorios Grifols, S.A.</w:t>
            </w: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Caldolor</w:t>
            </w: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Spain, Portugal and South America</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Registration</w:t>
            </w:r>
          </w:p>
        </w:tc>
      </w:tr>
      <w:tr>
        <w:trPr>
          <w:trHeight w:val="229"/>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WinHealth Pharma Group Co.</w:t>
            </w:r>
          </w:p>
        </w:tc>
        <w:tc>
          <w:tcPr>
            <w:tcW w:w="1360" w:type="dxa"/>
            <w:vAlign w:val="bottom"/>
            <w:gridSpan w:val="2"/>
          </w:tcPr>
          <w:p>
            <w:pPr>
              <w:spacing w:after="0"/>
              <w:rPr>
                <w:sz w:val="20"/>
                <w:szCs w:val="20"/>
                <w:color w:val="auto"/>
              </w:rPr>
            </w:pPr>
            <w:r>
              <w:rPr>
                <w:rFonts w:ascii="Arial" w:cs="Arial" w:eastAsia="Arial" w:hAnsi="Arial"/>
                <w:sz w:val="18"/>
                <w:szCs w:val="18"/>
                <w:color w:val="auto"/>
              </w:rPr>
              <w:t>Caldolor &amp;</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China and Hong Kong</w:t>
            </w:r>
          </w:p>
        </w:tc>
        <w:tc>
          <w:tcPr>
            <w:tcW w:w="1540" w:type="dxa"/>
            <w:vAlign w:val="bottom"/>
          </w:tcPr>
          <w:p>
            <w:pPr>
              <w:ind w:left="20"/>
              <w:spacing w:after="0"/>
              <w:rPr>
                <w:sz w:val="20"/>
                <w:szCs w:val="20"/>
                <w:color w:val="auto"/>
              </w:rPr>
            </w:pPr>
            <w:r>
              <w:rPr>
                <w:rFonts w:ascii="Arial" w:cs="Arial" w:eastAsia="Arial" w:hAnsi="Arial"/>
                <w:sz w:val="18"/>
                <w:szCs w:val="18"/>
                <w:color w:val="auto"/>
              </w:rPr>
              <w:t>Development</w:t>
            </w:r>
          </w:p>
        </w:tc>
      </w:tr>
      <w:tr>
        <w:trPr>
          <w:trHeight w:val="230"/>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Acetadote</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R-Pharm JSC</w:t>
            </w: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Vibativ</w:t>
            </w: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Russia</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Marketed</w:t>
            </w:r>
          </w:p>
        </w:tc>
      </w:tr>
      <w:tr>
        <w:trPr>
          <w:trHeight w:val="24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Hikma Pharmaceuticals</w:t>
            </w:r>
          </w:p>
        </w:tc>
        <w:tc>
          <w:tcPr>
            <w:tcW w:w="1360" w:type="dxa"/>
            <w:vAlign w:val="bottom"/>
            <w:gridSpan w:val="2"/>
          </w:tcPr>
          <w:p>
            <w:pPr>
              <w:spacing w:after="0"/>
              <w:rPr>
                <w:sz w:val="20"/>
                <w:szCs w:val="20"/>
                <w:color w:val="auto"/>
              </w:rPr>
            </w:pPr>
            <w:r>
              <w:rPr>
                <w:rFonts w:ascii="Arial" w:cs="Arial" w:eastAsia="Arial" w:hAnsi="Arial"/>
                <w:sz w:val="18"/>
                <w:szCs w:val="18"/>
                <w:color w:val="auto"/>
              </w:rPr>
              <w:t>Vibativ</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Arabian Peninsula</w:t>
            </w:r>
          </w:p>
        </w:tc>
        <w:tc>
          <w:tcPr>
            <w:tcW w:w="1540" w:type="dxa"/>
            <w:vAlign w:val="bottom"/>
          </w:tcPr>
          <w:p>
            <w:pPr>
              <w:ind w:left="20"/>
              <w:spacing w:after="0"/>
              <w:rPr>
                <w:sz w:val="20"/>
                <w:szCs w:val="20"/>
                <w:color w:val="auto"/>
              </w:rPr>
            </w:pPr>
            <w:r>
              <w:rPr>
                <w:rFonts w:ascii="Arial" w:cs="Arial" w:eastAsia="Arial" w:hAnsi="Arial"/>
                <w:sz w:val="18"/>
                <w:szCs w:val="18"/>
                <w:color w:val="auto"/>
              </w:rPr>
              <w:t>Registration</w:t>
            </w: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SciClone Pharmaceuticals, Inc.</w:t>
            </w: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Vibativ</w:t>
            </w: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and Hong Kong</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Registration</w:t>
            </w:r>
          </w:p>
        </w:tc>
      </w:tr>
      <w:tr>
        <w:trPr>
          <w:trHeight w:val="24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Dr. Reddy's Laboratories</w:t>
            </w:r>
          </w:p>
        </w:tc>
        <w:tc>
          <w:tcPr>
            <w:tcW w:w="1360" w:type="dxa"/>
            <w:vAlign w:val="bottom"/>
            <w:gridSpan w:val="2"/>
          </w:tcPr>
          <w:p>
            <w:pPr>
              <w:spacing w:after="0"/>
              <w:rPr>
                <w:sz w:val="20"/>
                <w:szCs w:val="20"/>
                <w:color w:val="auto"/>
              </w:rPr>
            </w:pPr>
            <w:r>
              <w:rPr>
                <w:rFonts w:ascii="Arial" w:cs="Arial" w:eastAsia="Arial" w:hAnsi="Arial"/>
                <w:sz w:val="18"/>
                <w:szCs w:val="18"/>
                <w:color w:val="auto"/>
              </w:rPr>
              <w:t>Vibativ</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1540" w:type="dxa"/>
            <w:vAlign w:val="bottom"/>
          </w:tcPr>
          <w:p>
            <w:pPr>
              <w:ind w:left="20"/>
              <w:spacing w:after="0"/>
              <w:rPr>
                <w:sz w:val="20"/>
                <w:szCs w:val="20"/>
                <w:color w:val="auto"/>
              </w:rPr>
            </w:pPr>
            <w:r>
              <w:rPr>
                <w:rFonts w:ascii="Arial" w:cs="Arial" w:eastAsia="Arial" w:hAnsi="Arial"/>
                <w:sz w:val="18"/>
                <w:szCs w:val="18"/>
                <w:color w:val="auto"/>
              </w:rPr>
              <w:t>Registration</w:t>
            </w:r>
          </w:p>
        </w:tc>
      </w:tr>
    </w:tbl>
    <w:p>
      <w:pPr>
        <w:spacing w:after="0" w:line="16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international commercialization agreements include a license to one or more Cumberland products for a specific territory as noted in the table above. We seek partners who have the local infrastructure to support the registration and commercialization of our products in their territory.</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terms of our agreements our partners are responsible for:</w:t>
      </w:r>
    </w:p>
    <w:p>
      <w:pPr>
        <w:spacing w:after="0" w:line="158"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Seeking regulatory approvals for the products;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Launching the brand;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the ongoing marketing, sales and product distribution;</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Addressing the ongoing regulatory requirements in the international territories;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Remitting any upfront, regulatory and sales milestone payments;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the transfer price for supplies of product; and</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Calculating and paying any royalties, as applicable.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responsibilities include:</w:t>
      </w:r>
    </w:p>
    <w:p>
      <w:pPr>
        <w:spacing w:after="0" w:line="144"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dossier of relevant information to support product registration;</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our intellectual property associated with the product;</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Sharing our marketing strategy, experience and materials for the brand; and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and providing finished product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2019, we worked to support our existing international partners and to identify new companies to represent our products in select additional territories. We also continued to transition the Vibativ license arrangements for several international markets from Theravance.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AFFAIRS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in-house capabilities for the management of our clinical, professional and regulatory affairs. Our team develops and manages our clinical trials, prepares regulatory submissions, manages ongoing product-related regulatory responsibilities and manages our medical information call center. Team members have been responsible for devising the regulatory and clinical strategies for all our products as well as obtaining FDA approvals for Acetadote, Caldolor and RediTrex.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development personnel are responsible for:</w:t>
      </w:r>
    </w:p>
    <w:p>
      <w:pPr>
        <w:spacing w:after="0" w:line="15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clinical development strategies;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designing, implementing and monitoring our clinical trials;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case report forms and other study-related documents.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quality affairs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internal regulatory and quality affairs team is responsible for:</w:t>
      </w:r>
    </w:p>
    <w:p>
      <w:pPr>
        <w:spacing w:after="0" w:line="14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preparing and submitting INDs for clearance to begin patient studies;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preparing and submitting NDAs and fulfilling post-approval marketing commitments;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investigational and marketing applications through the submission of appropriate reports;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submitting supplemental applications for additional label indications, product line extensions and manufacturing improvements;</w:t>
      </w:r>
    </w:p>
    <w:p>
      <w:pPr>
        <w:spacing w:after="0" w:line="15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regulatory risk profiles for product acquisition candidates, including compliance with manufacturing, labeling, distribution and marketing regulations;</w:t>
      </w:r>
    </w:p>
    <w:p>
      <w:pPr>
        <w:spacing w:after="0" w:line="102"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monitoring applicable third-party service providers for quality and compliance with current Good Manufacturing Practices ("GMPs"), Good Laboratory Practices ("GLPs"), and Good Clinical Practices ("GCPs"), and performing periodic audits of such vendors; and</w:t>
      </w:r>
    </w:p>
    <w:p>
      <w:pPr>
        <w:spacing w:after="0" w:line="65"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systems for document control, product and process change control, customer complaint handling, product stability studies and annual drug product reviews.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AND MEDICAL AFFAIRS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medical team provides in-house, medical information support for our marketed products. This includes interacting directly with healthcare professionals to address any product or medical inquiries through our medical information call center and medical science liaisons. In addition to coordinating the call center, our clinical/regulatory group generates medical information letters, provides informational memos to our sales forces and assists with ongoing training for the sales forces.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AND STUDY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 Clinical Manuscript</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October 2019, a new study was published revealing the superiority of Vibativ (telavancin) over vancomycin in select patients with bacterial pneumonia. Study results were published in </w:t>
      </w:r>
      <w:r>
        <w:rPr>
          <w:rFonts w:ascii="Arial" w:cs="Arial" w:eastAsia="Arial" w:hAnsi="Arial"/>
          <w:sz w:val="18"/>
          <w:szCs w:val="18"/>
          <w:i w:val="1"/>
          <w:iCs w:val="1"/>
          <w:color w:val="auto"/>
        </w:rPr>
        <w:t>Infectious Diseases and Therapy</w:t>
      </w:r>
      <w:r>
        <w:rPr>
          <w:rFonts w:ascii="Arial" w:cs="Arial" w:eastAsia="Arial" w:hAnsi="Arial"/>
          <w:sz w:val="18"/>
          <w:szCs w:val="18"/>
          <w:color w:val="auto"/>
        </w:rPr>
        <w:t>, and it showed numerically superior cure rates of telavancin compared to vancomycin within a subset of patients who were enrolled in phase 3 ATTAIN trials and had hospital-acquired pneumonia caused by bacteria with low susceptibility to vancomycin.</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November 2019, we announced another study, published online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detailing the positive clinical outcomes that resulted from treating multiple infection types with Vibativ, including complicated skin and skin structure infections, bone and joint infections, bacteremia and endocarditis, and lower respiratory tract infections.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 November 2018, Cumberland reached an agreement to acquire Vibativ from Theravance Biopharma and assume global responsibility for the product.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 Pediatric Study</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previously received FDA approval for the use of Caldolor in pediatric patients six months of age and older. Caldolor is the first and only injectable non-steroidal anti-inflammatory drug (NSAID) approved for use in children. We then initiated a study to collect data on the use of Caldolor in children ranging in age from birth up to six months of age. Enrollment in that multi-center study was completed in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Ifetroban Phase II Studies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2019, Cumberland announced the receival of FDA Orphan Drug Grant funding for a new Phase II clinical program. We initiated the clinical development of ifetroban for the treatment of cardiomyopathy associated with Duchenne Muscular Dystrophy (DMD). Based on preclinical findings, the FDA has cleared Cumberland's application to study ifetroban in DMD patients, seven years of age and older. In addition, Cumberland was awarded just over $1 million in funding from the FDA through their Orphan Drug Grant program to support this Phase II DMD clinical study. This study is the first DMD clinical study approved for FDA Orphan Product Development funding.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Hospital Product Candidate Study</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 reducing agent for use in the hospital setting.</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2017, we completed a Phase I study which defined the pharmacokinetic properties and provided a favorable safety profile for this new product candidate. The study results and a proposed clinical development plan were discussed with the FDA and, as a result, in 2018 a Phase II study was initiated, with enrollment continuing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inception, we have had an active business development program focused on acquiring rights to marketed products and product candidates that fit our strategy and target markets. We source business development opportunities through our international network of advisory firms and individual pharmaceutical industry and medical advisors. A multi-disciplinary internal management team reviews these opportunities on a regular basis using a list of selection criteria. We have historically focused on product opportunities that are a strategic fit with our commercial organization, development expertise and medical focus, employing a variety of transaction structures.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continue to build a portfolio of complementary, niche products largely through product acquisitions and late-stage product development.</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targets are under-promoted, FDA approved drugs with existing brand recognition and late-stage development product candidates that address unmet or poorly met medical needs in the hospital acute care and gastroenterology markets. We believe that by focusing mainly on approved or late-stage products, we can minimize the significant risk, cost and time associated with drug development.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Early in 2019, we announced a strategic review of our brands, capabilities, and international partners. This review followed an accelerated business development initiative, which resulted in a series of transactions. Because of that progress, we felt that it was prudent to take a fresh look at our product portfolio, partners, and organization to ensure proper focus and capabilities.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International Partners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our strategic review, we expanded our international arrangements through several new agreements.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executed a License and Distribution agreement with HongKong WinHealth Pharma Group Co. Limited (“WinHealth”) for our Caldolor and Acetadote brands in China and Hong Kong. We anticipate WinHealth will provide $2 million in milestone payments and up to an estimated $290 million in revenue contribution over a ten - year period for supplies of the products following their registration in China.</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entered into a Strategic Alliance agreement with WinHealth to explore future business opportunities that will further the mission and goals of each organization. Founded in Hangzhou, China and currently headquartered in Hong Kong, WinHealth has developed a wide breadth of capabilities including drug licensing, product development and registration, and has established a strong network of distribution and sales promotional capabilities for the Chinese market. WinHealth has established partnerships with international companies that include Boehringer-Ingelheim, Janssen, Novartis, Pfizer, and Roche, generating approximately $330 million in annual sales in 2018.</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completed the assignment and amendment of a Commercialization Agreement with R-Pharma JSC (“R Pharma”) associated with ongoing distribution of Vibativ in Russia and a number of adjacent countries in Eastern Europe. R-Pharma is one of the leading multinational pharmaceutical organizations based in Russia. Headquartered in Moscow and focusing in a wide breadth of therapeutic areas in the specialty and hospital care markets, R-Pharma generated over $1.6 billion in revenues in 2018.</w:t>
      </w:r>
    </w:p>
    <w:p>
      <w:pPr>
        <w:spacing w:after="0" w:line="1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completed the assignment and amendment of a Commercialization Agreement with Hikma Pharmaceuticals LLC (“Hikma”) to register and distribute Vibativ in a number of countries throughout the Middle East. Hikma is a multinational pharmaceutical company currently headquartered in London, United Kingdom. Originally founded in Amman, Jordan the company now has market representation throughout the world, with a particular focus in the Middle East and North African regions. Hikma develops, manufactures, and markets a broad range of branded and non-branded generic medicines, generating over $2 billion in gross sales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completed the assignment and amendment of a Commercialization Agreement with Dr. Reddy’s Laboratories Limited (“Dr. Reddy’s”) for the registration and distribution of Vibativ in India. Dr. Reddy's is a multinational pharmaceutical company based in Hyderabad, India. The company currently markets over 190 medications through their commercial operations in over 35 countries. Combined with their extensive network of manufacturing capabilities, Dr. Reddy’s generated over $2.2 billion in sales during their 2018 – 2019 fiscal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 Co-Promotion Agreement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we extended our co-promotion arrangement with Poly Pharmaceuticals, Inc. (“Poly”).</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originally entered into a co-promotion arrangement with Poly for our Kristalose product in 2017. Poly is a privately held U.S. specialty pharmaceutical company that is featuring Kristalose to an expanded number of physicians. Poly’s sales organization is more than doubling the number of nationwide physicians that are reached with the Kristalose brand message.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Nordic License Agreement</w:t>
      </w:r>
    </w:p>
    <w:p>
      <w:pPr>
        <w:spacing w:after="0" w:line="15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November 2016, we announced our agreement to acquire the exclusive U.S. rights to Nordic Group B.V.'s injectable methotrexate product line. The products are designed for the treatment of active rheumatoid arthritis, juvenile idiopathic arthritis, severe psoriatic arthritis, and severe disabling psoriasis.</w:t>
      </w:r>
    </w:p>
    <w:p>
      <w:pPr>
        <w:spacing w:after="0" w:line="56"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8"/>
          <w:szCs w:val="18"/>
          <w:color w:val="auto"/>
        </w:rPr>
        <w:t>The product line is approved for patient use in various European countries and received FDA approval near the end of 2019. Cumberland has registered and will commercialize the methotrexate products in the United States under the brand name RediTrex</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2R and Foxland Agreements</w:t>
      </w:r>
    </w:p>
    <w:p>
      <w:pPr>
        <w:spacing w:after="0" w:line="15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During 2018, we entered into another co-promotion arrangement related to our Kristalose product. We have agreements with 2R Investments, LLC and with Foxland Pharmaceuticals, Inc. to package, distribute and promote an authorized generic form of our Kristalose product to physician targets that we do not cover. Cumberland continues to manage the regulatory activities associated with the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Piramal Co-promotion Agreement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November 2019, we concluded our co-promotion agreement with Piramal Critical Care ("Piramal").</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Cumberland previously entered into a co-promotion agreement with Piramal in 2015. Through this agreement, Piramal co-promoted two of Cumberland’s branded hospital products, Caldolor and Vaprisol throughout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Clinigen Strategic Dissolution Agreement</w:t>
      </w:r>
    </w:p>
    <w:p>
      <w:pPr>
        <w:spacing w:after="0" w:line="14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previously entered into a strategic alliance with the Clinigen Group plc ("Clinigen"), an international specialty pharmaceutical and services company, to commercialize select Clinigen products in the U.S. In May 2016, we announced an agreement with Clinigen to acquire an exclusive license and commercialize Ethyol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We then announced in January 2017, our second agreement with Clinigen to acquire an exclusive license and launch Totect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May 2019, following a strategic review of our partners, products and organization, we entered into a Dissolution Agreement with Clinigen in which Cumberland will return the exclusive rights to commercialize Ethyol and Totect in the United States to Clinigen. Under the final terms of the amended Dissolution Agreement we transitioned from our current arrangement with Clinigen effective December 31, 2019. Under the terms of the agreement, Cumberland will no longer be involved directly or indirectly with the distribution, marketing and promotion of either Ethyol or Totect or any competing products. In exchange for the return of these product license rights and not competing with either product, we will receive $5 million in financial consideration paid over the two-years following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CET University Collaboration Agreements</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February 2019, CET and the technology transfer organization for the Medical University of South Carolina ("MUSC") entered into an agreement, adding to CET’s roster of academic collaborations which also includes Vanderbilt University, the University of Mississippi, Louisiana State University and the University of Tennessee Research Foundation. Under the agreement, CET will evaluate MUSC discoveries, license intellectual property rights to promising technologies, and partner with MUSC research scientists to advance product development toward commercialization.</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CET, we collaborate with a select group of academic research institutions located in the mid-south region of the U.S. to identify, co-develop and seek grant funding for promising biomedical technologies emerging from those research institutions.</w:t>
      </w:r>
    </w:p>
    <w:p>
      <w:pPr>
        <w:spacing w:after="0" w:line="10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These arrangements enable CET to team with university-based researchers to advance their scientific discoveries and breakthroughs by designing new product candidates to improve patient care and address unmet medical need.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partner with third parties for certain non-core, capital-intensive capabilities, including the manufacturing and distribution of our products. We manage these third-party relationships and are responsible for the quality review and release of each lot of our products.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Acetadote</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Acetadote we have agreements with two manufacturers, and one manufacturer provided commercial supplies of the product during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w:t>
      </w:r>
      <w:r>
        <w:rPr>
          <w:rFonts w:ascii="Arial" w:cs="Arial" w:eastAsia="Arial" w:hAnsi="Arial"/>
          <w:sz w:val="23"/>
          <w:szCs w:val="23"/>
          <w:b w:val="1"/>
          <w:bCs w:val="1"/>
          <w:i w:val="1"/>
          <w:iCs w:val="1"/>
          <w:color w:val="auto"/>
          <w:vertAlign w:val="superscript"/>
        </w:rPr>
        <w:t>®</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agreements with multiple manufacturers for the supply of Caldolor and during 2019 we obtained commercial supplies from three of these manufacturers for our international and domestic Caldolor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Kristalose</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an agreement for the purchase of Kristalose API with an international supplier. We also have manufacturing relationships with two packagers who provided finished supplies of the product for commercial and sampling purposes during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Omeclamox-Pak</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asset purchase agreement with GEL that closed in December 2018, GEL managed the packaging and supply of Omeclamox-Pak commercial and sample units. Following our acquisition of the remaining rights to the brand in late 2018, we assumed responsibility for the packaging and supply of the product. During 2019 we entered into a new packaging arrangement for this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Vaprisol</w:t>
      </w:r>
      <w:r>
        <w:rPr>
          <w:rFonts w:ascii="Arial" w:cs="Arial" w:eastAsia="Arial" w:hAnsi="Arial"/>
          <w:sz w:val="23"/>
          <w:szCs w:val="23"/>
          <w:b w:val="1"/>
          <w:bCs w:val="1"/>
          <w:color w:val="auto"/>
          <w:vertAlign w:val="superscript"/>
        </w:rPr>
        <w:t>®</w:t>
      </w:r>
    </w:p>
    <w:p>
      <w:pPr>
        <w:spacing w:after="0" w:line="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the acquisition of Vaprisol, we purchased a significant existing supply of raw material inventory. In addition, as part of that transaction, we were assigned a commercial supply agreement with the historical Vaprisol manufacturer. In 2018, the manufacturer informed us that they would no longer be able to provide the product following the manufacturing of one final batch which is expected to provide us with a multi-year supply. Therefore, we are evaluating alternatives for a new manufacturer to provide us with long term supplies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r>
        <w:rPr>
          <w:rFonts w:ascii="Arial" w:cs="Arial" w:eastAsia="Arial" w:hAnsi="Arial"/>
          <w:sz w:val="23"/>
          <w:szCs w:val="23"/>
          <w:b w:val="1"/>
          <w:bCs w:val="1"/>
          <w:color w:val="auto"/>
          <w:vertAlign w:val="superscript"/>
        </w:rPr>
        <w:t>®</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our acquisition of Vibativ, we acquired a multi-year supply of raw material, work in process and finished goods inventory. As a result of the agreement, we are now responsible for the future manufacture of the product and completed the transfer of the product’s manufacturing activities to a new supplier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our agreement with Nordic, they will be responsible for providing us the packaged and labeled commercial supply of the RediTrex product.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Ethyol</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the Ethyol agreement, during 2019 Clinigen was responsible for the supply of the product and has provided commercial inventory for Cumberland to package and distribute.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Totect</w:t>
      </w:r>
      <w:r>
        <w:rPr>
          <w:rFonts w:ascii="Arial" w:cs="Arial" w:eastAsia="Arial" w:hAnsi="Arial"/>
          <w:sz w:val="23"/>
          <w:szCs w:val="23"/>
          <w:b w:val="1"/>
          <w:bCs w:val="1"/>
          <w:color w:val="auto"/>
          <w:vertAlign w:val="superscript"/>
        </w:rPr>
        <w:t>®</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our Totect agreement, during 2019 Clinigen was also responsible for overseeing the manufacture of the product and has provided commercial supplies for us to package and distribute.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Like many pharmaceutical companies, we engage a third-party with appropriate facilities and logistical expertise to support the U.S. distribution of our products. Cardinal Health has exclusively handled our U.S. product logistics activities, including warehousing, shipping, and various other customer activities. Our primary customers are the wholesalers of pharmaceuticals who provide our products to hospitals, clinics and retail pharmacies in the U.S.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Foundation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2017, we formed the Cumberland Pharma Foundation (the "Foundation") to serve as a vehicle to facilitate the ongoing philanthropic endeavors of Cumberland Pharmaceuticals Inc.</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Foundation was formed as an independent,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2018, we provided a grant of 50,000 shares of our common stock to the Foundation. The shares will address the ongoing financial needs of the Foundation, with most of the shares expected to be held for the opportunity to realize long term appreciation to support the Foundation’s future. The Foundation maintains independent financial statements and its contributions will not impact the financial statements of Cumberland Pharmaceuticals. Initial annual grants by the Foundation have been and remain consistent with the historic level of contributions made by Cumberland Pharmaceuticals. During 2019, we committed approximately $50,000 in cash contributions to be paid to the Foundation during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Health and Wellness Political Action Committee</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2017 we formed the Cumberland Health and Wellness Political Action Committee (PAC). The objective of the PAC is to support candidates and policies that are consistent with Cumberland’s mission of advancing patient care. The PAC’s activities will be at the local, state and federal level and conducted in a bi-partisan manner. The initial committee membership is comprised of Cumberland Pharmaceuticals employees. The PAC received initial funding from us and future funding will include voluntary individual contributions from Cumberland Pharmaceuticals directors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Generation Caldolor Product</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January 2020, we launched the next generation of our Caldolor (ibuprofen) Injection product. This formulation of Caldolor comes in a ready-to-use bag that may be administered without dilution for pain relief. This launch follows FDA approval in 2019 of the product's new delivery method.</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 non-steroidal anti-inflammatory drug (NSAID), Caldolor may be used as the sole method of treatment for mild-moderate pain or as part of a multi-modal treatment for severe pain. The new formulation of Caldolor comes in a pre-mixed bag containing 800 mg of ibuprofen in a 200 mL patented low sodium formulation for injection that is ready to use. It is the first and only FDA-approved pre-mixed bag of ibuprofen. Caldolor is still available as an 800 mg/8mL single–dose vial (100mg/mL) for dilution in addition to the ready-to-use bag (4 mg/mL). The new, premixed presentation provides healthcare professionals a formulation that is easy to administer, helping manage the treatment of patient pain and fever, while reducing opioid consumption.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PROPRIETARY RIGHTS</w:t>
      </w:r>
    </w:p>
    <w:p>
      <w:pPr>
        <w:spacing w:after="0" w:line="16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own the trademarks for each of our branded pharmaceutical products as well as for our corporate name and logo. We have applied for trademark registration for other various names and logos. Over time, we intend to maintain registrations on trademarks that remain valuable to our business.</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seek to protect our products from competition through a combination of patents, trademarks, trade secrets, FDA exclusivity and contractual restrictions on disclosure. Proprietary rights, including patents, are an important element of our business. We seek to protect our proprietary information by requiring our employees, consultants, contractors and other advisors to execute agreements providing for protection of our confidential information upon commencement of their employment or engagement. We also require confidentiality agreements from entities to which we provide our confidential information or materials.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developed a new formulation of Acetadote (acetylcysteine) Injection as part of a Phase IV commitment in response to a request by the FDA to evaluate the reduction of ethylene diamine tetraacetic acid ("EDTA") from the product's formulation. In April 2012, the USPTO issued U.S. Patent number 8,148,356 (the “356 Acetadote Patent”) which is assigned to us.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1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issuance of the 356 Acetadote Patent, we received separate Paragraph IV certification notices from InnoPharma, Inc. ("InnoPharma"), Paddock Laboratories, LLC (“Paddock”), Mylan Institutional LLC (“Mylan”), Sagent Agila LLC ("Sagent") and Perrigo Company ("Perrigo") challenging the 356 Acetadote Patent on the basis of non-infringement and/or invalidity. We responded by filing five separate infringement lawsuits, in the appropriate United States District Courts, to contest each of the challenges.</w:t>
      </w:r>
    </w:p>
    <w:p>
      <w:pPr>
        <w:spacing w:after="0" w:line="10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12, 2012, we entered into a Settlement Agreement (the “Settlement Agreement”) with Paddock and Perrigo to resolve the challenges and the pending litigation with those two companies.</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November 1, 2013, the United States District Court filed opinions granting Sagent’s and InnoPharma’s motions to dismiss our suits and we agreed not to file an appeal or motion to reconsider, thereby resolving the challenges and the pending litigation with those two companies.</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Settlement Agreement, Paddock and Perrigo admit that the 356 Acetadote Patent is valid and enforceable and that any Paddock or Perrigo generic version of Acetadote (with or without EDTA) would infringe upon the 356 Acetadote Patent. In addition, Paddock and Perrigo will not challenge the validity, enforceability, ownership or patentability of the 356 Acetadote Patent through its expiration currently scheduled for May 2026.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November 12, 2012, in connection with the execution of the Settlement Agreement, we entered into a License and Supply Agreement with Paddock and Perrigo (the “License and Supply Agreement”).</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License and Supply Agreement, if a third party receives final approval from the FDA for an ANDA to sell a generic Acetadote product and such third party made such generic version available for purchase in commercial quantities in the United States, we are to supply Perrigo with an Authorized Generic version of our Acetadote product.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18, 2012, we also submitted a Citizen Petition to the FDA requesting that the FDA refrain from approving any applications for acetylcysteine injection that contain EDTA, based in part on the FDA's request that we evaluate the reduction or removal of EDTA from our original Acetadote formulation.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7, 2012, the FDA responded to the Citizen Petition denying our request and on November 8, 2012, we learned that the FDA approved the ANDA referencing Acetadote filed by InnoPharma, Inc. We brought suit against the FDA contesting the FDA's decision to approve the InnoPharma generic on November 13, 2012.</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September 30, 2013, the United States District Court filed an opinion granting a summary judgment in favor of the FDA regarding this suit.</w:t>
      </w:r>
    </w:p>
    <w:p>
      <w:pPr>
        <w:spacing w:after="0" w:line="16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As noted above, during 2012 the FDA approved the ANDA referencing Acetadote filed by InnoPharma, Inc. Upon this condition, in accordance with the License and Supply agreement with Perrigo, we began to supply Perrigo with our Authorized Generic. On January 7, 2013, Perrigo announced initial distribution of our Authorized Generic acetylcysteine injection product.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19, 2013, the USPTO issued U.S. Patent number 8,399,445 (the “445 Acetadote Patent”) which is assigned to us. The claims of the 445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encompass the use of the 200 mg/ml Acetadote formulation to treat patients with acetaminophen overdose. On April 8, 2013, the 445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was listed in the FDA Orange Book. The 445 Acetadote Patent is scheduled to expire in August 2025. Following the issuance of the 445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Acetadote Patent we received separate Paragraph IV certification notices from Perrigo, Sagent Pharmaceuticals, Inc., and Mylan challenging the 445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Acetadote Patent on the basis of non-infringement, unenforceability and/or invalidity.</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June 10, 2013, we became aware of a Paragraph IV certification notice from Akorn, Inc. challenging the 445 Acetadote Patent and the 356 Acetadote Patent on the basis of non-infringement. On July 12, 2013, we filed a lawsuit for infringement of the 356 Acetadote Patent against Akorn, Inc. in United States District Court.</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18, 2014, the USPTO issued U.S. Patent number 8,653,061 (the “061 Acetadote Patent”) which is assigned to us. The claims of the 061 Acetadote Patent encompass the use of the 200 mg/ml Acetadote formulation to treat patients with acetaminophen overdose. Following its issuance, the 061 Acetadote Patent was listed in the FDA Orange Book. The 061 Acetadote Patent is scheduled to expire in August 2025.</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13, 2014, the USPTO issued U.S. Patent number 8,722,738 (the “738 Acetadote Patent”) which is assigned to us. The claims of the 738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encompass administration methods of acetylcysteine injection, without specification of the presence or lack of EDTA in the injection.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its issuance, the 738 Acetadote Patent was listed in the FDA Orange Book and it is scheduled to expire in April 2032.</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11, 2014 and March 3, 2015, we became aware of Paragraph IV certification notices from Aurobindo Pharma Limited and Zydus Pharmaceuticals (USA) Inc., respectively, challenging the 356, 445, 061, and 738 Acetadote Patents on the basis of non-infringement.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10, 2015, the USPTO issued U.S. Patent number 8,952,065 (the “065 Acetadote Patent”) which is assigned to us. The claims of the 065 Acetadote Patent encompass the use of the 200 mg/ml Acetadote formulation to treat patients with acute liver failure. The 065 Acetadote Patent is scheduled to expire in August 2025.</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30, 2015, the United States District Court for the Northern District of Illinois, Eastern Division ("District Court") ruled in our favor in our lawsuit against Mylan for infringement of the 445 Acetadote Patent. The opinion upheld our 445 Acetadote Patent and expressly rejected Mylan's validity challenge. The District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ruled that Mylan is liable to us for infringement of the 445 Acetadote patent in light of Mylan's Abbreviated New Drug Application in which Mylan sought to market a generic version of Acetadote.</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17, 2015, the District Court entered an order enjoining Mylan and its affiliates from selling or using its generic version of Acetadote until August 2025, the date of expiration of the 445 Acetadote Patent. On October 30, 2015, Mylan filed a notice of appeal to the U.S. Court of Appeals for the Federal Circuit (the "Appeals Court").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3, 2016, the USPTO issued U.S. Patent number 9,327,028 (the “028 Acetadote Patent”) which is assigned to us. The claims of the 028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encompass administration methods of acetylcysteine injection, without specification of the presence or lack of EDTA in the injection.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its issuance, the 028 Acetadote Patent was listed in the FDA Orange Book and it is scheduled to expire in July 2031.</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26, 2017, the Appeals Court affirmed the District Court ruling in our favor in our lawsuit against Mylan for infringement of the 445 Acetadote Patent. The Appeals Court opinion affirmed the District Court’s ruling upholding our 445 Acetadote Patent and expressly rejected Mylan's validity challenge.</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3, 2017, we became aware of a Paragraph IV certification notice from Exela Pharma Sciences, LLC challenging the 356, 445, 061, 738, and 028 Acetadote Patents on the basis of non-infringement.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considering our legal options and intend to continue to vigorously defend and protect our Acetadote product and related intellectual property rights.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Caldolor</w:t>
      </w:r>
      <w:r>
        <w:rPr>
          <w:rFonts w:ascii="Arial" w:cs="Arial" w:eastAsia="Arial" w:hAnsi="Arial"/>
          <w:sz w:val="23"/>
          <w:szCs w:val="23"/>
          <w:b w:val="1"/>
          <w:bCs w:val="1"/>
          <w:color w:val="auto"/>
          <w:vertAlign w:val="superscript"/>
        </w:rPr>
        <w:t>®</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the owner of U.S. Patent No. 6,727,286, which encompasses ibuprofen solution formulations, methods of making the same, and methods of using the same, and which is scheduled to expire in November 2021. This U.S. patent is listed in the FDA Orange Book and is associated with our completed international application No. PCT/US01/42894. We have filed for international patent protection in association with this PCT application in various countries, several of which have been allowed.</w:t>
      </w:r>
    </w:p>
    <w:p>
      <w:pPr>
        <w:spacing w:after="0" w:line="1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an exclusive, worldwide license to clinical data for intravenous ibuprofen from Vanderbilt University, in consideration for royalty obligations related to Caldolor. During 2014, we obtained additional patents for the brand. On May 27, 2014, the USPTO issued U.S. Patent number 8,735,452 (the “452 Caldolor Patent”) which is assigned to us. The claims of the 452 Caldolor Patent encompass methods of treating pain using intravenous ibuprofen. Following its issuance, the 452 Caldolor Patent was listed in the FDA Orange Book and is scheduled to expire in September 2029.</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28, 2014, the USPTO issued U.S. Patent number 8,871,810 (the “810 Caldolor Patent”) which is assigned to us. The claims of the 810 Caldolor Patent encompass methods of treating pain using intravenous ibuprofen. Following its issuance, the 810 Caldolor Patent was listed in the FDA Orange Book and is scheduled to expire in September 2029.</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third quarter of 2015, we obtained four additional patents for Caldolor. On July 7, 2015, the USPTO issued U.S. Patent number’s 9,072,710 (the “710 Caldolor Patent”) and 9,072,661 (the “661 Caldolor Patent”) which are assigned to us. The claims of the 710 Caldolor Patent and the 661 Caldolor Patent include composition and methods of treating pain, inflammation and fever using intravenous ibuprofen. These Caldolor Patents are listed in the FDA Orange Book and are scheduled to expire in March 2032. On April 21, 2015, the USPTO issued U.S. Patent No. 9,012,508 (the “508 Caldolor Patent”) which is assigned to us. The claims of the 508 Caldolor Patent include methods of treating pain using intravenous ibuprofen. Following its issuance, the 508 Caldolor Patent was listed in the FDA Orange Book and is scheduled to expire in September 2030. On August 25, 2015, the USPTO issued U.S. Patent number 9,114,068 (the “068 Caldolor Patent”) which is assigned to us. The claims of the 068 Caldolor Patent include methods of treating pain using intravenous ibuprofen.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its issuance, the 068 Caldolor Patent was listed in the FDA Orange Book and is scheduled to expire in September 2029. On September 22, 2015, the USPTO issued U.S. Patent number 9,138,404 (the “404 Caldolor Patent”) which is assigned to us. The claims of the 404 Caldolor Patent include methods of treating pain in critically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ill patients with intravenous ibuprofen. Following its issuance, the 404 Caldolor Patent was listed in the FDA Orange Book and is scheduled to expire in September 2029.</w:t>
      </w:r>
    </w:p>
    <w:p>
      <w:pPr>
        <w:spacing w:after="0" w:line="8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March 29, 2016, the USPTO issued U.S. Patent number 9,295,639 (the "639 Caldolor Patent") which is assigned to us. The claims of the 639 Caldolor Patent include methods of treating pain in critically ill patients with intravenous ibuprofen. Following its issuance, the 639 Caldolor Patent was listed in the FDA Orange Book and is scheduled to expire in September 2029.</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16, 2017, the USPTO issued U.S. Patent number 9,649,284 (the "284 Caldolor Patent") which is assigned to us. The claims of the 284 Caldolor Patent include methods of treating pain in critically ill patients with intravenous ibuprofen. Following its issuance, the 284 Caldolor Patent was listed in the FDA Orange Book and is scheduled to expire in September 2029. We also have additional patent applications related to Caldolor which are pending with the USPTO.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b w:val="1"/>
          <w:bCs w:val="1"/>
          <w:color w:val="auto"/>
          <w:vertAlign w:val="superscript"/>
        </w:rPr>
        <w:t>®</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own numerous U.S. patents and related international patents for Vaprisol. These patents were acquired in our February 2014 acquisition of certain product rights, intellectual property and related assets of Vaprisol from Astellas.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numerous U.S. patents and related international patents for Vibativ. These patents were acquired in our November 2018 acquisition of certain product rights, intellectual property and related assets of Vibativ from Theravance. Eleven Vibativ patents are listed in the FDA Orange Book. U.S. Patent number 7,531,623 (the “623 Vibativ Patent”) is scheduled to expire in January 2027 and includes composition of matter claims that encompass the Vibativ drug substance as well as methods for preparing the Vibativ drug substance.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Products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 issued patents for our RediTrex, Omeclamox-Pak and Kristalose products. We have patent applications relating to our ifetroban products pending with the USPTO.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attributes such as efficacy, safety, ease-of-use and cost-effectiveness;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awareness and recognition driven by sales, marketing and distribution capabilities;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and other exclusivity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resources to build and maintain developmental and commercial capabilities;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business development activities;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extent of third-party reimbursements;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of advantageous collaborations to conduct development, manufacturing or commercialization efforts.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number of our competitors possess research and development and sales and marketing capabilities as well as financial resources greater than ours. These competitors, in addition to emerging companies and academic research institutions, may be developing, or in the future could develop, new technologies that could compete with our current and future products or render our products obsolete.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products face competition from other branded products, generics, and alternate medical treatments. Our task is to position each brand to feature its competitive advantages, implement a well thought out marketing plan and provide focused sales and other tactical support.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Acetadote is our injectable formulation of NAC for the treatment of acetaminophen overdose. NAC is accepted worldwide as the standard of care for acetaminophen overdose. Our competitors in the acetaminophen overdose market are those companies selling orally administered NAC including, but not limited to, Geneva Pharmaceuticals, Inc., Bedford Laboratories division of Hikma Pharnaceuticals, Roxane Laboratories, Inc., InnoPharma Inc. and Hospira Inc.</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2012, InnoPharma Inc. was granted approval by the FDA to distribute their generic form of the old formulation of Acetadote containing EDTA. In late 2012, we entered into the Settlement Agreement with Paddock and Perrigo that included the right to distribute our Authorized Generic Acetadote injection product. Our branded Acetadote now competes with both the EDTA free Authorized Generic Acetadote distributed by Paddock and Perrigo along with generic Acetadote products that contain EDTA.</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Manufactures of the old Acetadote formulation included: Akorn, AuroMedics Pharma, Fresenius Kabi and Sagent Pharmaceticals.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Caldolor</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Caldolor is marketed for the treatment of pain and fever, primarily in a hospital setting. A variety of other products address the acute pain market:</w:t>
      </w:r>
    </w:p>
    <w:p>
      <w:pPr>
        <w:spacing w:after="0" w:line="156" w:lineRule="exact"/>
        <w:rPr>
          <w:sz w:val="20"/>
          <w:szCs w:val="20"/>
          <w:color w:val="auto"/>
        </w:rPr>
      </w:pPr>
    </w:p>
    <w:p>
      <w:pPr>
        <w:ind w:left="980" w:right="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Morphine, the most commonly used product for the treatment of acute, post-operative pain, is manufactured and distributed by several generic pharmaceutical companies;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generic injectable opioids, including fentanyl, meperidine and hydromorphone, address this market;</w:t>
      </w:r>
    </w:p>
    <w:p>
      <w:pPr>
        <w:spacing w:after="0" w:line="157" w:lineRule="exact"/>
        <w:rPr>
          <w:rFonts w:ascii="Arial" w:cs="Arial" w:eastAsia="Arial" w:hAnsi="Arial"/>
          <w:sz w:val="18"/>
          <w:szCs w:val="18"/>
          <w:color w:val="auto"/>
        </w:rPr>
      </w:pPr>
    </w:p>
    <w:p>
      <w:pPr>
        <w:ind w:left="980" w:hanging="324"/>
        <w:spacing w:after="0" w:line="22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Ketorolac tromethamine (brand name Toradol</w:t>
      </w:r>
      <w:r>
        <w:rPr>
          <w:rFonts w:ascii="Arial" w:cs="Arial" w:eastAsia="Arial" w:hAnsi="Arial"/>
          <w:sz w:val="23"/>
          <w:szCs w:val="23"/>
          <w:color w:val="auto"/>
          <w:vertAlign w:val="superscript"/>
        </w:rPr>
        <w:t>®</w:t>
      </w:r>
      <w:r>
        <w:rPr>
          <w:rFonts w:ascii="Arial" w:cs="Arial" w:eastAsia="Arial" w:hAnsi="Arial"/>
          <w:sz w:val="18"/>
          <w:szCs w:val="18"/>
          <w:color w:val="auto"/>
        </w:rPr>
        <w:t>), an injectable NSAID, is also manufactured and distributed by several generic pharmaceutical companies;</w:t>
      </w:r>
    </w:p>
    <w:p>
      <w:pPr>
        <w:spacing w:after="0" w:line="12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IV acetaminophen (brand name Ofirmev</w:t>
      </w:r>
      <w:r>
        <w:rPr>
          <w:rFonts w:ascii="Arial" w:cs="Arial" w:eastAsia="Arial" w:hAnsi="Arial"/>
          <w:sz w:val="23"/>
          <w:szCs w:val="23"/>
          <w:color w:val="auto"/>
          <w:vertAlign w:val="superscript"/>
        </w:rPr>
        <w:t>®)</w:t>
      </w:r>
      <w:r>
        <w:rPr>
          <w:rFonts w:ascii="Arial" w:cs="Arial" w:eastAsia="Arial" w:hAnsi="Arial"/>
          <w:sz w:val="18"/>
          <w:szCs w:val="18"/>
          <w:color w:val="auto"/>
        </w:rPr>
        <w:t>, an injectable analgesic product is sold by Mallinckrodt plc;</w:t>
      </w:r>
    </w:p>
    <w:p>
      <w:pPr>
        <w:spacing w:after="0" w:line="98" w:lineRule="exact"/>
        <w:rPr>
          <w:rFonts w:ascii="Arial" w:cs="Arial" w:eastAsia="Arial" w:hAnsi="Arial"/>
          <w:sz w:val="18"/>
          <w:szCs w:val="18"/>
          <w:color w:val="auto"/>
        </w:rPr>
      </w:pPr>
    </w:p>
    <w:p>
      <w:pPr>
        <w:ind w:left="960" w:hanging="304"/>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18"/>
          <w:szCs w:val="18"/>
          <w:color w:val="auto"/>
        </w:rPr>
        <w:t>Bupivicaine injectable suspension (brand name Exparel</w:t>
      </w:r>
      <w:r>
        <w:rPr>
          <w:rFonts w:ascii="Arial" w:cs="Arial" w:eastAsia="Arial" w:hAnsi="Arial"/>
          <w:sz w:val="28"/>
          <w:szCs w:val="28"/>
          <w:color w:val="auto"/>
          <w:vertAlign w:val="superscript"/>
        </w:rPr>
        <w:t>®</w:t>
      </w:r>
      <w:r>
        <w:rPr>
          <w:rFonts w:ascii="Arial" w:cs="Arial" w:eastAsia="Arial" w:hAnsi="Arial"/>
          <w:sz w:val="18"/>
          <w:szCs w:val="18"/>
          <w:color w:val="auto"/>
        </w:rPr>
        <w:t>), pproduct sold by Pacira Pharmaceuticals, Inc.; and</w:t>
      </w:r>
    </w:p>
    <w:p>
      <w:pPr>
        <w:spacing w:after="0" w:line="97" w:lineRule="exact"/>
        <w:rPr>
          <w:rFonts w:ascii="Arial" w:cs="Arial" w:eastAsia="Arial" w:hAnsi="Arial"/>
          <w:sz w:val="20"/>
          <w:szCs w:val="20"/>
          <w:color w:val="auto"/>
        </w:rPr>
      </w:pPr>
    </w:p>
    <w:p>
      <w:pPr>
        <w:ind w:left="980" w:right="280" w:hanging="324"/>
        <w:spacing w:after="0" w:line="250" w:lineRule="auto"/>
        <w:tabs>
          <w:tab w:leader="none" w:pos="968" w:val="left"/>
        </w:tabs>
        <w:numPr>
          <w:ilvl w:val="0"/>
          <w:numId w:val="8"/>
        </w:numPr>
        <w:rPr>
          <w:rFonts w:ascii="Arial" w:cs="Arial" w:eastAsia="Arial" w:hAnsi="Arial"/>
          <w:sz w:val="20"/>
          <w:szCs w:val="20"/>
          <w:color w:val="auto"/>
        </w:rPr>
      </w:pPr>
      <w:r>
        <w:rPr>
          <w:rFonts w:ascii="Arial" w:cs="Arial" w:eastAsia="Arial" w:hAnsi="Arial"/>
          <w:sz w:val="18"/>
          <w:szCs w:val="18"/>
          <w:color w:val="auto"/>
        </w:rPr>
        <w:t>IV meloxicam (brand name Anjeso™), a once a day injectable COX-2 prefential NSAID manufactured by Baudax Bio which was recently approved by the FDA.</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aware of other product candidates in development to treat acute pain including injectable NSAIDs, novel opioids, new formulations of existing therapies and extended release anesthetics. We believe non-narcotic analgesics for the treatment of post-surgical pain are the primary potential competitors to Caldolor.</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injectable analgesic products above, many companies are developing analgesics for specific indications such as migraine and neuropathic pain, oral extended-release forms of existing narcotic and non-narcotic products, and products with new methods of delivery such as transdermal. We are not aware of any approved injectable products indicated for the treatment of fever in the U.S. other than Caldolor and Ofirmev.</w:t>
      </w:r>
    </w:p>
    <w:p>
      <w:pPr>
        <w:spacing w:after="0" w:line="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however, numerous drugs available to physicians to reduce fevers in hospital settings via oral administration to the patient, including ibuprofen, acetaminophen, and aspirin. These drugs are manufactured by numerous pharmaceutical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Kristalose</w:t>
      </w:r>
      <w:r>
        <w:rPr>
          <w:rFonts w:ascii="Arial" w:cs="Arial" w:eastAsia="Arial" w:hAnsi="Arial"/>
          <w:sz w:val="23"/>
          <w:szCs w:val="23"/>
          <w:b w:val="1"/>
          <w:bCs w:val="1"/>
          <w:color w:val="auto"/>
          <w:vertAlign w:val="superscript"/>
        </w:rPr>
        <w:t>®</w:t>
      </w:r>
    </w:p>
    <w:p>
      <w:pPr>
        <w:spacing w:after="0" w:line="8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Kristalose is a dry powder crystalline prescription formulation of lactulose indicated for the treatment of constipation. The U.S. constipation therapy market includes various prescription and over the counter, or OTC, products. The prescription products which we believe are our primary competitors are:</w:t>
      </w:r>
    </w:p>
    <w:p>
      <w:pPr>
        <w:spacing w:after="0" w:line="55" w:lineRule="exact"/>
        <w:rPr>
          <w:sz w:val="20"/>
          <w:szCs w:val="20"/>
          <w:color w:val="auto"/>
        </w:rPr>
      </w:pPr>
    </w:p>
    <w:p>
      <w:pPr>
        <w:ind w:left="660" w:hanging="328"/>
        <w:spacing w:after="0" w:line="20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Lubiproston (brand name Amitiza</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chronic idiopathic constipation, irritable bowel syndrome with constipation in adults, is manufactured and sold by Mallinckrodt Pharmaceuticals;</w:t>
      </w:r>
    </w:p>
    <w:p>
      <w:pPr>
        <w:spacing w:after="0" w:line="133" w:lineRule="exact"/>
        <w:rPr>
          <w:rFonts w:ascii="Arial" w:cs="Arial" w:eastAsia="Arial" w:hAnsi="Arial"/>
          <w:sz w:val="20"/>
          <w:szCs w:val="20"/>
          <w:color w:val="auto"/>
        </w:rPr>
      </w:pPr>
    </w:p>
    <w:p>
      <w:pPr>
        <w:ind w:left="660" w:hanging="328"/>
        <w:spacing w:after="0" w:line="20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Naloxegol (brand name Movantik</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opioid-induced constipation in adults with chronic non-cancer pain and recently acquired by RedHill Biopharma in the first quarter of 2020</w:t>
      </w:r>
    </w:p>
    <w:p>
      <w:pPr>
        <w:spacing w:after="0" w:line="119" w:lineRule="exact"/>
        <w:rPr>
          <w:rFonts w:ascii="Arial" w:cs="Arial" w:eastAsia="Arial" w:hAnsi="Arial"/>
          <w:sz w:val="20"/>
          <w:szCs w:val="20"/>
          <w:color w:val="auto"/>
        </w:rPr>
      </w:pPr>
    </w:p>
    <w:p>
      <w:pPr>
        <w:ind w:left="660" w:hanging="328"/>
        <w:spacing w:after="0" w:line="20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Linaclotide (brand name Linzess</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irritable bowel syndrome with constipation and chronic idiopathic constipation. It is sold by Allergan, Inc. and Ironwood Pharmaceuticals, Inc;</w:t>
      </w:r>
    </w:p>
    <w:p>
      <w:pPr>
        <w:spacing w:after="0" w:line="133" w:lineRule="exact"/>
        <w:rPr>
          <w:rFonts w:ascii="Arial" w:cs="Arial" w:eastAsia="Arial" w:hAnsi="Arial"/>
          <w:sz w:val="20"/>
          <w:szCs w:val="20"/>
          <w:color w:val="auto"/>
        </w:rPr>
      </w:pPr>
    </w:p>
    <w:p>
      <w:pPr>
        <w:ind w:left="660" w:hanging="328"/>
        <w:spacing w:after="0" w:line="22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Plecanatide (brand name Trulance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oral product indicated for the treatment of irritable bowel syndrome with constipation and chronic idiopathic constipation. It is sold by Synergy Pharmaceuticals;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Generic and branded liquid lactulose products are marketed by a number of pharmaceutical companies; and</w:t>
      </w:r>
    </w:p>
    <w:p>
      <w:pPr>
        <w:spacing w:after="0" w:line="134"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Lactitol for oral solution (brand name Pizensy), an oral, osmotic laxative indicated for the treatment of chronic idiopathic constipation and distributed by Braintree Laboratories, Inc. was recently approved by the FDA.</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are several hundred OTC products used to treat constipation marketed by numerous pharmaceutical and consumer health companies. MiraLax (polyethylene glycol 3350), previously a prescription product, was indicated for the treatment of constipation and manufactured and marketed by Bayer. MiraLax was converted to an OTC product in February 2007 and recently, the FDA rescinded the approval of the generic prescription polyethylene glycol 3350 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i w:val="1"/>
          <w:iCs w:val="1"/>
          <w:color w:val="auto"/>
        </w:rPr>
        <w:t>-Pak</w:t>
      </w:r>
    </w:p>
    <w:p>
      <w:pPr>
        <w:spacing w:after="0" w:line="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Omeclamox-Pak is a branded prescription product used for the treatment of Helicobacter pylori (H. pylori) infection and duodenal ulcer disease. It combines three well-known and widely prescribed medications packaged in a daily dosepack for patient convenience: omeprazole, clarithromycin, and amoxicillin. The three individual components of Omeclamox-Pak are also available from other suppliers through three separate prescriptions.</w:t>
      </w:r>
    </w:p>
    <w:p>
      <w:pPr>
        <w:spacing w:after="0" w:line="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there are several competitor products, Omeclamox-Pak is one of the two actively marketed products for this condition. In addition, compared to the competing products, Omeclamox-Pak has the lowest pill burden, fewest days of therapy and convenient twice daily dosing. The prescription combination products, indicated for treatment of H. pylori, which we believe are our primary competitors are:</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PrevPac</w:t>
      </w:r>
      <w:r>
        <w:rPr>
          <w:rFonts w:ascii="Arial" w:cs="Arial" w:eastAsia="Arial" w:hAnsi="Arial"/>
          <w:sz w:val="23"/>
          <w:szCs w:val="23"/>
          <w:color w:val="auto"/>
          <w:vertAlign w:val="superscript"/>
        </w:rPr>
        <w:t>®</w:t>
      </w:r>
      <w:r>
        <w:rPr>
          <w:rFonts w:ascii="Arial" w:cs="Arial" w:eastAsia="Arial" w:hAnsi="Arial"/>
          <w:sz w:val="18"/>
          <w:szCs w:val="18"/>
          <w:color w:val="auto"/>
        </w:rPr>
        <w:t>, an oral product sold by Takeda Pharmaceutical Company. There are also approved generic versions of PrevPac;</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Pylera</w:t>
      </w:r>
      <w:r>
        <w:rPr>
          <w:rFonts w:ascii="Arial" w:cs="Arial" w:eastAsia="Arial" w:hAnsi="Arial"/>
          <w:sz w:val="23"/>
          <w:szCs w:val="23"/>
          <w:color w:val="auto"/>
          <w:vertAlign w:val="superscript"/>
        </w:rPr>
        <w:t>®</w:t>
      </w:r>
      <w:r>
        <w:rPr>
          <w:rFonts w:ascii="Arial" w:cs="Arial" w:eastAsia="Arial" w:hAnsi="Arial"/>
          <w:sz w:val="18"/>
          <w:szCs w:val="18"/>
          <w:color w:val="auto"/>
        </w:rPr>
        <w:t>, an oral product manufactured and sold by Allergan plc; and</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Talicia</w:t>
      </w:r>
      <w:r>
        <w:rPr>
          <w:rFonts w:ascii="Arial" w:cs="Arial" w:eastAsia="Arial" w:hAnsi="Arial"/>
          <w:sz w:val="28"/>
          <w:szCs w:val="28"/>
          <w:color w:val="auto"/>
          <w:vertAlign w:val="superscript"/>
        </w:rPr>
        <w:t>®</w:t>
      </w:r>
      <w:r>
        <w:rPr>
          <w:rFonts w:ascii="Arial" w:cs="Arial" w:eastAsia="Arial" w:hAnsi="Arial"/>
          <w:sz w:val="18"/>
          <w:szCs w:val="18"/>
          <w:color w:val="auto"/>
        </w:rPr>
        <w:t>, an oral product manufactured by RedHill Biopharma which was recently approved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Vaprisol is a patented, prescription brand indicated to raise serum sodium levels in hospitalized patients with euvolemic and hypervolemic hyponatremia. The product was developed and registered by Astellas and then launched in 2006. It is one of two branded prescription products indicated for the treatment of hyponatremia, and the first and only intravenously administered branded treatment. The other competing product is Samsca, an oral product sold by Otsuka Pharmaceutical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November 12, 2018, Cumberland acquired the worldwide rights to Vibativ (telavancin) from Theravance Biopharma.</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Vibativ is a potent, once-daily, injectable antibiotic for the treatment of certain gram-positive infections. Vibativ is approved for the treatment of complicated skin and skin structure infections and hospital-acquired or ventilator-associated bacterial pneumonia caused by susceptible isolates of Staphylococcus aureus when alternative treatments are not suitable. There are several generic and branded antibiotics that compete for these indications.</w:t>
      </w:r>
    </w:p>
    <w:p>
      <w:pPr>
        <w:spacing w:after="0" w:line="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major generic competitors are vancomycin, linezolid, and daptomycin. Vancomycin is by far the most widely used agent. Newer branded agents are also available including:</w:t>
      </w:r>
    </w:p>
    <w:p>
      <w:pPr>
        <w:spacing w:after="0" w:line="10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Ceftaroline fosamil (brand name Teflaro</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Allergan</w:t>
      </w:r>
    </w:p>
    <w:p>
      <w:pPr>
        <w:spacing w:after="0" w:line="8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Dalbavancine (brand name Dalvance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Allergan</w:t>
      </w:r>
    </w:p>
    <w:p>
      <w:pPr>
        <w:spacing w:after="0" w:line="69"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Oritavancin (brand name Orbactiv</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Melinta</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aware of a number of other novel antibiotics which are currently in development.</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Antibiotic drug selection is based both on an empiric and susceptibility proven basis. In the hospital setting, cost is an important factor which favors the use of generic agents as long as they are effective. Newer agents are often reserved for two reasons: they are valuable in the treatment of patients that fail to respond to generics and it is considered good practice to conserve the use of these agents to reduce the risk of resistance.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development of new pharmaceutical products can be a long, expensive and risky process. There is no assurance we will obtain successful study results or secure the needed market approvals for our pipeline product candidates. Governmental authorities in the U.S. and other countries extensively regulate the research, development, testing, manufacturing, distribution, marketing and sale of pharmaceutical products. In the U.S., the Food and Drug Administration ("FDA") under the Federal Food, Drug, and Cosmetic Act, ("FDCA"), the Public Health Service Act, and other federal statutes and regulations, subjects pharmaceutical products to rigorous review. Failure to comply with applicable U.S. requirements may subject a company to a variety of administrative or judicial sanctions, such as FDA refusal to approve pending New Drug Application ("NDAs") or biologics license applications, ("BLAs"), warning letters, product recalls, product seizures, total or partial suspension of production or distribution, injunctions, fines, civil penalties, and criminal prosecution.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our manufacturers and contract research organizations may also be subject to regulations under other federal, state and local laws, including the Occupational Safety and Health Act, (OSHA), the Resource Conservation and Recovery Act, the Clean Air Act and import, export and customs regulations as well as the laws and regulations of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FDA is a regulatory agency within the Department of Health and Human Services. A key responsibility is to regulate the safety and effectiveness of drugs sold in the United States. The FDA manages this responsibility into two phases: pre-approval (premarket) and post approval (post market). The FDA reviews manufacturers' applications to market drugs in the United States; a drug may not be sold unless it has FDA approval. The FDA continues its oversight of drug safety and effectiveness as long as the drug is on the market.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market a prescription drug in the United States, a manufacturer needs FDA approval. To get that approval, the manufacturer must demonstrate the drug's safety and effectiveness according to criteria specified in law and agency regulations, ensure that its manufacturing plant passes FDA inspection, and obtain FDA approval for the drug's labeling, a term that includes all written material about the drug, including, for example, packaging, prescribing information for physicians and patient brochures.</w:t>
      </w:r>
    </w:p>
    <w:p>
      <w:pPr>
        <w:spacing w:after="0" w:line="1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progression to drug approval begins before FDA involvement. First, scientists work in the laboratory to discover and develop a new compound. Next, basic questions on safety are answered by nonclinical testing with animals and then, a drug or biotechnology company develops a prototype drug. That company must seek clearance from the FDA by way of an Investigational New Drug ("IND") application to test the product with human subjects. Those tests, called clinical trials, are carried out sequentially in Phase I, II, and III studies, which involve increasing numbers of subjects. The manufacturer then compiles the resulting data and analyses in an NDA. The FDA reviews the NDA with three major concerns: (1) safety and effectiveness in the drug's proposed use; (2) appropriateness of the proposed labeling; and (3) adequacy of manufacturing methods to assure the drug's identity, strength, quality, and purity.</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FDCA and associated regulations detail the requirements at each step. The FDA uses a few special mechanisms to expedite drug development and the review process when a drug might address an unmet need or a serious disease or condition. Those mechanisms include accelerated approval, fast track and priority reviews and the newer designation, breakthrough therapy.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sponsor of the drug typically conducts human clinical trials in three sequential phases, but the phases may overlap. Phase I clinical trials are generally conducted in a small number of healthy volunteers, primarily to collect and assess pharmacokinetics and safety data at one or more dosages prior to proceeding into patients.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Phase II clinical trials, the sponsor evaluates the early efficacy of the product in short term trials on the targeted indication and identifies possible adverse effects and safety risks in a patient population.</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Phase III clinical trials typically involve testing for patients in long term trials examining safety and clinical efficacy in an expanded population at geographically-dispersed test sites.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FDA requires that clinical trials be conducted in accordance with the FDA's Good Clinical Practice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institutional review board ("IRB"), or ethics committee (outside of the U.S.), of each clinical site generally must approve the clinical trial design and patient informed consent and may also require the clinical trial at that site to be halted, either temporarily or permanently, for failure to comply with the IRB's requirements, or may impose other conditions.</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results of the nonclinical and clinical trials, together with detailed information on the manufacturing and composition of the product and proposed labeling, are submitted to the FDA in the form of an NDA for marketing approval. The NDA undergoes a 60-day validation review period before it is accepted for filing.</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the NDA is found to be incomplete, it will not be accepted. Once the NDA is validated and accepted for filing, the FDA begins an in-depth review of the NDA.</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policies agreed to by the FDA under the Prescription Drug User Fee Act, or PDUFA (currently PDUFA VI - effective October 1, 2017), the FDA has a target timeline of 10 months in which to complete its initial review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standard NDA and respond to the applicant. The review process and the PDUFA goal date may be extended by two months to address deficiencies, or by three months if the FDA requests or the NDA sponsor otherwise provides additional information or clarification regarding information already provided in the submission at any time during the review clock period. If the FDA's evaluations of the NDA and the clinical and manufacturing procedures and facilities are favorable and meet all regulations, the FDA will issue an approval letter. Priority Review is reserved for drugs that represent a “significant improvement in safety or efficacy” over existing treatments and FDA endeavors to complete these reviews in six months.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the NDA meets with FDA approval, a letter will be sent out indicating approval and final labeling recommendations. If not, a Complete Response letter will be sent to applicants indicating that the review cycle for an application is complete and that the application is not ready for approval.</w:t>
      </w:r>
    </w:p>
    <w:p>
      <w:pPr>
        <w:spacing w:after="0" w:line="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complete response letter will describe the specific deficiencies that the agency has identified in an application and what changes must be made before the application can be approved, with no implication regarding whether the application will ultimately be approved. An approval letter authorizes commercial marketing of the drug for the proposed indication(s) under study. FDA reported that NDAs showed a steadier increase with the percentage of first-cycle approval letters for new molecular entities rising from 31% for FY 2000 applications to 91% for FY 2017 applications. The time and cost of completing these steps and obtaining FDA approval can vary dramatically depending on the drug. However, to complete these steps for a novel drug can take many years and cost millions of dollars.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505(b) New Drug Applications</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 NDA may be submitted under different methods, a 505(b)(1), 505(b)(2) or 505(j). Section 505(b) provides for the submission of an NDA to support the approval of a drug. Upon approval, a drug may be marketed only for the FDA-approved indication(s) in the approved dosage form. Further clinical trials may be necessary to gain approval for the use of the product for any additional indications or dosage forms.</w:t>
      </w:r>
    </w:p>
    <w:p>
      <w:pPr>
        <w:spacing w:after="0" w:line="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FDA also requires post market safety surveillance reporting to monitor the side effects of the drug, which may result in withdrawal of approval after marketing begins.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505(b)(1) or the 'full' NDA is used for new chemical entities ("NCEs") and requires full clinical and nonclinical development of a compound. Marketing exclusivity assigned to a 505(b)(1) approval is five years. A 505(b)(2) NDA permits the submission of an NDA where at least some of the information required for approval comes from studies not conducted by or for the applicant using previously reported safety and efficacy data, and for which the applicant has not obtained a right of reference. Generally new studies are required to provide data on the proposed change.</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Some examples of products that may be allowed to follow a 505(b)(2) path to approval are drugs which have a new dosage form, strength, route of administration, formulation or indication or combination drugs. Marketing exclusivity for a 505(b)(2) submission is three years.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Both 505 (b)(1) and (b)(2) are eligible for seven years of exclusivity for orphan drugs and/or six months for pediatric exclusivity. Any marketing exclusivity is independent of patent exclusivity. We successfully secured FDA approvals for Acetadote in January 2004, for Caldolor in June 2009 and for RediTrex in 2019 pursuant to the 505(b)(2) pathway.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Orphan Drug Act of 1983, ("Orphan Drug Act"), encourages manufacturers to seek approval of products intended to treat “rare diseases and conditions” with a prevalence of fewer than 200,000 patients in the U.S. or for which there is no reasonable expectation of recovering the development costs for the product. For products that receive orphan drug designation by the FDA, the Orphan Drug Act provides tax credits for clinical research, FDA assistance with protocol design, eligibility for FDA grants to fund clinical studies, waiver of the FDA application fee, and a period of seven years of marketing exclusivity for the product following FDA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Acetadote received Orphan Drug designation in October 2001 and in 2004 the FDA approved the product to prevent or lessen hepatic injury after ingestion of a potentially hepatotoxic quantity of acetaminophen. Acetadote was entitled to marketing exclusivity until January 2011 for the treatment of this approved indication.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505(j) abbreviated new drug applications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 ANDA is a type of NDA where approval of a generic drug is based on demonstrating comparability to an innovator drug product (the RLD or Reference Listed Drug). Applications are "abbreviated" because they generally don't include preclinical and clinical data to establish safety and effectiveness. Generics must demonstrate that the product is bioequivalent (i.e., performs in the same manner and is comparable to the 'innovator' product in active ingredient, dosage form, strength, route of administration, labeling, quality, performance characteristics and intended use). Abbreviated applications may be submitted for drug products that are the same as a listed drug and must be identical in active ingredient(s), form, strength, route of administration, and identical in conditions of use (non-exclusive uses). Products are declared suitable based on a suitability petition to the FDA. If the petition is approved, the Sponsor may then submit the ANDA.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Drug Price Competition and Patent Term Restoration Act, informally known as the "Hatch-Waxman Act", is a 1984 United States federal law which established the modern system of generic drugs.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Hatch-Waxman amended the Federal Food, Drug, and Cosmetic Act. Section 505(j) 21 U.S.C. 355(j) sets forth the process by which would-be marketers of generic drugs can file ANDAs to seek FDA approval of the generic. Section 505(j)(2)(A)(vii)(IV), the so-called Paragraph IV, allows 180-day exclusivity to companies that are the "first-to-file" an ANDA against holders of patents for branded counterparts.</w:t>
      </w:r>
    </w:p>
    <w:p>
      <w:pPr>
        <w:spacing w:after="0" w:line="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Hatch-Waxman Amendments grant generic manufacturers the ability to mount a validity challenge without incurring the cost of entry or risking enormous damages flowing from any possible infringement. Hatch-Waxman essentially redistributes the relative risk assessments and explains the flow of settlement funds and their magnitude. Hatch-Waxman gives generics considerable leverage in patent litigation.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legislation</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March 23, 2010, President Obama signed into law the Patient Protection and Affordable Care Act, or PPACA. On March 30, 2010, the Health Care and Education Reconciliation Act of 2010, or HCERA, was enacted into law, which modified the revenue provisions of the PPACA. The PPACA as amended by the HCERA constitutes the healthcare reform legislation. The following highlights certain provisions of the legislation that may affect us.</w:t>
      </w:r>
    </w:p>
    <w:p>
      <w:pPr>
        <w:spacing w:after="0" w:line="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Pharmaceutical Industry Fee: </w:t>
      </w:r>
      <w:r>
        <w:rPr>
          <w:rFonts w:ascii="Arial" w:cs="Arial" w:eastAsia="Arial" w:hAnsi="Arial"/>
          <w:sz w:val="18"/>
          <w:szCs w:val="18"/>
          <w:color w:val="auto"/>
        </w:rPr>
        <w:t>Beginning in calendar-year 2011, an annual fee was imposed on pharmaceutical manufacturers and importers that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prescription drugs to specified government programs (e.g., Medicare Part D, Medicare Part B, Medicaid, Department of Veterans Affairs programs, Department of Defense programs and TRICARE).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fee is allocated to companies based on their previous calendar-year market share using sales data that the government agencies that purchase the pharmaceuticals will provide to the Treasury Department. Although we participate in governmental programs that subject us to this fee, our sales volume in such programs is less than $10 million, with the first $5 million of sales being exempt from the fee. This fee has not had a material impact and is not expected to have a material impact on our results of operations.</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Physician Payments Sunshine Act: </w:t>
      </w:r>
      <w:r>
        <w:rPr>
          <w:rFonts w:ascii="Arial" w:cs="Arial" w:eastAsia="Arial" w:hAnsi="Arial"/>
          <w:sz w:val="16"/>
          <w:szCs w:val="16"/>
          <w:color w:val="auto"/>
        </w:rPr>
        <w:t>The PPACA also includes provisions known as the Physician Payments Sunshine Act, or Sunshine Act,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 manufacturers of pharmaceuticals and medical devices covered under Medicare and Medicaid to record any transfers of value to physicians and teaching hospitals and to report this data to the Centers for Medicare and Medicaid Services, or CMS, for aggregation and subsequent public disclosure. Under the Sunshine Act, beginning August 1, 2013, we have collected data regarding reportable transfers of value and have reported such data to CMS. Failure to report appropriate data may result in civil or criminal fines and/or penalties. In addition to the Federal Sunshine Act, similar reporting requirements have also been enacted on the state level requiring transparency of interactions with health care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Medicaid Rebate Rate: </w:t>
      </w:r>
      <w:r>
        <w:rPr>
          <w:rFonts w:ascii="Arial" w:cs="Arial" w:eastAsia="Arial" w:hAnsi="Arial"/>
          <w:sz w:val="18"/>
          <w:szCs w:val="18"/>
          <w:color w:val="auto"/>
        </w:rPr>
        <w:t>We currently provide rebates for products sold to Medicaid beneficiaries.</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Product Serialization: </w:t>
      </w:r>
      <w:r>
        <w:rPr>
          <w:rFonts w:ascii="Arial" w:cs="Arial" w:eastAsia="Arial" w:hAnsi="Arial"/>
          <w:sz w:val="16"/>
          <w:szCs w:val="16"/>
          <w:color w:val="auto"/>
        </w:rPr>
        <w:t>In November of 2013, the FDA passed the Drug Supply Chain Security Act (DSCSA). The DSCSA was created to strengthen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security of the drug distribution supply chain by adding controls such as a national pharmaceutical track and trace system and establishing national standards for licensing of prescription drug wholesale distributors and third-party logistics providers. DSCSA requires trading partners, including manufacturers, repackagers, wholesale distributors and dispensers to provide transaction information to subsequent purchasers for certain prescription drugs. We have taken necessary steps to implement this program and are in compliance with all requirements by the November 2018 deadline.</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b w:val="1"/>
          <w:bCs w:val="1"/>
          <w:i w:val="1"/>
          <w:iCs w:val="1"/>
          <w:color w:val="auto"/>
        </w:rPr>
        <w:t>21</w:t>
      </w:r>
      <w:r>
        <w:rPr>
          <w:rFonts w:ascii="Arial" w:cs="Arial" w:eastAsia="Arial" w:hAnsi="Arial"/>
          <w:sz w:val="23"/>
          <w:szCs w:val="23"/>
          <w:b w:val="1"/>
          <w:bCs w:val="1"/>
          <w:i w:val="1"/>
          <w:iCs w:val="1"/>
          <w:color w:val="auto"/>
          <w:vertAlign w:val="superscript"/>
        </w:rPr>
        <w:t>st</w:t>
      </w:r>
      <w:r>
        <w:rPr>
          <w:rFonts w:ascii="Arial" w:cs="Arial" w:eastAsia="Arial" w:hAnsi="Arial"/>
          <w:sz w:val="18"/>
          <w:szCs w:val="18"/>
          <w:b w:val="1"/>
          <w:bCs w:val="1"/>
          <w:i w:val="1"/>
          <w:iCs w:val="1"/>
          <w:color w:val="auto"/>
        </w:rPr>
        <w:t xml:space="preserve"> Century Cures Act: </w:t>
      </w:r>
      <w:r>
        <w:rPr>
          <w:rFonts w:ascii="Arial" w:cs="Arial" w:eastAsia="Arial" w:hAnsi="Arial"/>
          <w:sz w:val="18"/>
          <w:szCs w:val="18"/>
          <w:color w:val="auto"/>
        </w:rPr>
        <w:t>The 21st Century Cures Act (Cures Act), signed into law on December 13, 2016, is designed to help accelerate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development and bring new innovations and advances to patients who need them faster and more efficiently. The law builds on FDA's ongoing work to incorporate the perspectives of patients into the development of drugs, biological products, and devices in FDA's decision-making process. Cures enhances FDA's ability to modernize clinical trial designs and clinical outcome assessments, which will speed the development and review of novel medical products, including medical countermeasures.</w:t>
      </w:r>
    </w:p>
    <w:p>
      <w:pPr>
        <w:spacing w:after="0" w:line="13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Specifically, the Cures Act enables us to work with FDA in the development of new biomarkers, clinical outcome assessments, surrogate endpoints, and patient reported outcomes. It allows for the use of data summaries rather than full clinical trials for approval and the use of real world evidence to support approval of new indications of approved medical products, or to help satisfy post-approval study requirements for marketed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Approval Activities</w:t>
      </w:r>
    </w:p>
    <w:p>
      <w:pPr>
        <w:spacing w:after="0" w:line="1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Once a drug is on the U.S. market (following FDA approval of the NDA), the FDA continues to address drug production, distribution, and use. FDA activities are based on ensuring drug safety and effectiveness, and address product integrity, labeling, reporting of research and adverse events, surveillance, drug studies, risk management, information dissemination, off-label use, physician advertising and direct-to-consumer advertising.</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amend the NDA for an FDA approved product, such as adding safety or efficacy labeling claims, promoting those new claims, making certain manufacturing changes or product enhancements, we will need FDA review and approval before the change can be implemented. While physicians may use products for indications that have not been approved by the FDA, we may not label or promote the product for an indication that has not been approved.</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Securing FDA approval for new indications, product enhancements, and manufacturing and labeling changes may require us to conduct additional clinical trials under FDA's IND regulations. Even if such studies are conducted, they are still subject to the same requirements and timelines as an original NDA.</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FDA continuously gathers information about possible adverse reactions to the products it has approved for use. The FDA requires all manufacturers to report adverse events. It also provides a procedure for consumers and physicians to voluntarily report their concerns about drugs. The agency collects those reports through MedWatch and uses its FDA Adverse Event Reporting System (FAERS) to store and analyze them. Because some events may occur after the use of a drug for reasons unrelated to the product, the FDA reviews the events to assess which ones may indicate a problem with that particular drug. They then use information gleaned from the surveillance data to determine a course of action. They might recommend a change in drug labeling to alert users to a potential problem, or, perhaps, to require the manufacturer to study the observed association between the drug and the adverse event.</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 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by imprisonment, criminal fines, civil monetary penalties and exclusion from participation in federal health care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False Claims Act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Federal false claims laws prohibit any person from knowingly presenting, or causing to be presented, a false claim for payment to the federal government, or knowingly making, or causing to be made, a false statement to have a false claim paid.</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number of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ICH - International Committee on Harmonization</w:t>
      </w:r>
    </w:p>
    <w:p>
      <w:pPr>
        <w:spacing w:after="0" w:line="1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Outside of the U.S., our ability to market our products will depend on receiving marketing authorizations from the appropriate regulatory authorities. The International Committee on Harmonization (ICH) provides a set of standards that most Regulatory Authorities adhere to (e.g. U.S., Europe, and Japan) allowing greater harmonization in the interpretation and application of technical guidelines and requirements for pharmaceutical product registration, thereby reducing or obviating duplication of testing carried out during the research and development of new human medicines. Regulatory harmonization offers many direct benefits to both regulatory authorities and the pharmaceutical industry with beneficial impact for the protection of public health.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federal, state and local environmental laws and regulations and we believe that our operations comply with such regulations. We anticipate that the effects of compliance with federal, state and local laws and regulations relating to the discharge of materials into the environment will not have any material effect on our capital expenditures, earnings or competitive 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significant seasonal aspects to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to the relatively short lead-time required to fill orders for our products, backlog of orders is not considered material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we had 94 employees. We believe that our future will depend in part on our continued ability to attract, hire, and retain qualified personnel, including hospital and field sales personnel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natural disasters, public health epidemics, and other events beyond our control.</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 could be adversely impacted by the recent coronavirus (“COVID-19”) outbreak which has affected more than 100 countries and has significantly disrupted the day-to-day activities of both individuals and businesses. We rely on individuals and third-party organizations around the world to supply components, manufacture and distribute our products and execute our clinical trials. We may experience revenue loss, supply interruptions, time delays and incur unplanned expenses as a result of the impact of the ongoing COVID-19 pandemic.</w:t>
      </w:r>
    </w:p>
    <w:p>
      <w:pPr>
        <w:spacing w:after="0" w:line="104" w:lineRule="exact"/>
        <w:rPr>
          <w:sz w:val="20"/>
          <w:szCs w:val="20"/>
          <w:color w:val="auto"/>
        </w:rPr>
      </w:pPr>
    </w:p>
    <w:p>
      <w:pPr>
        <w:jc w:val="right"/>
        <w:ind w:right="1460"/>
        <w:spacing w:after="0" w:line="497" w:lineRule="auto"/>
        <w:rPr>
          <w:sz w:val="20"/>
          <w:szCs w:val="20"/>
          <w:color w:val="auto"/>
        </w:rPr>
      </w:pPr>
      <w:r>
        <w:rPr>
          <w:rFonts w:ascii="Arial" w:cs="Arial" w:eastAsia="Arial" w:hAnsi="Arial"/>
          <w:sz w:val="15"/>
          <w:szCs w:val="15"/>
          <w:b w:val="1"/>
          <w:bCs w:val="1"/>
          <w:i w:val="1"/>
          <w:iCs w:val="1"/>
          <w:color w:val="auto"/>
        </w:rPr>
        <w:t xml:space="preserve">An adverse development regarding our products could have a material and adverse impact on our future revenues and profitability. </w:t>
      </w:r>
      <w:r>
        <w:rPr>
          <w:rFonts w:ascii="Arial" w:cs="Arial" w:eastAsia="Arial" w:hAnsi="Arial"/>
          <w:sz w:val="15"/>
          <w:szCs w:val="15"/>
          <w:color w:val="auto"/>
        </w:rPr>
        <w:t>A number of factors may impact the effectiveness of our marketing and sales activities and the demand for our products, including:</w:t>
      </w:r>
    </w:p>
    <w:p>
      <w:pPr>
        <w:spacing w:after="0" w:line="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intellectual property protection available for our products or competing treatments;</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unfavorable publicity concerning us, our products, or the markets for these products such as information concerning product contamination or other safety issues in any of our product markets, whether or not directly involving our products;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Perception by physicians and other members of the healthcare community of the safety or efficacy of our products or competing products;</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Regulatory developments related to our marketing and promotional practices or the manufacture or continued use of our products;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prices of our products relative to other drugs or competing treatments;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current or additional generic competitors;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level of third-party reimbursement for sales of our products;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availability of adequate supplies of our products to meet demand.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demand for our products weaken, our revenues and profitability will likely decline. Known adverse effects of our marketed products are documented in product labeling, including the product package inserts, medical information disclosed to medical professionals and all marketing-related materials. At this time, no unforeseen or serious adverse effects outside of those specified in current product labeling have been directly attributed to our approved products.</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market and sell six products: Acetadote, Caldolor, Kristalose, Vaprisol, Omeclamox-Pak, and Vibativ with RediTrex being marketed in early 2020. A product contamination or other safety or regulatory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as a failure to meet certain FDA reporting requirements involving our products could negatively impact us and possibly lead to a product recall. In addition, changes impacting any of our products in areas such as competition, lack of market acceptance or demand, government regulation, intellectual property, reimbursement and manufacturing could have an adverse impact on our future revenues and profitability.</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has requested prescribers and manufacturers of prescription combination products that contain acetaminophen to limit the amount of acetaminophen to no more than 325 milligrams (mg) in each tablet or capsule. The FDA requested this action to protect consumers from the risk of severe liver damage which can result from excess acetaminophen. This category of prescription drugs combines acetaminophen with another ingredient intended to treat pain (most often an opioid), and these products are commonly prescribed to consumers for pain, such as pain from acute injuries, post-operative pain, or pain following dental procedures.</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also requires manufacturers to appropriately label all prescription combination acetaminophen products to warn of the potential risk for severe liver injury. The actions the FDA is taking for prescription acetaminophen combination products do not affect over-the-counter acetaminophen products. The FDA's regulation of acetaminophen in prescription combination products and over-the-counter products may reduce the number of acetaminophen overdoses which could result in a lower demand for Acetadote. If the demand for Acetadote decreases, it could have an adverse impact on our future revenues and profitability.</w:t>
      </w:r>
    </w:p>
    <w:p>
      <w:pPr>
        <w:spacing w:after="0" w:line="1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commercial success of Caldolor is dependent on many third-parties, including physicians, pharmacists, hospital pharmacy and therapeutics committees, or P&amp;T committees, suppliers and distributors, all of whom we have little or no control over. We expect Caldolor to continue to be administered primarily to hospital and surgery center patients who are unable to receive oral therapies for the treatment of pain or fever. Before we can distribute Caldolor to any new hospital customers, Caldolor must be approved for addition to the hospitals’ formulary lists by their P&amp;T committees. A hospital’s P&amp;T committee generally governs all matters pertaining to the use of medications within the institution, including review of medication formulary data and recommendations of drugs to the medical staff. We cannot guarantee that we will be successful in getting the approvals we need from enough P&amp;T committees to be able to optimize hospital sales of Caldolor. Even if we obtain hospital approval for Caldolor, we must still convince individual hospital physicians to prescribe Caldolor repeatedly. The commercial success of Caldolor also depends on our ability to coordinate supply, distribution, marketing, sales and education efforts. As with our other products, if Caldolor is not accepted in the marketplace, it could have an adverse impact on our future revenues and profitability.</w:t>
      </w:r>
    </w:p>
    <w:p>
      <w:pPr>
        <w:spacing w:after="0" w:line="221" w:lineRule="exact"/>
        <w:rPr>
          <w:sz w:val="20"/>
          <w:szCs w:val="20"/>
          <w:color w:val="auto"/>
        </w:rPr>
      </w:pPr>
    </w:p>
    <w:p>
      <w:pPr>
        <w:ind w:right="140"/>
        <w:spacing w:after="0" w:line="362" w:lineRule="auto"/>
        <w:rPr>
          <w:sz w:val="20"/>
          <w:szCs w:val="20"/>
          <w:color w:val="auto"/>
        </w:rPr>
      </w:pPr>
      <w:r>
        <w:rPr>
          <w:rFonts w:ascii="Arial" w:cs="Arial" w:eastAsia="Arial" w:hAnsi="Arial"/>
          <w:sz w:val="15"/>
          <w:szCs w:val="15"/>
          <w:b w:val="1"/>
          <w:bCs w:val="1"/>
          <w:i w:val="1"/>
          <w:iCs w:val="1"/>
          <w:color w:val="auto"/>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spacing w:after="0" w:line="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the distribution, marketing and subsequent sales of these products could be adversely affected.</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Acetadote: </w:t>
      </w:r>
      <w:r>
        <w:rPr>
          <w:rFonts w:ascii="Arial" w:cs="Arial" w:eastAsia="Arial" w:hAnsi="Arial"/>
          <w:sz w:val="18"/>
          <w:szCs w:val="18"/>
          <w:color w:val="auto"/>
        </w:rPr>
        <w:t>Acetadote we have agreements with two manufacturers, and one manufacturer provided commercial supplies of the product during 2019. If</w:t>
      </w:r>
      <w:r>
        <w:rPr>
          <w:rFonts w:ascii="Arial" w:cs="Arial" w:eastAsia="Arial" w:hAnsi="Arial"/>
          <w:sz w:val="18"/>
          <w:szCs w:val="18"/>
          <w:i w:val="1"/>
          <w:iCs w:val="1"/>
          <w:color w:val="auto"/>
        </w:rPr>
        <w:t xml:space="preserve"> </w:t>
      </w:r>
      <w:r>
        <w:rPr>
          <w:rFonts w:ascii="Arial" w:cs="Arial" w:eastAsia="Arial" w:hAnsi="Arial"/>
          <w:sz w:val="18"/>
          <w:szCs w:val="18"/>
          <w:color w:val="auto"/>
        </w:rPr>
        <w:t>the manufacturer of Acetadote is unable to produce marketable inventory in sufficient quantities, in the agreed upon time period, we could suffer an inability to meet demand for our product.</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Caldolor: </w:t>
      </w:r>
      <w:r>
        <w:rPr>
          <w:rFonts w:ascii="Arial" w:cs="Arial" w:eastAsia="Arial" w:hAnsi="Arial"/>
          <w:sz w:val="17"/>
          <w:szCs w:val="17"/>
          <w:color w:val="auto"/>
        </w:rPr>
        <w:t>We have agreements with multiple manufacturers for the supply of Caldolor and during 2019 we obtained commercial supplies from three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manufacturers for our international and domestic Caldolor requirements. If the manufacturers of Caldolor are unable to produce marketable inventory in sufficient quantities, in the agreed upon time period, we could suffer an inability to meet demand for our product.</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Kristalose: </w:t>
      </w:r>
      <w:r>
        <w:rPr>
          <w:rFonts w:ascii="Arial" w:cs="Arial" w:eastAsia="Arial" w:hAnsi="Arial"/>
          <w:sz w:val="18"/>
          <w:szCs w:val="18"/>
          <w:color w:val="auto"/>
        </w:rPr>
        <w:t>The active pharmaceutical ingredient for Kristalose is manufactured at a single facility by an international supplier. We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relationships with two packagers who provided finished supplies of the product for commercial and sampling purposes during 2019. If these facilities are damaged or destroyed,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local conditions result in a work stoppage, we could suffer an inability to meet demand for our product. Kristalose is manufactured through a complex process. It would be particularly difficult to find a new manufacturer of Kristalose active pharmaceutical ingredient on an expedited basis. As a result of these factors, our ability to manufacture Kristalose may be substantially impaired if the manufacturer is unable or unwilling to supply sufficient quantities of the product.</w:t>
      </w:r>
    </w:p>
    <w:p>
      <w:pPr>
        <w:spacing w:after="0" w:line="10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Omeclamox-Pak: </w:t>
      </w:r>
      <w:r>
        <w:rPr>
          <w:rFonts w:ascii="Arial" w:cs="Arial" w:eastAsia="Arial" w:hAnsi="Arial"/>
          <w:sz w:val="18"/>
          <w:szCs w:val="18"/>
          <w:color w:val="auto"/>
        </w:rPr>
        <w:t>Prior to our asset purchase agreement with GEL that closed in December 2018, GEL managed the packaging and supply of</w:t>
      </w:r>
      <w:r>
        <w:rPr>
          <w:rFonts w:ascii="Arial" w:cs="Arial" w:eastAsia="Arial" w:hAnsi="Arial"/>
          <w:sz w:val="18"/>
          <w:szCs w:val="18"/>
          <w:i w:val="1"/>
          <w:iCs w:val="1"/>
          <w:color w:val="auto"/>
        </w:rPr>
        <w:t xml:space="preserve"> </w:t>
      </w:r>
      <w:r>
        <w:rPr>
          <w:rFonts w:ascii="Arial" w:cs="Arial" w:eastAsia="Arial" w:hAnsi="Arial"/>
          <w:sz w:val="18"/>
          <w:szCs w:val="18"/>
          <w:color w:val="auto"/>
        </w:rPr>
        <w:t>Omeclamox-Pak commercial and sample units. Following our acquisition of the remaining rights to the brand in late 2018, we assumed responsibility for the packaging and supply of the product. During 2019 we entered into a new packaging arrangement for this product. If we are unable to obtain marketable inventory in the future, we could suffer an inability to meet demand for our product.</w:t>
      </w:r>
    </w:p>
    <w:p>
      <w:pPr>
        <w:spacing w:after="0" w:line="11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i w:val="1"/>
          <w:iCs w:val="1"/>
          <w:color w:val="auto"/>
        </w:rPr>
        <w:t xml:space="preserve">Vaprisol: </w:t>
      </w:r>
      <w:r>
        <w:rPr>
          <w:rFonts w:ascii="Arial" w:cs="Arial" w:eastAsia="Arial" w:hAnsi="Arial"/>
          <w:sz w:val="17"/>
          <w:szCs w:val="17"/>
          <w:color w:val="auto"/>
        </w:rPr>
        <w:t>As part of the acquisition of Vaprisol, we purchased an existing supply of raw material inventory. In addition, as part of this transaction, we</w:t>
      </w:r>
      <w:r>
        <w:rPr>
          <w:rFonts w:ascii="Arial" w:cs="Arial" w:eastAsia="Arial" w:hAnsi="Arial"/>
          <w:sz w:val="17"/>
          <w:szCs w:val="17"/>
          <w:i w:val="1"/>
          <w:iCs w:val="1"/>
          <w:color w:val="auto"/>
        </w:rPr>
        <w:t xml:space="preserve"> </w:t>
      </w:r>
      <w:r>
        <w:rPr>
          <w:rFonts w:ascii="Arial" w:cs="Arial" w:eastAsia="Arial" w:hAnsi="Arial"/>
          <w:sz w:val="17"/>
          <w:szCs w:val="17"/>
          <w:color w:val="auto"/>
        </w:rPr>
        <w:t>were assigned a commercial supply agreement with the historical Vaprisol manufacturer. In 2018, the manufacturer informed us that they would no longer be able to provide the product following the manufacturing of one final batch which is expected to provide us with a multi-year supply. Therefore, we are evaluating alternatives for a new manufacturer to provide us with long term supplies of the product. If we are unable to produce additional marketable inventory in sufficient quantities of Vaprisol, we could suffer an inability to meet demand for our product.</w:t>
      </w:r>
    </w:p>
    <w:p>
      <w:pPr>
        <w:spacing w:after="0" w:line="10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Vibativ: </w:t>
      </w:r>
      <w:r>
        <w:rPr>
          <w:rFonts w:ascii="Arial" w:cs="Arial" w:eastAsia="Arial" w:hAnsi="Arial"/>
          <w:sz w:val="16"/>
          <w:szCs w:val="16"/>
          <w:color w:val="auto"/>
        </w:rPr>
        <w:t>Through our acquisition of Vibativ, we acquired a multi-year supply of raw material, work in process and finished goods inventory.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agreement, we are now responsible for the future manufacture of the product and completed the transfer of the product’s manufacturing activities to a new supplier in 2019. If we are unable to obtain marketable inventory in the future, we could suffer an inability to meet demand for our product.</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RediTrex: </w:t>
      </w:r>
      <w:r>
        <w:rPr>
          <w:rFonts w:ascii="Arial" w:cs="Arial" w:eastAsia="Arial" w:hAnsi="Arial"/>
          <w:sz w:val="18"/>
          <w:szCs w:val="18"/>
          <w:color w:val="auto"/>
        </w:rPr>
        <w:t>Under our agreement with Nordic, they will be responsible for providing us the packaged and labeled commercial supply of the RediTrex</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If we are unable to obtain marketable inventory in the future, we could suffer an inability to meet demand for our product.</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may be unable to comply with GMP requirements and with other FDA, state and foreign regulatory requirements.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 control over our manufacturers’ compliance with these regulations and standards. If our third-party manufacturers do not comply with these requirements, we could be subject to:</w:t>
      </w:r>
    </w:p>
    <w:p>
      <w:pPr>
        <w:spacing w:after="0" w:line="8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of production or distribution;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delay in product approval;</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recall;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product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dependent on a variety of other third parties. If these third parties fail to perform as we expect, our operations could be disrupted and our financial results could suffer.</w:t>
      </w:r>
    </w:p>
    <w:p>
      <w:pPr>
        <w:spacing w:after="0" w:line="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a relatively small internal infrastructure. We rely on a variety of third parties, in addition to our manufacturers, to help us operate our business. Other third parties on which we rely include:</w:t>
      </w:r>
    </w:p>
    <w:p>
      <w:pPr>
        <w:spacing w:after="0" w:line="103" w:lineRule="exact"/>
        <w:rPr>
          <w:sz w:val="20"/>
          <w:szCs w:val="20"/>
          <w:color w:val="auto"/>
        </w:rPr>
      </w:pPr>
    </w:p>
    <w:p>
      <w:pPr>
        <w:ind w:left="900" w:right="20" w:hanging="325"/>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Cardinal Health Specialty Pharmaceutical Services, a logistics and fulfillment company and business unit of Cardinal, which bills for, collects, warehouses and ships our marketed products; and</w:t>
      </w:r>
    </w:p>
    <w:p>
      <w:pPr>
        <w:spacing w:after="0" w:line="102" w:lineRule="exact"/>
        <w:rPr>
          <w:rFonts w:ascii="Arial" w:cs="Arial" w:eastAsia="Arial" w:hAnsi="Arial"/>
          <w:sz w:val="18"/>
          <w:szCs w:val="18"/>
          <w:color w:val="auto"/>
        </w:rPr>
      </w:pPr>
    </w:p>
    <w:p>
      <w:pPr>
        <w:ind w:left="900" w:right="20" w:hanging="325"/>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Vanderbilt University, WinHealth and the Tennessee Technology Development Corporation, co-owners with us of CET, and the universities that collaborate with us in connection with CET's research and development programs.</w:t>
      </w:r>
    </w:p>
    <w:p>
      <w:pPr>
        <w:spacing w:after="0" w:line="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pressures could reduce our revenues and profits.</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pharmaceutical industry is intensely competitive. Our strategy is to target differentiated products in specialized markets. However, this strategy does not relieve us from competitive pressures and can entail distinct competitive risks. Certain of our competitors do not aggressively promote their products in our markets. An increase in promotional activity in our markets could result in large shifts in market share, adversely impacting us.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competitors may sell or develop drugs that are more effective and useful or less costly than ours, and they may be more successful in manufacturing and marketing their products. Many of our competitors have significantly greater financial and marketing resources than we do. Additional competitors may enter our markets.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pharmaceutical industry is characterized by constant and significant investment in new product development, which can result in rapid technological change. The introduction of new products could substantially reduce our market share or render our products obsolete. The selling prices of pharmaceutical products tend to decline as competition increases, through new product introduction or otherwise, which could reduce our revenues and profitability.</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generic products that compete with any of our branded pharmaceutical products are approved and sold, sales of our products will be adversely affected.</w:t>
      </w:r>
    </w:p>
    <w:p>
      <w:pPr>
        <w:spacing w:after="0" w:line="8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Generic equivalents for branded pharmaceutical products are typically sold at lower costs than the branded products. The regulatory approval process in the United States exempts generic products from costly and time-consuming clinical trials to demonstrate their safety and efficacy and rely instead on the safety and efficacy of prior products, manufacturers of generic products can invest far less in research and development. After the introduction of a competing generic product, a significant percentage of the prescriptions previously written for the branded product are often written for the generic version. In addition, legislation enacted in most U.S. states allows or, in some instances mandates, that a pharmacist dispense an available generic equivalent when filling a prescription for a branded product, in the absence of specific instructions from the prescribing physician. Governmental and private healthcare payors also emphasize substitution of branded pharmaceuticals with less expensive generic equivalents. Pursuant to the provisions of the Hatch-Waxman Act, manufacturers of branded products often bring lawsuits to enforce their patent rights against generic products released prior to the expiration of branded products’ patents, but it is possible for generic manufacturers to offer generic products while such litigation is pending. As a result, branded products typically experience a significant loss in revenues following the introduction of a competing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generic product, even if subject to an existing patent. Our branded pharmaceutical products are or may become subject to competition from generic equivalents because there is no proprietary protection for some of the branded pharmaceutical products we sell, because our patent protection expires or because our patent protection is not sufficiently broad or enforceable. In addition, we may not be successful in our efforts to extend the proprietary protection afforded our branded products through the development and commercialization of proprietary product improvements. Competition from generic equivalents could result in a decrease in revenues of our branded pharmaceuticals or result in a material impairment of our intangible assets or the acceleration of amortization on our non-impaired intangible assets and may have a material adverse impact on our revenues, financial condition, results of operations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attempt by us to expand the potential market for any of our products is subject to limitations.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Expansion of the market for our products may be subject to certain limitations. In the past, these limitations have included FDA required Phase IV commitments. We may also experience delays associated with future required Phase IV clinical studies potentially resulting from, among other factors, difficulty enrolling patients. Such delays could impact our ability to explore opportunities for label expansion and limit our ability to bring our products to new patient populations.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have only obtained regulatory approval to market our products in the United States. Not all foreign jurisdictions may represent attractive opportunities for our products due to pricing, competitive, regulatory or other factors. In certain foreign jurisdictions, we have licensed the right to market some of our products to third parties. These third parties are responsible for seeking regulatory approval for the products in their respective jurisdictions. We have no control over these third parties and cannot be sure that marketing approval for our products will be obtained outside the United States.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our ability to identify and acquire rights to products. If we do not successfully identify and acquire rights to products, our growth opportunities may be limited.</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acquired rights to our products and our product candidates. Our business strategy is to continue to acquire rights to FDA-approved products as well as pharmaceutical product candidates in the late stages of development. We do not plan to conduct basic research or preclinical product development, except to the extent of our investment in CET. As compared to large multi-national pharmaceutical companies, we have limited resources to acquire third-party products, businesses and technologies and integrate them into our current infrastructure. Many acquisition opportunities involve competition among several potential purchasers including large multi-national pharmaceutical companies and other competitors that have access to greater financial resources than we do. With future acquisitions, we may face financial and operational risks and uncertainties. We may not be able to engage in future product acquisitions, and those we do complete may not be beneficial to us in the long term.</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Furthermore, other products in development may encounter unforeseen issues during their clinical trials. Any unforeseen issues or lack of FDA approval will negatively affect marketing and development plans for those products.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our ability to successfully integrate acquired product brands into our operations. If we do not successfully integrate acquired product brands into our operations, our growth opportunities may be limited.</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added five marketed products to our portfolio of brands, roughly one brand per year, beginning in late 2013 through late 2018. If we are unable to continue to optimize our sales of our brands or we are unable to successfully integrate the marketing, sale and distribution of any other potential products into our current infrastructure or if they require significantly greater resources than originally anticipated, we may face financial and operational risks and uncertainties. If we are unable to successfully integrate any acquired brands, both current and future, these product acquisitions may not be beneficial to us in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Hepatoren, Boxaban, Vasculan, Portaban, and RediTrex product candidates have not been approved for sale and may never be successfully commercialized.</w:t>
      </w:r>
    </w:p>
    <w:p>
      <w:pPr>
        <w:spacing w:after="0" w:line="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anticipate that a portion of our future revenue growth will come from sales of our Hepatoren, Boxaban, Vasculan, Portaban, and RediTrex product candidates. Hepatoren (intravenous ifetroban) is used to treat hepatorenal syndrome ("HRS"), Boxaban (oral ifetroban) is used to treat aspirin exacerbated respiratory disease ("AERD"), Vasculan (oral ifetroban) is for the treatment of systemic sclerosis ("SSc"), Portaban (injection and oral ifetroban) is for the treatment of portal hypertension associated with liver disease, and methotrexate (injection) is used to treat active rheumatoid, juvenile idiopathic and severe psoriatic arthritis as well as severe disabling psoriasis. However, none of these products have been approved by the FDA for marketing, and these product candidates are still subject to risks associated with their development.</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FDA has cleared our IND's for the ifetroban product candidates as we evaluate them as treatments for these conditions. Delays in the enrollment and completion of the clinical studies could significantly delay commercial launch and affect our product development costs. Moreover, results from the clinical studies may not be favorable.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Even if they are eventually developed and approved by the FDA, they may never gain significant acceptance in the marketplace and therefore never generate substantial revenue or profits for us. Physicians may determine that existing drugs are adequate to address patients' needs. The extent to which these product candidates will be reimbursed by the U.S. government or third-party payors is also currently unknown.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foregoing and other factors, we do not know the extent to which our product candidates will contribute to our future growth.</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train and build an effective sales and marketing infrastructure, we will not be able to commercialize and grow our products and product candidates successfully.</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we grow, we may not be able to secure sales personnel or organizations that are adequate in number or expertise to successfully market and sell our products. This risk would be accentuated if we acquire products in areas outside of our current focus areas since our sales forces specialize in our existing areas. If we are unable to expand our sales and marketing capability, train our sales force effectively or provide any other capabilities necessary to commercialize our products and product candidates, we will need to contract with third parties to market and sell our products. We must train our employees on proper regulatory compliance, including, but not limited to, “fair balance” promotion of our products and anti-kickback laws. If we are unable to establish and maintain compliant and adequate sales and marketing capabilities, we may not be able to increase our product revenue, may generate increased expenses and may experience regulatory compliance issues.</w:t>
      </w: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governmental or third-party payors do not provide adequate reimbursement for our products, our revenue and prospects for profitability may be limited.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success depends, in part, on the availability of adequate reimbursement from third-party healthcare payors. Such third-party payors include governmental health programs such as Medicare and Medicaid, managed care providers and private health insurers. Third-party payors are increasingly challenging the pricing of medical products and services, while governments continue to propose and pass legislation designed to reduce the cost of healthcare. Adoption of such legislation could further limit reimbursement for pharmaceuticals.</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March 2010, the U.S. government passed into law the Patient Protection and Affordable Care Act, ("PPACA") along with the Health Care and Education Reconciliation Act of 2010, ("HCERA"), which modified the revenue provisions of the PPACA. The legislation calls for an increase in certain Medicare drug rebates paid by pharmaceutical manufacturers and an industry fee imposed on pharmaceutical manufacturers according to the individual manufacturer’s relative percentage of total industry sales to specified government programs. At this time no assurances can be given that these measures, or any other measures included in the Healthcare Reform Act, will not have an adverse effect on our revenues in the future. Future cost control initiatives, legislation and regulations could decrease the price that we receive for any products, which would limit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Since its inception, other legislative changes have been proposed and adopted. These changes included aggregate reductions of Medicare payments to providers of up to two percent per fiscal year. Additionally, in January 2013, the American Taxpayer Relief Act of 2012, was signed into law which, among other things, reduced Medicare payments to several providers, and increased the statute of limitations period for the government to recover overpayments to providers from three to five years. Further, while the healthcare reform agenda and policies of the current administration are not fully known, it is possible that additional regulatory changes may take place. This includes a repeal of all or portions of the PPACA, and Congress could be asked to replace the current legislation of the PPACA. There is uncertainty with respect to the timing and impact of any changes. These changes could have an impact on coverage and reimbursement for healthcare products and services covered by plans that were authorized by the PPACA. At this time, we cannot predict the ultimate content, timing or effect of any healthcare reform legislation or the impact of potential legislation on us.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Also, reimbursement practices of third-party payors might preclude us from achieving market acceptance for our products or maintaining price levels sufficient to realize an appropriate return on our investment in product acquisition and development. If we cannot obtain adequate reimbursement levels, our business, financial condition and results of operations would be materially and adversely affected.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employees have been trained to submit accurate and correct pricing information to payors. If, despite the training, our employees provide incorrect or fraudulent information, then we will be subject to various administrative and judicial investigations and litigation.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“Formulary” practices of third-party payors could adversely affect our competitive position.</w:t>
      </w:r>
    </w:p>
    <w:p>
      <w:pPr>
        <w:spacing w:after="0" w:line="13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Many managed healthcare organizations are now controlling the pharmaceutical products included on their formulary lists. Having products listed on these formulary lists creates competition among pharmaceutical companies which, in turn, has created a trend of downward pricing pressure in our industry. In addition, many managed care organizations are pursuing various ways to reduce pharmaceutical costs and are considering formulary contracts primarily with those pharmaceutical companies that can offer a full line of products for a given therapy sector or disease state. Our products might not be included on the formulary lists of managed care organizations, and downward pricing pressure in our industry generally could negatively impact our operations.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Continued consolidation of distributor networks in the pharmaceutical industry as well as increases in retailer concentration may limit our ability to profitably sell our products.</w:t>
      </w:r>
    </w:p>
    <w:p>
      <w:pPr>
        <w:spacing w:after="0" w:line="8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sell most of our products to large pharmaceutical wholesalers, who in turn sell to hospitals, surgery centers and retail pharmacies. The distribution network for pharmaceutical products has become increasingly consolidated in recent years. Further consolidation or financial difficulties could also cause our customers to reduce the amounts of our products that they purchase, adversely impacting our business,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CET joint initiative may not result in our gaining access to commercially viable products.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spacing w:after="0" w:line="10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CET investigates early-stage products, which have risk of failure prior to FDA approval and commercialization;</w:t>
      </w:r>
    </w:p>
    <w:p>
      <w:pPr>
        <w:spacing w:after="0" w:line="13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some programs, we do not have pre-set rights to product candidates developed by CET. We would need to agree with CET and its collaborators on the terms of any product licensed or acquired by us;</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principally on government grants to fund CET’s research and development programs. If these grants were no longer available, we or our co-owners might be unable or unwilling to fund CET operations at current levels or at all;</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become involved in disputes with our co-owners regarding CET policy or operations, such as how best to deploy CET assets or which product opportunities to pursue. Disagreement could disrupt or halt product development;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03" w:lineRule="exact"/>
        <w:rPr>
          <w:sz w:val="20"/>
          <w:szCs w:val="20"/>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CET may disagree with one of the various universities with which CET is collaborating on research. A disagreement could disrupt or halt product development.</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our key personnel, the loss of whom would adversely affect our operations. If we fail to attract and retain the talent required for our business, our business will be materially harmed.</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 of our organization and our potential growth may lead to difficulties in managing operations.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we had 94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or product candidate and may have to limit its commercialization.</w:t>
      </w:r>
    </w:p>
    <w:p>
      <w:pPr>
        <w:spacing w:after="0" w:line="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Liability claims may result in:</w:t>
      </w:r>
    </w:p>
    <w:p>
      <w:pPr>
        <w:spacing w:after="0" w:line="9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 with patients;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highly dependent upon medical and patient perceptions of us and the safety and quality of our products. We could be adversely affected if we or our products are subject to negative publicity. We could also be adversely affected if any of our products or any similar products sold by other companies prove to be, or are asserted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harmful to patients. Also, because of our dependence upon medical and patient perceptions, any adverse publicity associated with illness or other adverse effects resulting from the use or misuse of our products or any similar products sold by other companies could have a material adverse impact on our results of operations.</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product liability insurance that covers our clinical trials, the marketing and sale of our products up to a $10 million annual aggregate limit, subject to specified deductibles. Our current or future insurance coverage may prove insufficient to cover any liability claims brought against us.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Because of the increasing costs of insurance coverage, we may not be able to maintain insurance coverage at a reasonable cost or obtain insurance coverage that will be adequate to satisfy any liability that may arise.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Regulatory approval for any approved product is limited by the FDA to those specific indications and conditions for which clinical safety and efficacy have been demonstrated.</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our ability to effectively market and sell our products may be reduced and our business may be adversely affected.</w:t>
      </w:r>
    </w:p>
    <w:p>
      <w:pPr>
        <w:spacing w:after="0" w:line="1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our promotional activities fail to comply with these regulations or guidelines, we may be subject to warnings from, or enforcement action by, these authorities. In addition, our failure to follow FDA rules and guidelines relating to promotion and advertising may cause the FDA to suspend or withdraw an approved product from the market, require a recall or payment of fines, or could result in disgorgement of money, operating restrictions, injunctions or criminal prosecution, any of which could harm our business.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security breaches, including any cybersecurity incidents, adverse events or other disruptions within our information technology infrastructure at our corporate headquarters.</w:t>
      </w:r>
    </w:p>
    <w:p>
      <w:pPr>
        <w:spacing w:after="0" w:line="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including those at our corporate headquarters, are vulnerable to damage from cyber-attacks, computer viruses, unauthorized access, natural disasters, terrorism, war and telecommunication and electrical failures. 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In the event that our corporate headquarters and/or our computer systems are disabled or materially damaged, it would have a substantial and material negative effect on our operations. Furthermore, any system failure, accident or security breach that causes interruptions in our operations could result in a material disruption of our drug development programs. 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right="260"/>
        <w:spacing w:after="0" w:line="261" w:lineRule="auto"/>
        <w:rPr>
          <w:sz w:val="20"/>
          <w:szCs w:val="20"/>
          <w:color w:val="auto"/>
        </w:rPr>
      </w:pPr>
      <w:r>
        <w:rPr>
          <w:rFonts w:ascii="Arial" w:cs="Arial" w:eastAsia="Arial" w:hAnsi="Arial"/>
          <w:sz w:val="18"/>
          <w:szCs w:val="18"/>
          <w:b w:val="1"/>
          <w:bCs w:val="1"/>
          <w:i w:val="1"/>
          <w:iCs w:val="1"/>
          <w:color w:val="auto"/>
        </w:rPr>
        <w:t>We may develop internationally and license our products globally; therefore, we may have an increased exposure to foreign regulatory requirements and fluctuations in foreign currency exchange rates.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currently have only obtained regulatory approval to market our products in the United States, in the future we may seek global opportunities for our products and to develop product candidates internationally in the future. Such opportunities and development will inherently subject us to a number of risks and uncertainties, including:</w:t>
      </w:r>
    </w:p>
    <w:p>
      <w:pPr>
        <w:spacing w:after="0" w:line="10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instability or sanctions in areas in which we operate;</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 (including sanctions);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 from customers in the jurisdictions in which we operate;</w:t>
      </w:r>
    </w:p>
    <w:p>
      <w:pPr>
        <w:spacing w:after="0" w:line="14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laws, rules and regulations relating to the manufacturing, marketing, distribution and sale of pharmaceutical products in the jurisdictions in which we do or will operate;</w:t>
      </w:r>
    </w:p>
    <w:p>
      <w:pPr>
        <w:spacing w:after="0" w:line="10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under regulations in jurisdictions related to obtaining eligibility for government or private payor reimbursement for our products at the wholesale/retail level;</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from local, regional and international competitors;</w:t>
      </w:r>
    </w:p>
    <w:p>
      <w:pPr>
        <w:spacing w:after="0" w:line="14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cultural and language differences and additional employment regulations, union workforce negotiations and potential disputes in the jurisdictions in which we operate;</w:t>
      </w:r>
    </w:p>
    <w:p>
      <w:pPr>
        <w:spacing w:after="0" w:line="10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associated with compliance with a variety of laws and regulations governing international trade, including the Foreign Corrupt Practices Act;</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Any of these factors may, individually or as a group, have a material adverse effect on our business and results of operations. These or other similar risks could adversely affect our revenue and profitability. As we develop internationally, our exposure to these factors will increase.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 drug candidate that we develop receives regulatory approval, we may decide not to commercialize it if we determine that commercialization of that product would require more capital and time than we are willing to invest.</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w:t>
      </w:r>
    </w:p>
    <w:p>
      <w:pPr>
        <w:spacing w:after="0" w:line="1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with acceptable quality and to offer our drug products for sale at competitive prices;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acquisitions we have made or make in the future may make us the subject of lawsuits from either an acquired company’s shareholders, an acquired company’s previous shareholders, or our current shareholders.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the subject of lawsuits from either an acquired company’s shareholders, an acquired company’s previous shareholders, or our current shareholders. These lawsuits could result from the actions of the acquisition target prior to the date of the acquisition, from the acquisition transaction itself, or from actions after the acquisition. Defending potential lawsuits could cost us significant expense and distract management’s attention from the operation of the business. Additionally, these lawsuits could result in the cancellation of, or the inability to renew, certain insurance coverage that would be necessary to protect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modify our business practices, pay fines and significant expenses or experience other losses due to governmental investigations or other enforcement activities.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ultimate outcomes of investigations and legal proceedings are difficult to predict, adverse resolutions or settlements of those matters could result in, among other things:</w:t>
      </w:r>
    </w:p>
    <w:p>
      <w:pPr>
        <w:spacing w:after="0" w:line="103"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damage awards, fines, penalties or other payments, and administrative remedies, such as exclusion and/or debarment from government programs, or other rulings that preclude us from operating our business in a certain manner;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and additional costs to our business operations to avoid risks associated with such litigation or investigations;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57" w:lineRule="exact"/>
        <w:rPr>
          <w:rFonts w:ascii="Arial" w:cs="Arial" w:eastAsia="Arial" w:hAnsi="Arial"/>
          <w:sz w:val="18"/>
          <w:szCs w:val="18"/>
          <w:color w:val="auto"/>
        </w:rPr>
      </w:pPr>
    </w:p>
    <w:p>
      <w:pPr>
        <w:ind w:left="700" w:hanging="36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damage and decreased demand for our products;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expenditure of significant time and resources that would otherwise be available for operating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government regulation. All of our products face regulatory challenges.</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 For more information,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w:t>
      </w:r>
      <w:r>
        <w:rPr>
          <w:rFonts w:ascii="Arial" w:cs="Arial" w:eastAsia="Arial" w:hAnsi="Arial"/>
          <w:sz w:val="18"/>
          <w:szCs w:val="18"/>
          <w:color w:val="auto"/>
        </w:rPr>
        <w:t>.</w:t>
      </w:r>
    </w:p>
    <w:p>
      <w:pPr>
        <w:spacing w:after="0" w:line="1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Like all pharmaceutical manufacturers, we are subject to regulation by the FDA under the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 after regulatory approval, certain developments may decrease demand for our products, including the following:</w:t>
      </w:r>
    </w:p>
    <w:p>
      <w:pPr>
        <w:spacing w:after="0" w:line="14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re-review of products that are already marketed;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scientific information and evolution of scientific theories;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recall or loss of marketing approval of products that are already marketed;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government standards or public expectations regarding safety, efficacy or labeling changes;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scrutiny in advertising and promotion.</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past, clinical trials and post-marketing surveillance of certain marketed drugs of competitors within the industry have raised concerns that have led to recalls, withdrawals or adverse labeling of marketed products. If previously unknown side effects are discovered or if there is an increase in negative publicity regarding known side effects of any of our products, it could significantly reduce demand for the product or require us to take actions that could negatively affect sales, including removing the product from the market, restricting its distribution or applying for labeling changes.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certain health authorities, regulators and agencies have increased their focus on safety when assessing the balance of benefits and risks of drugs. Some health authorities appear to have become more cautious when making decisions about approvability of new products and are re-reviewing select products that are already marketed, adding further to the uncertainties in the regulatory processes. There is also greater regulatory scrutiny, especially in the U.S., on advertising, and promotion (in particular, direct-to-consumer advertising) and pricing of pharmaceutical products. Certain regulatory changes or decisions could make it more difficult for us to sell our products and could have a material adverse effect on our business, results of operations, financial condition and cash flows.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a regulatory agency may take the following actions, among others:</w:t>
      </w:r>
    </w:p>
    <w:p>
      <w:pPr>
        <w:spacing w:after="0" w:line="11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spacing w:after="0" w:line="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Proposed legislation may permit re-importation of drugs from other countries into the U.S., including foreign countries where the drugs are sold at lower prices than in the U.S., which could materially and adversely affect our operating results and our overall financial condition.</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previous years, legislation has been introduced in Congress that, if enacted, would permit more widespread re-importation of drugs from foreign countries into the U.S., which may include re-importation from foreign countries where the drugs are sold at lower prices than in the U.S. Based on recent election results, there could be a renewed effort for legislation permitting the re-importation of prescription drugs as a means of lowering drug costs. Such legislation, or similar regulatory changes, if enacted, could decrease the price we receive for any approved products which, in turn, could materially and adversely affect our operating results and our overall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the Foreign Corrupt Practices Act.</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 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the Physician Payment Sunshine Act.</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required to comply with the United States Physician Payment Sunshine Act, which requires manufacturers of drugs, medical devices and biologicals that participate in U.S. federal healthcare programs to report certain payments and items of value given to physicians and teaching hospitals. Manufacturers are required to report this information annually to The Centers for Medicare &amp; Medicaid Services (CMS). Cumberland has implemented a series of policies and procedures for every employee involved in the data collection process, and has systems in place to capture the data, which is verified by an outside firm that specializes in reporting the payments. Cumberland has also established a system to ensure that data was reported completely, in the correct format, and on time. Despite these policies, procedures and systems, we cannot assure you that we will collect and report all data accurately. If we fail to accurately report this information, we could suffer severe penalties.</w:t>
      </w:r>
    </w:p>
    <w:p>
      <w:pPr>
        <w:spacing w:after="0" w:line="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and other governmental pricing programs, and we have obligations to report average sales price under the Medicare program.</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w:t>
      </w:r>
    </w:p>
    <w:p>
      <w:pPr>
        <w:spacing w:after="0" w:line="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Healthcare Reform Act made significant changes to the Medicaid Drug Rebate program, such as expanding rebate liability from fee-for-service Medicaid utilization to include the utilization of Medicaid managed care organizations as well and changing the definition of average manufacturer price. The Healthcare Reform Act also increased the minimum Medicaid rebate; changed the calculation of the rebate for certain innovator products that qualify as line extensions of existing drugs; and capped the total rebate amount at 100% of the average manufacturer price. Finally, the Healthcare Reform Act requires pharmaceutical manufacturers of branded prescription drugs to pay a branded prescription drug fee to the federal government.</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CMS issued final regulations to implement the changes to the Medicaid Drug Rebate program under the Healthcare Reform Act. These regulations became effective on April 1, 2016. The issuance of the final regulations and coverage expansion by various governmental agencies relating to the Medicaid Drug Rebate program has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variety of community health clinics and other entities that receive health services grants from the Public Health Service, as well as hospitals that serve a disproportionate share of low-income patients. The Healthcare Reform Act expanded the list of covered entities to include certain free-standing cancer hospitals, critical access hospitals, rural referral centers and sole community hospitals. The 340B ceiling price is calculated using a statutory formula based on the average manufacturer price and rebate amount for the covered outpatient drug as calculated under the Medicaid Drug Rebate program. Changes to the definition of average manufacturer price and the Medicaid rebate amount under the Healthcare Reform Act and CMS's final regulations implementing those changes also could affect our 340B ceiling price calculations and negatively impact our results of operations.</w:t>
      </w:r>
    </w:p>
    <w:p>
      <w:pPr>
        <w:spacing w:after="0" w:line="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Healthcare Reform Act obligates the Secretary of the HHS to update the agreement that manufacturers must sign to participate in the 340B program to obligate a manufacturer to offer the 340B price to covered entities if the manufacturer makes the drug available to any other purchaser at any price and to report to the government the ceiling prices for its drugs. The Health Resources and Services Administration ("HRSA"), the federal agency that administers the 340B program, recently updated the agreement with participating manufacturers. The Healthcare Reform Act also obligates the Secretary of the HHS to create regulations and processes to improve the integrity of the 340B program. On January 5, 2017, HRSA issued a final regulation regarding the calculation of 340B ceiling price and the imposition of civil monetary penalties on manufacturers that knowingly and intentionally overcharge covered entities. The regulation became effective as of January 1, 2019. Implementation of this final rule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Federal law also requires that a company that participates in the Medicaid Drug Rebate program report average sales price information each quarter to CMS for certain categories of drugs that are paid under the Medicare Part B program. Manufacturers calculate the average sales price based on a statutorily defined formula as well as regulations and interpretations of the statute by CMS. CMS uses these submissions to determine payment rates for drugs under Medicare Part B. Statutory or regulatory changes or CMS guidance could affect the average sales price calculations for our products and the resulting Medicare payment rate, and could negatively impact our results of operations. Also, the Medicare Part B drug payment methodology is subject to change based on potential demonstration projects undertaken by CMS or potential legislation enacted by Congress.</w:t>
      </w:r>
    </w:p>
    <w:p>
      <w:pPr>
        <w:spacing w:after="0" w:line="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liable for errors associated with our submission of pricing data. In addition to retroactive rebates and the potential for 340B program refunds, if we are found to have knowingly submitted any false price information to the government, we may be liable for civil monetary penalties. If we are found to have made a misrepresentation in the reporting of our average sales price, the Medicare statute provides for civil monetary penalties for each misrepresentation for each day in which the misrepresentation was applied. Our failure to submit the required price data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federal payments may not be available under Medicaid or Medicare Part B for our covered outpatient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CMS and the OIG have pursued manufacturers that were alleged to have failed to report these data to the government in a timely manner.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we are required to participate in the VA Federal Supply Schedule ("FSS") pricing program, established under Section 603 of the Veterans Health Care Act of 1992.</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to secure and extend marketing exclusivity or patent rights may provide only limited or no protection from competition.</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seek to secure and extend marketing exclusivity for our products through a variety of means, including FDA exclusivity and patent rights. Additional barriers for competitors seeking to enter the market include the time and cost associated with the development, regulatory approval and manufacturing of a similar product formulation.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As discussed in Part I, Item 1, </w:t>
      </w:r>
      <w:r>
        <w:rPr>
          <w:rFonts w:ascii="Arial" w:cs="Arial" w:eastAsia="Arial" w:hAnsi="Arial"/>
          <w:sz w:val="18"/>
          <w:szCs w:val="18"/>
          <w:i w:val="1"/>
          <w:iCs w:val="1"/>
          <w:color w:val="auto"/>
        </w:rPr>
        <w:t>Business - Patents, Trademarks, and Other Intellectual Proprietary Rights,</w:t>
      </w:r>
      <w:r>
        <w:rPr>
          <w:rFonts w:ascii="Arial" w:cs="Arial" w:eastAsia="Arial" w:hAnsi="Arial"/>
          <w:sz w:val="18"/>
          <w:szCs w:val="18"/>
          <w:color w:val="auto"/>
        </w:rPr>
        <w:t xml:space="preserve"> of this report on Form 10-K, we have several patents for formulations of Acetadote, and have previously engaged in litigation to enforce our patent rights.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have additional patent applications relating to Acetadote which are pending with the USPTO and may or may not be issued. We intend to continue to vigorously defend and protect our Acetadote product and related intellectual property rights. If we are unsuccessful in protecting our Acetadote intellectual property rights, our competitors may be able to introduce products into the marketplace that reduce the sales and market share of our Acetadote product which may require us to take measures such as reducing prices or increasing our marketing expense, any of which may result in a material adverse effect to our financial condition and results of operations.</w:t>
      </w:r>
    </w:p>
    <w:p>
      <w:pPr>
        <w:spacing w:after="0" w:line="12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we consider patent protection when evaluating product acquisition opportunities, any products we acquire in the future may not have significant patent protection. Neither the USPTO nor the courts have a consistent policy regarding the breadth of claims allowed or the degree of protection afforded under many pharmaceutical patents. Patent applications in the U.S. and many foreign jurisdictions are typically not published until 18 months following the filing date of the first related application, and in some cases not at all. In addition, publication of discoveries in scientific literature often lags significantly behind actual discoveries. Therefore, neither we nor our licensors can be certain that we or they were the first to make the inventions claimed in our issued patents or pending patent applications, or that we or they were the first to file for protection of the inventions set forth in these patent applications. In addition, changes in either patent laws or in interpretations of patent laws in the U.S. and other countries may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of these factors, our patent rights may not provide any commercially valuable protection from competing products.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patents, we rely upon trade secrets, unpatented proprietary know-how and continuing technological innovation where we do not believe patent protection is appropriate or attainable. For example, the manufacturing process for Kristalose involves substantial trade secrets and proprietary know-how. We have entered into confidentiality agreements with certain key employees and consultants pursuant to which such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consultants must assign to us any inventions relating to our business if made by them while they are our employees, as well as certain confidentiality agreements relating to the acquisition of rights to products. Confidentiality agreements can be breached, though, and we might not have adequate remedies for any breach. Also, others could acquire or independently develop similar technology.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depend on certain licensors for the maintenance and enforcement of intellectual property rights and have limited, if any, control over the amount or timing of resources that our licensors devote on our behalf.</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license products, we often depend on our licensors to protect the proprietary rights covering those products. We have limited, if any, control over the amount or timing of resources that our licensors devote on our behalf or the priority they place on maintaining patent or other rights and prosecuting patent applications to our advantage. While any such licensor is expected to be contractually obligated to diligently pursue its patent applications and allow us the opportunity to consult, review and comment on patent office communications, we cannot be sure that it will perform as required. If a licensor does not perform and if we do not assume the maintenance of the licensed patents in sufficient time to make required payments or filings with the appropriate governmental agencies, we risk losing the benefit of all or some of those patent rights.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use of our technology conflicts with the intellectual property rights of third parties, we may incur substantial liabilities, and we may be unable to commercialize products based on this technology in a profitable manner or at all.</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our products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collaborators or licensors, which could be costly and time consuming.</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been involved in lawsuits for infringement of the Acetadote Patents as previously described. Because of their nature, these lawsuits can be costly and time-consuming, and we only experience limited benefits and patent protection. A significant adverse ruling in any such lawsuit could put the Acetadote Patents at risk of being invalidated or interpreted narrowly and could compromise the issuance of our existing patent applications.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Competitors may infringe on our other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distraction of our management. We may not be able, alone or with our collaborators and licensors, to prevent misappropriation of our proprietary rights, particularly in countries where the laws may not protect such rights as fully as in the United States.</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rights to our products and product candidates from others, we could lose the ability to continue commercialization of our products and development and commercialization of our product candidates.</w:t>
      </w:r>
    </w:p>
    <w:p>
      <w:pPr>
        <w:spacing w:after="0" w:line="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exclusive licenses for the marketing and sale of certain products and may acquire additional licenses. Such licenses may terminate prior to expiration if we breach our obligations under the license agreement related to these pharmaceutical products. For example, the licenses may terminate if we fail to meet specified quality control standards, including GMP with respect to the products, or commit a material breach of other terms and conditions of the licenses. Such early termination could have a material adverse effect on our business,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03" w:lineRule="exact"/>
        <w:rPr>
          <w:sz w:val="20"/>
          <w:szCs w:val="20"/>
          <w:color w:val="auto"/>
        </w:rPr>
      </w:pPr>
    </w:p>
    <w:p>
      <w:pPr>
        <w:ind w:right="4080"/>
        <w:spacing w:after="0" w:line="424" w:lineRule="auto"/>
        <w:rPr>
          <w:sz w:val="20"/>
          <w:szCs w:val="20"/>
          <w:color w:val="auto"/>
        </w:rPr>
      </w:pPr>
      <w:r>
        <w:rPr>
          <w:rFonts w:ascii="Arial" w:cs="Arial" w:eastAsia="Arial" w:hAnsi="Arial"/>
          <w:sz w:val="18"/>
          <w:szCs w:val="18"/>
          <w:b w:val="1"/>
          <w:bCs w:val="1"/>
          <w:color w:val="auto"/>
        </w:rPr>
        <w:t xml:space="preserve">RISKS RELATED TO OUR FINANCIAL CONDITION AND RESULTS OF OPERATIONS </w:t>
      </w:r>
      <w:r>
        <w:rPr>
          <w:rFonts w:ascii="Arial" w:cs="Arial" w:eastAsia="Arial" w:hAnsi="Arial"/>
          <w:sz w:val="18"/>
          <w:szCs w:val="18"/>
          <w:b w:val="1"/>
          <w:bCs w:val="1"/>
          <w:i w:val="1"/>
          <w:iCs w:val="1"/>
          <w:color w:val="auto"/>
        </w:rPr>
        <w:t>Our operating results are likely to fluctuate from period to period.</w:t>
      </w:r>
    </w:p>
    <w:p>
      <w:pPr>
        <w:spacing w:after="0" w:line="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spacing w:after="0" w:line="10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product launches, which could increase revenues but also increase sales and marketing expenses;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 activity and other charges;</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research and development expenses resulting from the acquisition of a product candidate that requires significant additional studies and development;</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Ability to utilize unrecognized federal and state net operating loss carryforwards as a result of the exercise of nonqualified options</w:t>
      </w:r>
    </w:p>
    <w:p>
      <w:pPr>
        <w:spacing w:after="0" w:line="169"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competitive, regulatory or reimbursement environment, which could drive down revenues or drive up sales and marketing or compliance costs;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product liability or intellectual property claims and lawsuits.</w:t>
      </w:r>
    </w:p>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focus on acquisitions as a growth strategy has created intangible assets whose amortization could negatively affect our results of operations.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total assets include intangible assets related to our acquisitions. As of December 31, 2019, intangible assets relating to products, which are being amortized, represented approximately 30% of our total assets. We may never realize the value of these assets. U.S. Generally Accepted Accounting Principles ("GAAP") require that we evaluate on a regular basis whether events and circumstances have occurred that indicate that all or a portion of the carrying amount of the asset may no longer be recoverable, in which case we would write down the value of the asset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take a corresponding charge to earnings. Any determination requiring the write-off of a significant portion of unamortized intangible assets would adversely affect our results of operations.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our product development or commercialization and marketing efforts.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need to raise additional funds in order to meet the capital requirements of running our business and acquiring and developing new pharmaceutical products. If we require additional funding, we may seek to sell common stock or other equity or equity-linked securities, which could result in dilution to our shareholders. We may also seek to raise capital through a debt financing, which would result in ongoing debt-service payments and increased interest expense. Any financings would also likely involve operational and financial restrictions being imposed on us. We might also seek to sell assets or rights in one or more commercial products or product development programs. Additional capital might not be available to us when we need it. We are unable to predict the impact of global credit market trends, and if economic conditions deteriorate, our business, results of operations and ability to raise needed capital could be materially and adversely affected. If we are unable to raise additional capital when needed due to the reasons listed above and lack of creditworthiness, bank failures, or price decline in market investments, we could be forced to scale back our operations to conserve cash.</w:t>
      </w:r>
    </w:p>
    <w:p>
      <w:pPr>
        <w:spacing w:after="0" w:line="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are unable to maintain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internal controls are necessary for us to provide reliable financial reports and mitigate the risk of fraud. We maintain a system of internal control over financial reporting, which is defined as a process designed by, or under the supervision of, our principal executive officer and principal financial officer, and affected by our board of directors, management and other personnel, to provide reasonable assurance regarding the reliability of financial reporting and the preparation of financial statements for external purposes in accordance with GAAP.</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assure you that we will not, in the future, identify areas requiring improvement in our internal control over financial reporting. We cannot assure you that the measures we will take to improve these controls will be successful or that we will implement and maintain adequate controls over our financial processes and reporting in the future as we continue to expand. If we are unable to establish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1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we maintain a system of internal controls and provide training to employees designed to provide reasonable assurance that unlawful and fraudulent activity, including misappropriation of assets, fraudulent financial reporting, and unauthorized access to sensitive or confidential data is either prevented or timely detected. However, in the event that our employees engage in such fraudulent behavior, we could suffer material adverse consequences.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principles and tax laws could have a significant impact on our financial position and results of operations.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prepare our consolidated financial statements in accordance with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in recent years, the U.S.-based Financial Accounting Standards Board, ("FASB"), has worked together with the International Accounting Standards Board, ("IASB"), on several projects to further align accounting principles and facilitate more comparable financial reporting between companies who are required to follow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certain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incur losses in the future and we may not achieve or maintain profitability.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continue to spend significant amounts on our efforts to discover and develop drugs. As a result, we may incur losses in future periods.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clinical trials prior to seeking regulatory approval, that are required before we can sell a drug product.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additional drug products, we may incur losses if our drug products do not generate significant revenues. If we achieve profitability, we may not be able to sustain or increase profitability.</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may seek to obtain future financing through the issuance of debt or equity, which may have an adverse effect on our shareholders or may otherwise adversely affect our business.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raise funds through the issuance of additional equity, whether through private placements or public offerings, such an issuance would dilute ownership of our current shareholders that do not participate in the issuance. If we are unable to obtain any needed additional funding, we may be required to reduce the scope of, delay, or eliminate some or all of, our planned research, development and commercialization activities or to license to third parties the rights to develop and/or commercialize products or technologies that we would otherwise seek to develop and/or commercialize ourselves or on terms that are less attractive than they might otherwise be, any of which could materially harm our business.</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terms of any additional debt securities we may issue in the future may impose restrictions on our operations, which may include limiting our ability to incur additional indebtedness, pay dividends on or repurchase our common shares, or make certain acquisitions or investments. In addition, we may be subject to covenants requiring us to satisfy certain financial tests and ratios, and our ability to satisfy such covenants may be affected by events outside of our control.</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officers, directors, and principal shareholders, acting as a group, could significantly influence corporate actions.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December 31, 2019, our officers and directors control approximately 40 percent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 trading price of our common stock because many investors perceive disadvantages to owning stock in companies with controlling shareholders.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analysts may not continue to provide or initiate coverage of our common stock or may issue negative reports.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substantially.</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price for the shares of our common stock sold in our initial public offering was determined by negotiation between the representatives of the underwriters and us. This price may not have reflected the market price of our common stock following our initial public offering. Through March 1, 2020, the closing price of our common stock since our initial public offering has ranged from a low of $4.03 to a high of $17.05 per share. Moreover, the market price of our common stock might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spacing w:after="0" w:line="1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Sales of a substantial number of shares of our common stock in the public market or the perception that these sales may occur could cause the market price of our common stock to decline.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Unstable market conditions may have serious adverse consequences on our business.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experience costs and regulatory risk as a result of operating as a public company, and our management is required to devote time to compliance initiatives.</w:t>
      </w:r>
    </w:p>
    <w:p>
      <w:pPr>
        <w:spacing w:after="0" w:line="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and will continue to incur costs as a result of operating as a public company, and our management is required to devote time to compliance initiatives. As a public company, we have and will continue to incur legal, accounting and other expenses that we did not incur as a private company. In addition, the Sarbanes-Oxley Act of 2002, or Sarbanes-Oxley Act, Dodd-Frank Wall Street Reform and Consumer Protection Act of 2010, and other rules and regulations subsequently implemented by the SEC and NASDAQ, have imposed various requirements on public companies, including the establishment and maintenance of effective disclosure and financial controls and changes in corporate governance practices. These rules and regulations have and will continue to result in legal and financial compliance costs and render some activities more time-consuming and costly. Despite the internal controls and procedures put in place to maintain compliance with securities laws and regulations, our employees may still fail to comply with all SEC disclosure and reporting requirements. Such failure could lead to administrative and civil penalties, criminal penalties, and private litigation with shareholders. The consequences could have a material effect on our ability to effectively market our products and operate our business.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Sarbanes-Oxley Act requires, among other things, that we maintain effective internal controls for financial reporting and disclosure controls and procedures. In particular, we must perform system and process evaluation and testing of our internal controls over financial reporting to allow management to report on the effectiveness of our internal controls over financial reporting. Our testing may reveal deficiencies in our internal controls over financial reporting that are deemed to be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compliance with Section 404 of the Sarbanes-Oxley Act requires that we incur substantial accounting expense and expend significant management efforts. Moreover, if we are not able to comply with the requirements of Section 404 of the Sarbanes-Oxley Act in a timely manner, or if we identify deficiencies in our internal controls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provisions of our third amended and restated charter, bylaws and Tennessee law may inhibit potential acquisition bids that you may consider favorable.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documents contain provisions that may enable our board of directors to resist a change in control of our company even if a change in control were to be considered favorable by you and other shareholders. These provisions include:</w:t>
      </w:r>
    </w:p>
    <w:p>
      <w:pPr>
        <w:spacing w:after="0" w:line="103" w:lineRule="exact"/>
        <w:rPr>
          <w:sz w:val="20"/>
          <w:szCs w:val="20"/>
          <w:color w:val="auto"/>
        </w:rPr>
      </w:pPr>
    </w:p>
    <w:p>
      <w:pPr>
        <w:ind w:left="980" w:right="2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shareholder approval;</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notice procedures required for shareholders to nominate candidates for election as directors or to bring matters before an annual meeting of shareholders;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shareholders;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restriction prohibiting shareholders from removing directors without cause;</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that vacancies in directorships are to be filled by a majority of the directors then in office and the number of directors is to be fixed by the board of directors;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cumulative voting.</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and other provisions contained in our third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cash dividends on our capital stock.</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never paid cash dividends on our capital stock. The availability of funds for distributions to shareholders will depend on our financial performance and assets. Any future decision to declare or pay dividends will be at the sole discretion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DEBT-RELATED RISKS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Revolving Credit Agreement impose restrictive and financial covenants on us. Our failure to comply with these covenants could trigger events that would have a material adverse effect on our business.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Revolving Credit Agreement contains covenants that restrict the way we conduct business and require us to satisfy certain financial tests in order to incur debt or take other actions. Additionally, our Revolving Credit Agreement contains financial covenants that, for example, require us to maintain certain financial ratios which are measured at the end of each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Revolving Credit Agreement contains specified quarterly financial maintenance covenants. As of December 31, 2019, we were in compliance with the Tangible Capital Ratio financial covenant of the Revolving Credit Agreement and we expect to maintain compliance with the Tangible Capital Ratio financial covenant in future periods. However, we can make no assurance that we will be able to comply with the restrictive and financial covenants contained in the Revolving Credit Agreement in the future.</w:t>
      </w:r>
    </w:p>
    <w:p>
      <w:pPr>
        <w:spacing w:after="0" w:line="10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inability to comply with the covenants in our debt instruments could lead to a default or an event of default under the terms thereof, for which we may need to seek relief from our lender in order to waive the associated default or event of default and avoid a potential acceleration of the related indebtedness or cross-default or cross-acceleration to other debt. There can be no assurance that we would be able to obtain such relief on commercially reasonable terms or otherwise and we may be required to incur significant additional costs. In addition, the lender under our Revolving Credit Agreement may impose additional operating and financial restrictions on us as a condition to granting any such waiver. If an event of default is not cured or is not otherwise waived, the lender under our Revolving Credit Agreement may accelerate the maturity of the related debt, foreclose upon any collateral securing the debt and terminate any commitments to lend, any of which would have a material adverse effect on our business, financial condition, cash flows and results of operations and would cause the market value of our securities to decline.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risks related to interest rates.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revolving credit facility bears interest based on variable interest. Thus, a change in the short-term interest rate environment (especially a material change) could have a material adverse effect on our business, financial condition, cash flows and results of operations. As of December 31, 2019, we did not have any outstanding interest rate swap contracts.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Statements in this Annual Report on Form 10-K that are not historical factual statements are “forward-looking statements.”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While forward-looking statements reflect our good-faith beliefs and best judgment based upon current information, they are not guarantees of future performance and are subject to known and unknown risks and uncertainties, including those mentioned in Item 1A, “Risk Factors,” Item 7, “Management’s Discussion and Analysis of Financial Condition and Results of Operations” and elsewhere in this Form 10-K.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spacing w:after="0" w:line="113" w:lineRule="exact"/>
        <w:rPr>
          <w:sz w:val="20"/>
          <w:szCs w:val="20"/>
          <w:color w:val="auto"/>
        </w:rPr>
      </w:pPr>
    </w:p>
    <w:p>
      <w:pPr>
        <w:ind w:left="9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or assumed future results of operations, including the accuracy of our estimates regarding expenses, future revenues, capital requirements and needs for additional financing;</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national or regional economic conditions, including changes in interest rates and the availability and the cost of capital to us;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competitive position and competitors, including the size and growth potential of the markets for our products and product candidates;</w:t>
      </w:r>
    </w:p>
    <w:p>
      <w:pPr>
        <w:spacing w:after="0" w:line="180"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cost and timing of our product acquisition and development activities and clinical trials; and our ability to successfully commercialize our product candidates;</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ind w:left="9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89"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116"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 and</w:t>
      </w:r>
    </w:p>
    <w:p>
      <w:pPr>
        <w:spacing w:after="0" w:line="10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Issuance of new or revised accounting standards by the Financial Accounting Standards Board and the Securities and Exchange Commission.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We have identified the factors on this list as permitted by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2019, we leased approximately 25,500 square feet of office space in Nashville, Tennessee for our corporate headquarters. The lease expires in October 2022. We believe these facilities are adequate to meet our current needs for office space. Manufacturing, packaging or warehousing services are provided to us through contracts with third-party organizations.</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laboratory space at CET, under an agreement amended in July 2012, is leased through April 2023, with an option to extend the lease through April 2028. CET leases approximately 14,200 square feet of office and wet laboratory space in Nashville, Tennessee to operate the CET Life Sciences Center. Cumberland's product formulation and testing laboratories are located at this facility, along with CET's offices. The CET Life Sciences Center also provides laboratory and office space, equipment and infrastructure to early-stage life sciences companies and university spin-outs.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Please see the discussion of our Acetadote patent defense legal proceedings contained in Part 1, Item 1, </w:t>
      </w:r>
      <w:r>
        <w:rPr>
          <w:rFonts w:ascii="Arial" w:cs="Arial" w:eastAsia="Arial" w:hAnsi="Arial"/>
          <w:sz w:val="18"/>
          <w:szCs w:val="18"/>
          <w:i w:val="1"/>
          <w:iCs w:val="1"/>
          <w:color w:val="auto"/>
        </w:rPr>
        <w:t>Business -Patents, Trademarks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Proprietary Rights</w:t>
      </w:r>
      <w:r>
        <w:rPr>
          <w:rFonts w:ascii="Arial" w:cs="Arial" w:eastAsia="Arial" w:hAnsi="Arial"/>
          <w:sz w:val="18"/>
          <w:szCs w:val="18"/>
          <w:color w:val="auto"/>
        </w:rPr>
        <w:t>, of this Form 10-K, which is incorporated by reference herein.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1920"/>
        <w:spacing w:after="0" w:line="417" w:lineRule="auto"/>
        <w:rPr>
          <w:sz w:val="20"/>
          <w:szCs w:val="20"/>
          <w:color w:val="auto"/>
        </w:rPr>
      </w:pPr>
      <w:r>
        <w:rPr>
          <w:rFonts w:ascii="Arial" w:cs="Arial" w:eastAsia="Arial" w:hAnsi="Arial"/>
          <w:sz w:val="18"/>
          <w:szCs w:val="18"/>
          <w:b w:val="1"/>
          <w:bCs w:val="1"/>
          <w:u w:val="single" w:color="auto"/>
          <w:color w:val="auto"/>
        </w:rPr>
        <w:t xml:space="preserve">Item 5. 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jc w:val="both"/>
        <w:ind w:firstLine="324"/>
        <w:spacing w:after="0" w:line="311" w:lineRule="auto"/>
        <w:rPr>
          <w:sz w:val="20"/>
          <w:szCs w:val="20"/>
          <w:color w:val="auto"/>
        </w:rPr>
      </w:pPr>
      <w:r>
        <w:rPr>
          <w:rFonts w:ascii="Arial" w:cs="Arial" w:eastAsia="Arial" w:hAnsi="Arial"/>
          <w:sz w:val="16"/>
          <w:szCs w:val="16"/>
          <w:color w:val="auto"/>
        </w:rPr>
        <w:t>Our common stock, no par value, has been traded on the Nasdaq Global Select Market since August 11, 2009 under the symbol “CPIX.” As of March 16, 2020, we had 77 shareholders of record of our common stock. This excludes shareholders whose shares are held by brokers and other institutions on behalf of shareholders. The closing price of our common stock on the Nasdaq Global Select Market on March 16, 2020 was $3.98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declared or paid any cash dividends on our common stock. Any future decision to declare or pay dividends will be at the sole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performance graph below illustrates a comparison of the total cumulative stockholder return on our common stock since December 31, 2014 to the Nasdaq Composite and a composite of seven Nasdaq Pharmaceutical and Specialty Pharmaceutical Stocks which most closely compare to our Company. The graph assumes an initial investment of $100 on December 31, 2014,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320040</wp:posOffset>
            </wp:positionV>
            <wp:extent cx="5572125" cy="3257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currently has a share repurchase program to repurchase up to $10.0 million of our common stock pursuant to Rule 10b-18 of the Securities Act of 1934. In January 2019, the Company's Board of Directors established the current $10.0 million repurchase program to replace the prior authorizations. We repurchased 623,478 shares, 443,041 shares and 547,376 shares of common stock for approximately $3.5 million, $2.9 million, and $3.7 million during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by month, during the fourth quarter of 2019:</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Shares (or</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Units)</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40" w:type="dxa"/>
            <w:vAlign w:val="bottom"/>
          </w:tcPr>
          <w:p>
            <w:pPr>
              <w:spacing w:after="0"/>
              <w:rPr>
                <w:sz w:val="11"/>
                <w:szCs w:val="11"/>
                <w:color w:val="auto"/>
              </w:rPr>
            </w:pPr>
          </w:p>
        </w:tc>
        <w:tc>
          <w:tcPr>
            <w:tcW w:w="15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Average</w:t>
            </w:r>
          </w:p>
        </w:tc>
        <w:tc>
          <w:tcPr>
            <w:tcW w:w="1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Value) of Shares (or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of Shares (or</w:t>
            </w:r>
          </w:p>
        </w:tc>
        <w:tc>
          <w:tcPr>
            <w:tcW w:w="440" w:type="dxa"/>
            <w:vAlign w:val="bottom"/>
          </w:tcPr>
          <w:p>
            <w:pPr>
              <w:spacing w:after="0"/>
              <w:rPr>
                <w:sz w:val="11"/>
                <w:szCs w:val="11"/>
                <w:color w:val="auto"/>
              </w:rPr>
            </w:pPr>
          </w:p>
        </w:tc>
        <w:tc>
          <w:tcPr>
            <w:tcW w:w="1540" w:type="dxa"/>
            <w:vAlign w:val="bottom"/>
            <w:gridSpan w:val="2"/>
          </w:tcPr>
          <w:p>
            <w:pPr>
              <w:ind w:left="380"/>
              <w:spacing w:after="0" w:line="135" w:lineRule="exact"/>
              <w:rPr>
                <w:sz w:val="20"/>
                <w:szCs w:val="20"/>
                <w:color w:val="auto"/>
              </w:rPr>
            </w:pPr>
            <w:r>
              <w:rPr>
                <w:rFonts w:ascii="Arial" w:cs="Arial" w:eastAsia="Arial" w:hAnsi="Arial"/>
                <w:sz w:val="14"/>
                <w:szCs w:val="14"/>
                <w:b w:val="1"/>
                <w:bCs w:val="1"/>
                <w:color w:val="auto"/>
              </w:rPr>
              <w:t>Price Paid</w:t>
            </w: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Announced</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Units) that May Yet Be</w:t>
            </w:r>
          </w:p>
        </w:tc>
        <w:tc>
          <w:tcPr>
            <w:tcW w:w="0" w:type="dxa"/>
            <w:vAlign w:val="bottom"/>
          </w:tcPr>
          <w:p>
            <w:pPr>
              <w:spacing w:after="0"/>
              <w:rPr>
                <w:sz w:val="1"/>
                <w:szCs w:val="1"/>
                <w:color w:val="auto"/>
              </w:rPr>
            </w:pPr>
          </w:p>
        </w:tc>
      </w:tr>
      <w:tr>
        <w:trPr>
          <w:trHeight w:val="135"/>
        </w:trPr>
        <w:tc>
          <w:tcPr>
            <w:tcW w:w="306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Units)</w:t>
            </w:r>
          </w:p>
        </w:tc>
        <w:tc>
          <w:tcPr>
            <w:tcW w:w="440" w:type="dxa"/>
            <w:vAlign w:val="bottom"/>
          </w:tcPr>
          <w:p>
            <w:pPr>
              <w:spacing w:after="0"/>
              <w:rPr>
                <w:sz w:val="11"/>
                <w:szCs w:val="11"/>
                <w:color w:val="auto"/>
              </w:rPr>
            </w:pPr>
          </w:p>
        </w:tc>
        <w:tc>
          <w:tcPr>
            <w:tcW w:w="1540" w:type="dxa"/>
            <w:vAlign w:val="bottom"/>
            <w:gridSpan w:val="2"/>
          </w:tcPr>
          <w:p>
            <w:pPr>
              <w:ind w:left="400"/>
              <w:spacing w:after="0" w:line="135" w:lineRule="exact"/>
              <w:rPr>
                <w:sz w:val="20"/>
                <w:szCs w:val="20"/>
                <w:color w:val="auto"/>
              </w:rPr>
            </w:pPr>
            <w:r>
              <w:rPr>
                <w:rFonts w:ascii="Arial" w:cs="Arial" w:eastAsia="Arial" w:hAnsi="Arial"/>
                <w:sz w:val="14"/>
                <w:szCs w:val="14"/>
                <w:b w:val="1"/>
                <w:bCs w:val="1"/>
                <w:color w:val="auto"/>
              </w:rPr>
              <w:t>per Share</w:t>
            </w:r>
          </w:p>
        </w:tc>
        <w:tc>
          <w:tcPr>
            <w:tcW w:w="1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Plans or</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306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440" w:type="dxa"/>
            <w:vAlign w:val="bottom"/>
          </w:tcPr>
          <w:p>
            <w:pPr>
              <w:spacing w:after="0"/>
              <w:rPr>
                <w:sz w:val="16"/>
                <w:szCs w:val="16"/>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(or Unit)</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Programs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43"/>
        </w:trPr>
        <w:tc>
          <w:tcPr>
            <w:tcW w:w="2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October</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39,536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$5.64</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8"/>
                <w:szCs w:val="18"/>
                <w:color w:val="auto"/>
              </w:rPr>
              <w:t>39,536</w:t>
            </w:r>
          </w:p>
        </w:tc>
        <w:tc>
          <w:tcPr>
            <w:tcW w:w="1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rPr>
              <w:t>$8,667,406</w:t>
            </w:r>
          </w:p>
        </w:tc>
        <w:tc>
          <w:tcPr>
            <w:tcW w:w="0" w:type="dxa"/>
            <w:vAlign w:val="bottom"/>
          </w:tcPr>
          <w:p>
            <w:pPr>
              <w:spacing w:after="0"/>
              <w:rPr>
                <w:sz w:val="1"/>
                <w:szCs w:val="1"/>
                <w:color w:val="auto"/>
              </w:rPr>
            </w:pPr>
          </w:p>
        </w:tc>
      </w:tr>
      <w:tr>
        <w:trPr>
          <w:trHeight w:val="264"/>
        </w:trPr>
        <w:tc>
          <w:tcPr>
            <w:tcW w:w="306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65,947</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400" w:type="dxa"/>
            <w:vAlign w:val="bottom"/>
          </w:tcPr>
          <w:p>
            <w:pPr>
              <w:ind w:left="44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2"/>
                <w:szCs w:val="22"/>
                <w:color w:val="auto"/>
              </w:rPr>
            </w:pPr>
          </w:p>
        </w:tc>
        <w:tc>
          <w:tcPr>
            <w:tcW w:w="1760" w:type="dxa"/>
            <w:vAlign w:val="bottom"/>
          </w:tcPr>
          <w:p>
            <w:pPr>
              <w:jc w:val="right"/>
              <w:ind w:right="623"/>
              <w:spacing w:after="0"/>
              <w:rPr>
                <w:sz w:val="20"/>
                <w:szCs w:val="20"/>
                <w:color w:val="auto"/>
              </w:rPr>
            </w:pPr>
            <w:r>
              <w:rPr>
                <w:rFonts w:ascii="Arial" w:cs="Arial" w:eastAsia="Arial" w:hAnsi="Arial"/>
                <w:sz w:val="18"/>
                <w:szCs w:val="18"/>
                <w:color w:val="auto"/>
              </w:rPr>
              <w:t>65,947</w:t>
            </w:r>
          </w:p>
        </w:tc>
        <w:tc>
          <w:tcPr>
            <w:tcW w:w="140" w:type="dxa"/>
            <w:vAlign w:val="bottom"/>
          </w:tcPr>
          <w:p>
            <w:pPr>
              <w:spacing w:after="0"/>
              <w:rPr>
                <w:sz w:val="22"/>
                <w:szCs w:val="22"/>
                <w:color w:val="auto"/>
              </w:rPr>
            </w:pPr>
          </w:p>
        </w:tc>
        <w:tc>
          <w:tcPr>
            <w:tcW w:w="2300" w:type="dxa"/>
            <w:vAlign w:val="bottom"/>
          </w:tcPr>
          <w:p>
            <w:pPr>
              <w:jc w:val="right"/>
              <w:ind w:right="722"/>
              <w:spacing w:after="0"/>
              <w:rPr>
                <w:sz w:val="20"/>
                <w:szCs w:val="20"/>
                <w:color w:val="auto"/>
              </w:rPr>
            </w:pPr>
            <w:r>
              <w:rPr>
                <w:rFonts w:ascii="Arial" w:cs="Arial" w:eastAsia="Arial" w:hAnsi="Arial"/>
                <w:sz w:val="18"/>
                <w:szCs w:val="18"/>
                <w:color w:val="auto"/>
              </w:rPr>
              <w:t>$8,340,247</w:t>
            </w:r>
          </w:p>
        </w:tc>
        <w:tc>
          <w:tcPr>
            <w:tcW w:w="0" w:type="dxa"/>
            <w:vAlign w:val="bottom"/>
          </w:tcPr>
          <w:p>
            <w:pPr>
              <w:spacing w:after="0"/>
              <w:rPr>
                <w:sz w:val="1"/>
                <w:szCs w:val="1"/>
                <w:color w:val="auto"/>
              </w:rPr>
            </w:pPr>
          </w:p>
        </w:tc>
      </w:tr>
      <w:tr>
        <w:trPr>
          <w:trHeight w:val="276"/>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65,840</w:t>
            </w:r>
          </w:p>
        </w:tc>
        <w:tc>
          <w:tcPr>
            <w:tcW w:w="4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$5.16</w:t>
            </w:r>
          </w:p>
        </w:tc>
        <w:tc>
          <w:tcPr>
            <w:tcW w:w="1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8"/>
                <w:szCs w:val="18"/>
                <w:color w:val="auto"/>
              </w:rPr>
              <w:t>65,840</w:t>
            </w:r>
          </w:p>
        </w:tc>
        <w:tc>
          <w:tcPr>
            <w:tcW w:w="14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rPr>
              <w:t>$8,000,709</w:t>
            </w:r>
          </w:p>
        </w:tc>
        <w:tc>
          <w:tcPr>
            <w:tcW w:w="0" w:type="dxa"/>
            <w:vAlign w:val="bottom"/>
          </w:tcPr>
          <w:p>
            <w:pPr>
              <w:spacing w:after="0"/>
              <w:rPr>
                <w:sz w:val="1"/>
                <w:szCs w:val="1"/>
                <w:color w:val="auto"/>
              </w:rPr>
            </w:pPr>
          </w:p>
        </w:tc>
      </w:tr>
      <w:tr>
        <w:trPr>
          <w:trHeight w:val="237"/>
        </w:trPr>
        <w:tc>
          <w:tcPr>
            <w:tcW w:w="30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171,323</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(1) Of this amount, 15,041 shares were repurchased directly in private purchases at the then-current fair market value of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selected consolidated financial data set forth below should be read in conjunction with the audited consolidated financial statements and related notes and Item 7, “Management’s Discussion and Analysis of Financial Condition and Results of Operations” and other financial information appearing elsewhere in this Form 10-K. The historical results are not necessarily indicative of the results to be expected for any future periods.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4"/>
          </w:tcPr>
          <w:p>
            <w:pPr>
              <w:jc w:val="center"/>
              <w:ind w:left="593"/>
              <w:spacing w:after="0"/>
              <w:rPr>
                <w:sz w:val="20"/>
                <w:szCs w:val="20"/>
                <w:color w:val="auto"/>
              </w:rPr>
            </w:pPr>
            <w:r>
              <w:rPr>
                <w:rFonts w:ascii="Arial" w:cs="Arial" w:eastAsia="Arial" w:hAnsi="Arial"/>
                <w:sz w:val="16"/>
                <w:szCs w:val="16"/>
                <w:b w:val="1"/>
                <w:bCs w:val="1"/>
                <w:color w:val="auto"/>
                <w:w w:val="90"/>
              </w:rPr>
              <w:t>Years Ended December 31,</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 of income data: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18"/>
                <w:szCs w:val="18"/>
                <w:color w:val="auto"/>
              </w:rPr>
            </w:pPr>
          </w:p>
        </w:tc>
        <w:tc>
          <w:tcPr>
            <w:tcW w:w="9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3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5"/>
          </w:tcPr>
          <w:p>
            <w:pPr>
              <w:jc w:val="center"/>
              <w:ind w:right="131"/>
              <w:spacing w:after="0"/>
              <w:rPr>
                <w:sz w:val="20"/>
                <w:szCs w:val="20"/>
                <w:color w:val="auto"/>
              </w:rPr>
            </w:pPr>
            <w:r>
              <w:rPr>
                <w:rFonts w:ascii="Arial" w:cs="Arial" w:eastAsia="Arial" w:hAnsi="Arial"/>
                <w:sz w:val="14"/>
                <w:szCs w:val="14"/>
                <w:b w:val="1"/>
                <w:bCs w:val="1"/>
                <w:color w:val="auto"/>
                <w:w w:val="91"/>
              </w:rPr>
              <w:t>(in thousands, except per share data)</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4"/>
        </w:trPr>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47,534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41,150</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33,026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51,157</w:t>
            </w:r>
          </w:p>
        </w:tc>
        <w:tc>
          <w:tcPr>
            <w:tcW w:w="4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48,133</w:t>
            </w:r>
          </w:p>
        </w:tc>
        <w:tc>
          <w:tcPr>
            <w:tcW w:w="2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45,231</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34,459</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32,407</w:t>
            </w:r>
          </w:p>
        </w:tc>
        <w:tc>
          <w:tcPr>
            <w:tcW w:w="2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(3,623)</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common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shareholders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(3,538)</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(7,979)</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Earnings (loss)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r>
      <w:tr>
        <w:trPr>
          <w:trHeight w:val="885"/>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90"/>
              </w:rPr>
              <w:t>As of December 31,</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9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8"/>
                <w:szCs w:val="18"/>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18"/>
                <w:szCs w:val="18"/>
                <w:color w:val="auto"/>
              </w:rPr>
            </w:pPr>
          </w:p>
        </w:tc>
        <w:tc>
          <w:tcPr>
            <w:tcW w:w="9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4"/>
        </w:trPr>
        <w:tc>
          <w:tcPr>
            <w:tcW w:w="3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4"/>
        </w:trPr>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34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28,213</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27,939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45,413</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34,510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38,203</w:t>
            </w:r>
          </w:p>
        </w:tc>
        <w:tc>
          <w:tcPr>
            <w:tcW w:w="2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8,291</w:t>
            </w:r>
          </w:p>
        </w:tc>
        <w:tc>
          <w:tcPr>
            <w:tcW w:w="28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4,672</w:t>
            </w:r>
          </w:p>
        </w:tc>
        <w:tc>
          <w:tcPr>
            <w:tcW w:w="380" w:type="dxa"/>
            <w:vAlign w:val="bottom"/>
          </w:tcPr>
          <w:p>
            <w:pPr>
              <w:spacing w:after="0"/>
              <w:rPr>
                <w:sz w:val="21"/>
                <w:szCs w:val="21"/>
                <w:color w:val="auto"/>
              </w:rPr>
            </w:pP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15,622</w:t>
            </w:r>
          </w:p>
        </w:tc>
        <w:tc>
          <w:tcPr>
            <w:tcW w:w="380" w:type="dxa"/>
            <w:vAlign w:val="bottom"/>
          </w:tcPr>
          <w:p>
            <w:pPr>
              <w:spacing w:after="0"/>
              <w:rPr>
                <w:sz w:val="21"/>
                <w:szCs w:val="21"/>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14,561</w:t>
            </w:r>
          </w:p>
        </w:tc>
        <w:tc>
          <w:tcPr>
            <w:tcW w:w="2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26,013</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31,312</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50,990</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50,753</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52,172</w:t>
            </w:r>
          </w:p>
        </w:tc>
        <w:tc>
          <w:tcPr>
            <w:tcW w:w="2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104,549</w:t>
            </w:r>
          </w:p>
        </w:tc>
        <w:tc>
          <w:tcPr>
            <w:tcW w:w="4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112,694</w:t>
            </w:r>
          </w:p>
        </w:tc>
        <w:tc>
          <w:tcPr>
            <w:tcW w:w="28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93,232</w:t>
            </w:r>
          </w:p>
        </w:tc>
        <w:tc>
          <w:tcPr>
            <w:tcW w:w="380" w:type="dxa"/>
            <w:vAlign w:val="bottom"/>
          </w:tcPr>
          <w:p>
            <w:pPr>
              <w:spacing w:after="0"/>
              <w:rPr>
                <w:sz w:val="21"/>
                <w:szCs w:val="21"/>
                <w:color w:val="auto"/>
              </w:rPr>
            </w:pP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93,405</w:t>
            </w:r>
          </w:p>
        </w:tc>
        <w:tc>
          <w:tcPr>
            <w:tcW w:w="380" w:type="dxa"/>
            <w:vAlign w:val="bottom"/>
          </w:tcPr>
          <w:p>
            <w:pPr>
              <w:spacing w:after="0"/>
              <w:rPr>
                <w:sz w:val="21"/>
                <w:szCs w:val="21"/>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91,919</w:t>
            </w:r>
          </w:p>
        </w:tc>
        <w:tc>
          <w:tcPr>
            <w:tcW w:w="2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Total long-term debt (including current portion) and</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34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29,314</w:t>
            </w: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29,319</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11,616</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5,491</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2,687</w:t>
            </w:r>
          </w:p>
        </w:tc>
        <w:tc>
          <w:tcPr>
            <w:tcW w:w="20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1,208</w:t>
            </w:r>
          </w:p>
        </w:tc>
        <w:tc>
          <w:tcPr>
            <w:tcW w:w="4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4,746</w:t>
            </w:r>
          </w:p>
        </w:tc>
        <w:tc>
          <w:tcPr>
            <w:tcW w:w="28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11,709</w:t>
            </w:r>
          </w:p>
        </w:tc>
        <w:tc>
          <w:tcPr>
            <w:tcW w:w="380" w:type="dxa"/>
            <w:vAlign w:val="bottom"/>
          </w:tcPr>
          <w:p>
            <w:pPr>
              <w:spacing w:after="0"/>
              <w:rPr>
                <w:sz w:val="21"/>
                <w:szCs w:val="21"/>
                <w:color w:val="auto"/>
              </w:rPr>
            </w:pP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18,605</w:t>
            </w:r>
          </w:p>
        </w:tc>
        <w:tc>
          <w:tcPr>
            <w:tcW w:w="380" w:type="dxa"/>
            <w:vAlign w:val="bottom"/>
          </w:tcPr>
          <w:p>
            <w:pPr>
              <w:spacing w:after="0"/>
              <w:rPr>
                <w:sz w:val="21"/>
                <w:szCs w:val="21"/>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19,550</w:t>
            </w:r>
          </w:p>
        </w:tc>
        <w:tc>
          <w:tcPr>
            <w:tcW w:w="2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51,085</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55,571</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63,922</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73,121</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76,820</w:t>
            </w:r>
          </w:p>
        </w:tc>
        <w:tc>
          <w:tcPr>
            <w:tcW w:w="2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position and results of operations should be read together with our audited consolidated financial statements and related notes appearing elsewhere in this Form 10-K. This discussion and analysis may contain forward-looking statements that involve risks and uncertainties – please refer to the section entitled, “Special Note Regarding Forward-Looking Statements,” contained in Part I, Item 1A, “Risk Factors,” of this Form 10-K. You should review the “Risk Factors” section of this Form 10-K for a discussion of important factors that could cause actual results to differ materially from the results described in or implied by the forward-looking statements described in the following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We are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the quality of care for patients and address unmet or poorly met medical needs. We promote our approved products through our hospital and field sales forces in the United States and are establishing a network of international partners to bring our medicines to patients in their countries.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portfolio of FDA approved brands includes:</w:t>
      </w:r>
    </w:p>
    <w:p>
      <w:pPr>
        <w:spacing w:after="0" w:line="140" w:lineRule="exact"/>
        <w:rPr>
          <w:sz w:val="20"/>
          <w:szCs w:val="20"/>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100"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100" w:lineRule="exact"/>
        <w:rPr>
          <w:rFonts w:ascii="Arial" w:cs="Arial" w:eastAsia="Arial" w:hAnsi="Arial"/>
          <w:sz w:val="18"/>
          <w:szCs w:val="18"/>
          <w:color w:val="auto"/>
        </w:rPr>
      </w:pPr>
    </w:p>
    <w:p>
      <w:pPr>
        <w:ind w:left="1620" w:hanging="31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86" w:lineRule="exact"/>
        <w:rPr>
          <w:rFonts w:ascii="Arial" w:cs="Arial" w:eastAsia="Arial" w:hAnsi="Arial"/>
          <w:sz w:val="18"/>
          <w:szCs w:val="18"/>
          <w:color w:val="auto"/>
        </w:rPr>
      </w:pPr>
    </w:p>
    <w:p>
      <w:pPr>
        <w:ind w:left="1620" w:hanging="316"/>
        <w:spacing w:after="0" w:line="229" w:lineRule="auto"/>
        <w:tabs>
          <w:tab w:leader="none" w:pos="161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130" w:lineRule="exact"/>
        <w:rPr>
          <w:rFonts w:ascii="Arial" w:cs="Arial" w:eastAsia="Arial" w:hAnsi="Arial"/>
          <w:sz w:val="18"/>
          <w:szCs w:val="18"/>
          <w:color w:val="auto"/>
        </w:rPr>
      </w:pPr>
    </w:p>
    <w:p>
      <w:pPr>
        <w:ind w:left="1620" w:hanging="316"/>
        <w:spacing w:after="0" w:line="229" w:lineRule="auto"/>
        <w:tabs>
          <w:tab w:leader="none" w:pos="161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Vaprisol</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conivaptan</w:t>
      </w:r>
      <w:r>
        <w:rPr>
          <w:rFonts w:ascii="Arial" w:cs="Arial" w:eastAsia="Arial" w:hAnsi="Arial"/>
          <w:sz w:val="18"/>
          <w:szCs w:val="18"/>
          <w:color w:val="auto"/>
        </w:rPr>
        <w:t>) Injection, to raise serum sodium levels in hospitalized patients with euvolemic and hypervolemic</w:t>
      </w:r>
      <w:r>
        <w:rPr>
          <w:rFonts w:ascii="Arial" w:cs="Arial" w:eastAsia="Arial" w:hAnsi="Arial"/>
          <w:sz w:val="18"/>
          <w:szCs w:val="18"/>
          <w:b w:val="1"/>
          <w:bCs w:val="1"/>
          <w:color w:val="auto"/>
        </w:rPr>
        <w:t xml:space="preserve"> </w:t>
      </w:r>
      <w:r>
        <w:rPr>
          <w:rFonts w:ascii="Arial" w:cs="Arial" w:eastAsia="Arial" w:hAnsi="Arial"/>
          <w:sz w:val="18"/>
          <w:szCs w:val="18"/>
          <w:color w:val="auto"/>
        </w:rPr>
        <w:t>hyponatremia;</w:t>
      </w:r>
    </w:p>
    <w:p>
      <w:pPr>
        <w:spacing w:after="0" w:line="130" w:lineRule="exact"/>
        <w:rPr>
          <w:rFonts w:ascii="Arial" w:cs="Arial" w:eastAsia="Arial" w:hAnsi="Arial"/>
          <w:sz w:val="18"/>
          <w:szCs w:val="18"/>
          <w:b w:val="1"/>
          <w:bCs w:val="1"/>
          <w:color w:val="auto"/>
        </w:rPr>
      </w:pPr>
    </w:p>
    <w:p>
      <w:pPr>
        <w:ind w:left="1620" w:hanging="316"/>
        <w:spacing w:after="0" w:line="229" w:lineRule="auto"/>
        <w:tabs>
          <w:tab w:leader="none" w:pos="161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 and</w:t>
      </w:r>
    </w:p>
    <w:p>
      <w:pPr>
        <w:spacing w:after="0" w:line="129" w:lineRule="exact"/>
        <w:rPr>
          <w:rFonts w:ascii="Arial" w:cs="Arial" w:eastAsia="Arial" w:hAnsi="Arial"/>
          <w:sz w:val="18"/>
          <w:szCs w:val="18"/>
          <w:color w:val="auto"/>
        </w:rPr>
      </w:pPr>
    </w:p>
    <w:p>
      <w:pPr>
        <w:ind w:left="1620" w:hanging="316"/>
        <w:spacing w:after="0" w:line="204" w:lineRule="auto"/>
        <w:tabs>
          <w:tab w:leader="none" w:pos="1608" w:val="left"/>
        </w:tabs>
        <w:numPr>
          <w:ilvl w:val="0"/>
          <w:numId w:val="28"/>
        </w:numPr>
        <w:rPr>
          <w:rFonts w:ascii="Arial" w:cs="Arial" w:eastAsia="Arial" w:hAnsi="Arial"/>
          <w:sz w:val="20"/>
          <w:szCs w:val="20"/>
          <w:color w:val="auto"/>
        </w:rPr>
      </w:pPr>
      <w:r>
        <w:rPr>
          <w:rFonts w:ascii="Arial" w:cs="Arial" w:eastAsia="Arial" w:hAnsi="Arial"/>
          <w:sz w:val="18"/>
          <w:szCs w:val="18"/>
          <w:b w:val="1"/>
          <w:bCs w:val="1"/>
          <w:color w:val="auto"/>
        </w:rPr>
        <w:t>RediTrex</w:t>
      </w:r>
      <w:r>
        <w:rPr>
          <w:rFonts w:ascii="Arial" w:cs="Arial" w:eastAsia="Arial" w:hAnsi="Arial"/>
          <w:sz w:val="28"/>
          <w:szCs w:val="28"/>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disabling psoriasis.</w:t>
      </w:r>
    </w:p>
    <w:p>
      <w:pPr>
        <w:spacing w:after="0" w:line="13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we have Phase II clinical programs underway evaluating our ifetroban product candidates in patients with cardiomyopathy associated with Duchenne Muscular Dystrophy (“DMD”), Systemic Sclerosis (“SSc”), and Aspirin-Exacerbated Respiratory Disease ("AERD"). We have also completed Phase II clinical programs with ifetroban in patients with Hepatorenal Syndrome (“HRS”) and patients with Portal Hypertension (“PH”).</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promote our approved products through our hospital and gastroenterology sales forces in the United States, which together comprised approximately 40 sales representatives and managers as of December 31, 2019.</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both product development and commercial capabilities and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opportunities. Our product development team creates proprietary product formulations, manages our clinical studies, prepares all regulatory submissions and manages our medical call center. Our quality and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professionals oversee the manufacture, release and shipment of our products. Our marketing and sales professionals are responsible for our commercial activities, and we work closely with our distribution partners to ensure availability and delivery of our products.</w:t>
      </w:r>
    </w:p>
    <w:p>
      <w:pPr>
        <w:spacing w:after="0" w:line="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The following is a summary of our 2019 highlights and recent developments. For more information, please see Part I, Item I, </w:t>
      </w:r>
      <w:r>
        <w:rPr>
          <w:rFonts w:ascii="Arial" w:cs="Arial" w:eastAsia="Arial" w:hAnsi="Arial"/>
          <w:sz w:val="18"/>
          <w:szCs w:val="18"/>
          <w:i w:val="1"/>
          <w:iCs w:val="1"/>
          <w:color w:val="auto"/>
        </w:rPr>
        <w:t>Business</w:t>
      </w:r>
      <w:r>
        <w:rPr>
          <w:rFonts w:ascii="Arial" w:cs="Arial" w:eastAsia="Arial" w:hAnsi="Arial"/>
          <w:sz w:val="18"/>
          <w:szCs w:val="18"/>
          <w:color w:val="auto"/>
        </w:rPr>
        <w:t>, of this Form 10-K.</w:t>
      </w:r>
    </w:p>
    <w:p>
      <w:pPr>
        <w:spacing w:after="0" w:line="103" w:lineRule="exact"/>
        <w:rPr>
          <w:sz w:val="20"/>
          <w:szCs w:val="20"/>
          <w:color w:val="auto"/>
        </w:rPr>
      </w:pPr>
    </w:p>
    <w:p>
      <w:pPr>
        <w:jc w:val="both"/>
        <w:ind w:left="660" w:right="2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Early in 2019, we announced a strategic review of our brands, capabilities, and international partners. This review followed an accelerated business development initiative, which resulted in a series of transactions. Because of that progress, we felt that it was prudent to take a fresh look at our product portfolio, partners, and organization to ensure proper focus and capabilities.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executed a License and Distribution agreement with HongKong WinHealth Pharma Group Co. Limited (“WinHealth”) for our Caldolor and Acetadote brands in China and Hong Kong.</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also entered into a Strategic Alliance agreement with WinHealth to explore future business opportunities that will further the mission and goals of each organization.</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completed the assignment and amendment of a Commercialization Agreement with R-Pharma JSC (“R Pharma”) associated with ongoing distribution of Vibativ in Russia and a number of adjacent countries in Eastern Europe.</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completed the assignment and amendment of a Commercialization Agreement with Hikma Pharmaceuticals LLC (“Hikma”) to register and distribute Vibativ in a number of countries throughout the Middle East.</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also completed the assignment and amendment of a Commercialization Agreement with Dr. Reddy’s Laboratories Limited (“Dr. Reddy’s”) for the registration and distribution of Vibativ in India.</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concluded our distribution and support for Ethyol and Totect at the end of 2019 and transitioned the responsibility for these products back to Clinigen.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revenue from sales of each of Caldolor, Omeclamox, Kristalose and Ethyol grew in 2019 compared to 2018.</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January 2019, the FDA approved the application for our next generation Caldolor product. In April 2019, we began initial shipments of the product to select customers. During the third and fourth quarters of 2019, there was a growing demand for the new product from these select accounts and we began planning for a full-scale launch in 2020.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late 2019, we received FDA approval for RediTrex and began planning for a 2020 launch of this product line.</w:t>
      </w:r>
    </w:p>
    <w:p>
      <w:pPr>
        <w:spacing w:after="0" w:line="15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September 24, 2019, Cumberland announced U.S. Food and Drug Administration ("FDA") Orphan Drug Grant funding for a new Phase II clinical program. The Company has initiated the clinical development of ifetroban for the treatment of cardiomyopathy associated with Duchenne Muscular Dystrophy (“DMD”). In addition, Cumberland has been awarded just over $1 million in funding from the FDA through their Orphan Drug Grant program to support this Phase II DMD clinical study.</w:t>
      </w:r>
    </w:p>
    <w:p>
      <w:pPr>
        <w:spacing w:after="0" w:line="10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October 2019, a new study was published revealing the superiority of Vibativ (telavancin) over vancomycin in select patients with bacterial pneumonia.</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November 2019, we announced another study, published online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detailing the positive clinical outcomes that resulted from treating multiple infection types with Vibativ.</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2019, Cumberland largely completed the transition of activities to support Vibativ, which Cumberland acquired from Theravance Biopharma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ind w:right="3760"/>
        <w:spacing w:after="0" w:line="417" w:lineRule="auto"/>
        <w:rPr>
          <w:sz w:val="20"/>
          <w:szCs w:val="20"/>
          <w:color w:val="auto"/>
        </w:rPr>
      </w:pPr>
      <w:r>
        <w:rPr>
          <w:rFonts w:ascii="Arial" w:cs="Arial" w:eastAsia="Arial" w:hAnsi="Arial"/>
          <w:sz w:val="18"/>
          <w:szCs w:val="18"/>
          <w:b w:val="1"/>
          <w:bCs w:val="1"/>
          <w:color w:val="auto"/>
        </w:rPr>
        <w:t>CRITICAL ACCOUNTING POLICIES AND SIGNIFICANT JUDGMENTS AND ESTIMATES Accounting Estimates and Judgments</w:t>
      </w:r>
    </w:p>
    <w:p>
      <w:pPr>
        <w:jc w:val="both"/>
        <w:ind w:firstLine="324"/>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are not determined from other sources. Actual results could differ from these estimates. These estimates, judgments and assumptions are most critical with respect to our accounting for revenue recognition, marketable securities, inventory, intangible assets, research and development accounting, contingent consideration liability, provision for income taxes and share-based 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 Results for reporting periods beginning after January 1, 2018 are presented under ASC 606, while prior period amounts were not adjusted and are reported in accordance with ASC 605.</w:t>
      </w:r>
    </w:p>
    <w:p>
      <w:pPr>
        <w:spacing w:after="0" w:line="10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along with grant and rental income. Other income was approximately 4.2% percent of net revenues in 2019, 1.3% in 2018, and 1.9% in 2017 respectively.</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financial statements reflect accounts receivable allowances of $0.8 million and $0.9 million at December 31, 2019 and 2018, respectively, for chargebacks, discounts and allowances for product damaged in shipment.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our sales-related accrual activity for the periods indicated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r>
      <w:tr>
        <w:trPr>
          <w:trHeight w:val="33"/>
        </w:trPr>
        <w:tc>
          <w:tcPr>
            <w:tcW w:w="5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42"/>
        </w:trPr>
        <w:tc>
          <w:tcPr>
            <w:tcW w:w="5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5,630,132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4,683,694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4,051,029</w:t>
            </w: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Current provision</w:t>
            </w:r>
          </w:p>
        </w:tc>
        <w:tc>
          <w:tcPr>
            <w:tcW w:w="4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15,042,658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13,603,177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12,318,312</w:t>
            </w:r>
          </w:p>
        </w:tc>
      </w:tr>
      <w:tr>
        <w:trPr>
          <w:trHeight w:val="27"/>
        </w:trPr>
        <w:tc>
          <w:tcPr>
            <w:tcW w:w="5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Actual product returns and credits issued</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(15,847,133)</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(12,656,739)</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(11,685,647)</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Balance, December 31</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4,825,657</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5,630,132</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4,683,694</w:t>
            </w:r>
          </w:p>
        </w:tc>
      </w:tr>
      <w:tr>
        <w:trPr>
          <w:trHeight w:val="27"/>
        </w:trPr>
        <w:tc>
          <w:tcPr>
            <w:tcW w:w="5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allowances for chargebacks, discounts, and damaged products and sales related accruals for rebates and product returns are determined on a product-by-product basis. We establish them using our best estimate at the time of sale based on:</w:t>
      </w:r>
    </w:p>
    <w:p>
      <w:pPr>
        <w:spacing w:after="0" w:line="103"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product’s historical experience adjusted to reflect known changes in the factors that impact such allowances;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spacing w:after="0" w:line="130"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contractual terms with direct and indirect customers;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Analyses of historical levels of chargebacks, discounts and credits claimed for damaged and expired product;</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Communications with customers;</w:t>
      </w:r>
    </w:p>
    <w:p>
      <w:pPr>
        <w:spacing w:after="0" w:line="157" w:lineRule="exact"/>
        <w:rPr>
          <w:rFonts w:ascii="Arial" w:cs="Arial" w:eastAsia="Arial" w:hAnsi="Arial"/>
          <w:sz w:val="18"/>
          <w:szCs w:val="18"/>
          <w:color w:val="auto"/>
        </w:rPr>
      </w:pPr>
    </w:p>
    <w:p>
      <w:pPr>
        <w:ind w:left="980"/>
        <w:spacing w:after="0" w:line="277" w:lineRule="auto"/>
        <w:tabs>
          <w:tab w:leader="none" w:pos="12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Purchased information about the rate of prescriptions being written and the level of inventory remaining in the distribution channel, if known; and</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about the market for each product, including any anticipated introduction of competitive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w:t>
      </w:r>
    </w:p>
    <w:p>
      <w:pPr>
        <w:spacing w:after="0" w:line="1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allowances for chargebacks and accruals for rebates and product returns are the most significant estimates used in the recognition of our revenue from product sales. Of the accounts receivable allowances and our sales related accruals, our accrual for fee for services and product returns represents the majority of the balance. Sales related accrued liabilities for rebates, product returns, service fees, and administrative fees totaled $4.8 million, $5.6 million and $4.7 million as of December 31, 2019, 2018 and 2017, respectively. Of these amounts, our estimated liability for fee for services represented $1.6 million, $2.0 million and $1.5 million, respectively, while our accrual for product returns totaled $1.9 million, $2.2 million and $2.1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$0.4 million for the year ended December 31, 2019 and $0.3 million for the years ended December 31, 2018 and 2017, respectively. A change in our product return estimate of one percentage point would have impacted net sales by $0.5 million, $0.4 million and $0.4 million for the years ended December 31, 2019, 2018 and 2017,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Marketable Securities</w:t>
      </w:r>
    </w:p>
    <w:p>
      <w:pPr>
        <w:spacing w:after="0" w:line="1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historically invested a portion of our cash reserves in short-term cash investments, U.S. Treasury notes and bonds, corporate bonds and commercial paper in order to maximize our return on cash. We classify these investments as trading securities, and mark the investments to fair value at the end of each reporting period, with the adjustment being recognized in the statement of income as a component of interest income. These investments are generally valued using observable market prices by third-party pricing services, or are derived from such services' pricing models. The level of management judgment required in establishing fair value of financial instruments for which there is a quoted price in an active market is minimal. Similarly, there is little subjectivity or judgment required for instruments valued using valuation models that are standard across the industry and where all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2019 in comparison to our expected inventory usage. The amount of actual inventory obsolescence and unmarketable inventory could differ (either higher or lower) in the near term from the estimated amounts. Changes in our estimates would be recorded in our statement of operations in the period of the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spacing w:after="0" w:line="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adopted FASB ASU 2016-09, "Compensation - Stock Compensation: Improvements to Employee Share-Based Payment Accounting" effective January 1, 2017. The impact of adoption on our consolidated financial statements included the recording of $44.1 million in previously unrecognized net operating loss carryforwards, net of valuation allowances, generated from the exercise of nonqualified options during 2009. These net operating loss carryforwards occurred as a result of the actual tax benefit realized upon employee exercise exceeding the cumulative book compensation charge associated with the options.</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adoption resulted in the recording of $1.1 million in net non-current deferred tax assets and retained earnings effective as of January 1, 2017. The $1.1 million in net non-current deferred tax assets was the result of a deferred tax asset of $17.0 million, net of a related valuation allowance of $15.9 million. Under the previous accounting guidance, these benefits had been recognized in the year in which they were able to reduce current income taxes payable and we recorded these benefits directly to equity. As part of our adoption of the FASB guidance and its continued evaluation of our utilization of net operating loss carryforwards and other deferred tax assets, including updates to our forecasts of future taxable income, we also recorded an additional valuation allowance of $1.0 million for our federal Orphan Drug and Research and Development tax credits that expire between 2021 and 2036.</w:t>
      </w:r>
    </w:p>
    <w:p>
      <w:pPr>
        <w:spacing w:after="0" w:line="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second quarter of 2017, as part of our continued evaluation of the utilization of our net operating loss carryforwards we recorded an additional valuation allowance of $3.5 million for our remaining deferred tax assets. All deferred tax assets have a full valuation allowance.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operating loss carryforwards generated during 2009 consisted of $44.1 million in federal and $45.4 million in state amounts. Since they were generated, we have utilized these net operating loss carryforwards to pay minimal income taxes. We will continue to experience a reduction in income taxes paid in future years, through the continued utilization of these net operating loss carryforwards, as we are able to achieve taxable income through our operations.</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policy with respect to interest and penalties arising from income tax settlements is to recognize them as part of the provision for income taxes.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22, 2017, the Tax Cut and Jobs Act (the "Tax Act”) was signed into law. The Tax Act provides for significant changes in the U.S. Internal Revenue Code of 1986, as amended. The Tax Act contains provisions with separate effective dates but is generally effective for taxable years beginning after December 31, 2017. Certain provisions of the Tax Act were effective during our fiscal year ending December 31, 2018 with all provisions of the Tax Act effective as of the beginning of our fiscal year ending December 31, 2019.</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ASC Topic 740, Income Taxes (“ASC 740”), we are required to revalue any deferred tax assets or liabilities in the period of enactment of change in tax rates. The Tax Act lowers the corporate income tax rate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35% to 21%. As a result of the Tax Act discussed above, we will experience a positive impact to our future results of operations to the extent we achieve taxable income through our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compensation expense for all share-based payments based on the fair value of the award on the date of grant. In addition, incremental compensation expense is recognized upon the modification of equity awards.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issue restricted stock awards at no cost in lieu of stock options to employees, directors and consultants. Compensation expense for restricted stock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statements of operations for the years ended December 31, 2019 and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Years ended December 31,</w:t>
            </w: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7"/>
        </w:trPr>
        <w:tc>
          <w:tcPr>
            <w:tcW w:w="4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47,533,637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40,741,765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6,791,872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8,752,020</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7,378,095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1,373,925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5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21,429,040</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20,258,307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1,170,733</w:t>
            </w: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6,478,592</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7,575,892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(1,097,300)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10,362,433</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10,150,777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211,656</w:t>
            </w: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4,134,557</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2,769,466</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1,365,091</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51,156,642</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48,132,537</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3,024,105</w:t>
            </w:r>
          </w:p>
        </w:tc>
        <w:tc>
          <w:tcPr>
            <w:tcW w:w="120" w:type="dxa"/>
            <w:vAlign w:val="bottom"/>
          </w:tcPr>
          <w:p>
            <w:pPr>
              <w:spacing w:after="0"/>
              <w:rPr>
                <w:sz w:val="20"/>
                <w:szCs w:val="20"/>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(3,623,005)</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(7,390,772)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3,767,767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243,364</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564,484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(321,120)</w:t>
            </w: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(246,186)</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(195,848)</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(50,338)</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42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(3,625,827)</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(7,022,136)</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3,396,309</w:t>
            </w:r>
          </w:p>
        </w:tc>
        <w:tc>
          <w:tcPr>
            <w:tcW w:w="1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79,316</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(16,636)</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95,952</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4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(3,546,511)</w:t>
            </w:r>
          </w:p>
        </w:tc>
        <w:tc>
          <w:tcPr>
            <w:tcW w:w="14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(7,038,772)</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3,492,261</w:t>
            </w:r>
          </w:p>
        </w:tc>
        <w:tc>
          <w:tcPr>
            <w:tcW w:w="1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net revenues for the years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Years ended December 31,</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710"/>
              <w:spacing w:after="0"/>
              <w:rPr>
                <w:sz w:val="20"/>
                <w:szCs w:val="20"/>
                <w:color w:val="auto"/>
              </w:rPr>
            </w:pPr>
            <w:r>
              <w:rPr>
                <w:rFonts w:ascii="Arial" w:cs="Arial" w:eastAsia="Arial" w:hAnsi="Arial"/>
                <w:sz w:val="18"/>
                <w:szCs w:val="18"/>
                <w:b w:val="1"/>
                <w:bCs w:val="1"/>
                <w:color w:val="auto"/>
              </w:rPr>
              <w:t>Change</w:t>
            </w:r>
          </w:p>
        </w:tc>
      </w:tr>
      <w:tr>
        <w:trPr>
          <w:trHeight w:val="27"/>
        </w:trPr>
        <w:tc>
          <w:tcPr>
            <w:tcW w:w="4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5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Acetadote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3,824,449</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4,284,111</w:t>
            </w:r>
          </w:p>
        </w:tc>
        <w:tc>
          <w:tcPr>
            <w:tcW w:w="1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(459,662)</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Omeclamox-Pak</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837,829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623,297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214,532</w:t>
            </w: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Kristalose</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12,895,120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12,055,625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839,495</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Vaprisol</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936,615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1,763,874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(827,259)</w:t>
            </w: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Caldolor</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5,222,281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5,001,997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220,284</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Ethyol</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12,774,831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10,545,906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2,228,925</w:t>
            </w: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Totect</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369,912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850,965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(481,053)</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Vibativ</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8,691,550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5,075,057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3,616,493</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1,981,050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540,933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1,440,117</w:t>
            </w:r>
          </w:p>
        </w:tc>
      </w:tr>
      <w:tr>
        <w:trPr>
          <w:trHeight w:val="27"/>
        </w:trPr>
        <w:tc>
          <w:tcPr>
            <w:tcW w:w="4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4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net revenues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47,533,637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40,741,765</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6,791,872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year ended December 31, 2019 were approximately $47.5 million compared to $40.7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representing an increase of $6.8 million or 16.7%. Five of our products, Omeclamox-Pak, Kristalose, Caldolor, Vibativ and Ethyol, experienced an increase in revenue during 2019. The 16.7% improvement was led by our newest product, Vibativ, which delivered an additional $3.6 million during the full year of 2019 compared to a partial year during 2018.</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decreased net product sales of Acetadote, Vaprisol and Totect.</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65" w:name="page66"/>
    <w:bookmarkEnd w:id="65"/>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Kristalose revenue increased by $0.8 million, or 7.0%, compared to December 31, 2018 primarily as a result of increased wholesale prices. The product's net revenue was also positively impacted by lower managed care rebates, resulting in improved net pricing for the product for the year ended December 31, 2019.</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Caldolor revenue experienced a 4.4% increase to $5.2 million during the year ended December 31, 2019 compared to $5.0 million in the same period last year. This increase in Caldolor revenue for the year ended December 31, 2019 was the result of an 11% increase in domestic shipments of the product</w:t>
      </w:r>
    </w:p>
    <w:p>
      <w:pPr>
        <w:jc w:val="both"/>
        <w:ind w:right="20"/>
        <w:spacing w:after="0" w:line="277" w:lineRule="auto"/>
        <w:rPr>
          <w:sz w:val="20"/>
          <w:szCs w:val="20"/>
          <w:color w:val="auto"/>
        </w:rPr>
      </w:pPr>
      <w:r>
        <w:rPr>
          <w:rFonts w:ascii="Arial" w:cs="Arial" w:eastAsia="Arial" w:hAnsi="Arial"/>
          <w:sz w:val="18"/>
          <w:szCs w:val="18"/>
          <w:color w:val="auto"/>
        </w:rPr>
        <w:t>and improved net pricing. These changes were partially offset by a reduction in international shipments of Caldolor when compared to the same period last year.</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Ethyol revenue for the year ended December 31, 2019 was $12.8 million, which is an increase of $2.2 million or 21.1% from the year ended December 31, 2018. The increase in net revenue is primarily a result of increases in sales volumes and improved net pricing, including a reduction in chargeback deductions related to the Public Health Service's 340B drug pricing program.</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Omeclamox-Pak revenue increased $0.2 million or 34.4% during the year ended December 31, 2019 compared to the prior year. The increase was largely the result of increased sales volume partially offset by higher expired product sales returns.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Vaprisol revenue decreased $0.8 million during the year ended December 31, 2019 compared to the prior year period due primarily to decreased sales of the product. The prior year period sales were higher as a result of the arrival of a new lot of the product during April 2018 resolving temporary supply issues associated with the product.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Totect revenue decreased $0.5 million for the year ended December 31, 2019 compared to the prior year. The decrease is primarily due to a decrease in product sales volume compared to the prior year period.</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Acetadote revenue included net sales of our branded product and our share of net sales from our Authorized Generic. For the year ended December 31, 2019, the Acetadote net revenue decreased $0.5 million or 10.7% compared to the prior year due to a reduction in sales volume as a result of generic competition.</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Cost of products sold</w:t>
      </w:r>
      <w:r>
        <w:rPr>
          <w:rFonts w:ascii="Arial" w:cs="Arial" w:eastAsia="Arial" w:hAnsi="Arial"/>
          <w:sz w:val="17"/>
          <w:szCs w:val="17"/>
          <w:color w:val="auto"/>
        </w:rPr>
        <w:t>. Cost of products sold for the year ended December 31, 2019 were $8.8 million, compared to $7.4 million in the prior year.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net revenues, cost of products sold were 18.4% compared to 18.1% during the prior year. The improvement in costs of products sold as a percentage of revenue was attributable to a change in the product sales mix during the period compared to the prior year.</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year ended December 31, 2019 were $21.4 million, which was an increase of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the prior year's expense of $20.3 million. This increase was primarily attributable to promotional spending and sales force costs, including salary and benefits for the increased sales force. The increase in the sales force and promotional spending is due largely to the addition of our newest brand, Vibativ, during the fourth quarter of 2018.</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for the year ended December 31, 2019 were $6.5 million, compared to $7.6 million last</w:t>
      </w:r>
      <w:r>
        <w:rPr>
          <w:rFonts w:ascii="Arial" w:cs="Arial" w:eastAsia="Arial" w:hAnsi="Arial"/>
          <w:sz w:val="18"/>
          <w:szCs w:val="18"/>
          <w:i w:val="1"/>
          <w:iCs w:val="1"/>
          <w:color w:val="auto"/>
        </w:rPr>
        <w:t xml:space="preserve"> </w:t>
      </w:r>
      <w:r>
        <w:rPr>
          <w:rFonts w:ascii="Arial" w:cs="Arial" w:eastAsia="Arial" w:hAnsi="Arial"/>
          <w:sz w:val="18"/>
          <w:szCs w:val="18"/>
          <w:color w:val="auto"/>
        </w:rPr>
        <w:t>year, representing a decrease of $1.1 million. A portion of our research and development costs are variable based on the number of trials, study sites and patients involved in the development of our product candidates. The decrease was primarily the result of the FDA program fee of $1.3 million paid during 2018 associated with the successful RediTrex FDA submission.</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year ended December 31, 2019 was $10.4 million for 2019, compared to $10.2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last year. The $0.2 million or, 2.1%, increase from the same period for the prior year was primarily driven by an increase in compensation and benefits, including non-cash stock based compensation and deferred compensation.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2019 totaled approximately $4.1 million, which was an increase of $1.4 million over the prior year. The increase in expense was attributable to the amortization of additional product rights and capitalized patents, including those assets associated with the Vibativ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benefit for the year ended December 31, 2019 was $79,316. As a percentage of income (loss) before income taxes,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were a benefit of 2.2% for the year ended December 31, 2019 compared to income tax expense as a percentage of loss before income taxes of 0.2% for the year ended December 31,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statements of operations for the years ended December 31, 2018 and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Years ended December 31,</w:t>
            </w: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7"/>
        </w:trPr>
        <w:tc>
          <w:tcPr>
            <w:tcW w:w="4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40,741,765</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41,150,131</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(408,366)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7,378,095</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7,370,585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7,510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5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20,258,307</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21,492,937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(1,234,630)</w:t>
            </w: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7,575,892</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4,280,385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3,295,507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10,150,777</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9,651,350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499,427</w:t>
            </w: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2,769,466</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2,436,222</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333,244</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48,132,537</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45,231,479</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2,901,058</w:t>
            </w:r>
          </w:p>
        </w:tc>
        <w:tc>
          <w:tcPr>
            <w:tcW w:w="120" w:type="dxa"/>
            <w:vAlign w:val="bottom"/>
          </w:tcPr>
          <w:p>
            <w:pPr>
              <w:spacing w:after="0"/>
              <w:rPr>
                <w:sz w:val="20"/>
                <w:szCs w:val="20"/>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(7,390,772)</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(4,081,348)</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(3,309,424)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564,484</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299,326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265,158</w:t>
            </w:r>
          </w:p>
        </w:tc>
        <w:tc>
          <w:tcPr>
            <w:tcW w:w="1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(195,848)</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(92,904)</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(102,944)</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42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(7,022,136)</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(3,874,926)</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(3,147,210)</w:t>
            </w:r>
          </w:p>
        </w:tc>
        <w:tc>
          <w:tcPr>
            <w:tcW w:w="1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(16,636)</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(4,174,889)</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4,158,253</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4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(7,038,772)</w:t>
            </w:r>
          </w:p>
        </w:tc>
        <w:tc>
          <w:tcPr>
            <w:tcW w:w="14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(8,049,815)</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1,011,043</w:t>
            </w:r>
          </w:p>
        </w:tc>
        <w:tc>
          <w:tcPr>
            <w:tcW w:w="1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Years ended December 31,</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710"/>
              <w:spacing w:after="0"/>
              <w:rPr>
                <w:sz w:val="20"/>
                <w:szCs w:val="20"/>
                <w:color w:val="auto"/>
              </w:rPr>
            </w:pPr>
            <w:r>
              <w:rPr>
                <w:rFonts w:ascii="Arial" w:cs="Arial" w:eastAsia="Arial" w:hAnsi="Arial"/>
                <w:sz w:val="18"/>
                <w:szCs w:val="18"/>
                <w:b w:val="1"/>
                <w:bCs w:val="1"/>
                <w:color w:val="auto"/>
              </w:rPr>
              <w:t>Change</w:t>
            </w:r>
          </w:p>
        </w:tc>
      </w:tr>
      <w:tr>
        <w:trPr>
          <w:trHeight w:val="27"/>
        </w:trPr>
        <w:tc>
          <w:tcPr>
            <w:tcW w:w="4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5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Acetadote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4,284,111</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6,576,720</w:t>
            </w:r>
          </w:p>
        </w:tc>
        <w:tc>
          <w:tcPr>
            <w:tcW w:w="1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(2,292,609)</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Omeclamox-Pak</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623,297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1,761,868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(1,138,571)</w:t>
            </w: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Kristalose</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12,055,625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11,455,805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599,820</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Vaprisol</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1,763,874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1,576,222</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187,652</w:t>
            </w: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Caldolor</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5,001,997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4,178,443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823,554</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Ethyol</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10,545,906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10,835,038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(289,132)</w:t>
            </w: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Totect</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850,965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3,992,467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(3,141,502)</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Vibativ</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5,075,057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5,075,057</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540,933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773,568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(232,635)</w:t>
            </w:r>
          </w:p>
        </w:tc>
      </w:tr>
      <w:tr>
        <w:trPr>
          <w:trHeight w:val="27"/>
        </w:trPr>
        <w:tc>
          <w:tcPr>
            <w:tcW w:w="4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9"/>
        </w:trPr>
        <w:tc>
          <w:tcPr>
            <w:tcW w:w="4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net revenues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40,741,765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41,150,131</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(408,366)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for the year ended December 31, 2018 were approximately $40.7 million compared to $41.2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representing a decrease of $0.4 million or 1.0%. Three of our products: Acetadote, Omeclamox-Pak and Totect experienced a decrease in revenue during 2018, with the largest decrease coming from our Totect product. We began shipments of Totect during a national shortage of dexrazoxane, resulting in strong initial demand for the product. Following our launch, supplies of dexrazoxane became available from competing suppliers.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7" w:name="page68"/>
    <w:bookmarkEnd w:id="67"/>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decreases were partially offset by the initial product sales of our newest product, Vibativ, as well as three of our marketed products experienced increases in net revenue during the period: Kristalose, Vaprisol and Caldolor.</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Kristalose revenue increased by $0.6 million, or 5.2%, compared to December 31, 2017 primarily as a result of increased sales volume. The product's net revenue was positively impacted by increased sales volumes and lower managed care and Medicare rebates, that resulted in improved net pricing for the product for the year ended December 31, 2018.</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Caldolor revenue experienced a 20% increase to $5.0 million during the year ended December 31, 2018 compared to $4.2 million in the same period last year. This increase in Caldolor revenue for the year ended December 31, 2018 was positively impacted by increased domestic and international shipments. Domestic net revenue improved from increased sales volumes and improved pricing.</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Vaprisol revenue increased $0.2 million during the year ended December 31, 2018 compared to the prior year period due to increased sales of the product. Sales of Vaprisol surged during the second quarter of 2018 due to shipments of newly arrived inventory following a period of time when there were limited supplies of the product. During April 2018, the Vaprisol supply issue was resolved as we received new shipments from our manufacturer. The 12% net revenue increase was partially offset by an increase in expired product sales returns during the period.</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Ethyol revenue for the year ended December 31, 2018 was $10.5 million, which was a decrease of $0.3 million from the year ended December 31, 2017. The decrease in net revenue was primarily a result of increases in chargeback deductions related to the Public Health Service's 340B drug pricing program.</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Totect revenue decreased $3.1 million for the year ended December 31, 2018 compared to the prior year. The decrease was primarily due to a decrease in product sales volume compared to the prior year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Omeclamox-Pak revenue decreased $1.1 million during the year ended December 31, 2018 compared to the prior year. The decrease was largely the result of lower sales volume and much higher expired product sales returns.</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Acetadote revenue included net sales of our branded product and our share of net sales from our Authorized Generic. For the year ended December 31, 2018, the Acetadote net revenue decreased $2.3 million compared to the prior year due to a reduction in sales volume as a result of generic competition.</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year ended December 31, 2018 were $7.4 million, remaining consistent with the prior year.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revenues, cost of products sold were 18.1% compared to 17.9% during the prior year. The change in costs of products sold as a percentage of revenue was attributable to a change in the product sales mix during the period compared to the prior year.</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year ended December 31, 2018 were $20.3 million, which was a decrease of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year's expense of $21.5 million. The decrease was primarily attributable to lower royalty expense related to product sales as well as lower promotional spending for the year ended December 31, 2018.</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costs for the year ended December 31, 2018 were $7.6 million, compared to $4.3 million last</w:t>
      </w:r>
      <w:r>
        <w:rPr>
          <w:rFonts w:ascii="Arial" w:cs="Arial" w:eastAsia="Arial" w:hAnsi="Arial"/>
          <w:sz w:val="16"/>
          <w:szCs w:val="16"/>
          <w:i w:val="1"/>
          <w:iCs w:val="1"/>
          <w:color w:val="auto"/>
        </w:rPr>
        <w:t xml:space="preserve"> </w:t>
      </w:r>
      <w:r>
        <w:rPr>
          <w:rFonts w:ascii="Arial" w:cs="Arial" w:eastAsia="Arial" w:hAnsi="Arial"/>
          <w:sz w:val="16"/>
          <w:szCs w:val="16"/>
          <w:color w:val="auto"/>
        </w:rPr>
        <w:t>year, which represented an increase of $3.3 million. A portion of our research and development costs are variable based on the number of trials, study sites and patients involved in the development of our product candidates. The increase was partially the result of additional investments in our ongoing clinical initiatives associated with our pipeline products of $1.6 million. There was also an increase in our products FDA program fees including the $1.3 million fee associated with our RediTrex submission. Research and development costs also increased for salary, wages and benefits.</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year ended December 31, 2018 was $10.2 million for 2018, compared to $9.7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last year. The $0.5 million or, 5.2%, increase from the prior year was primarily driven by an increase in compensation and benefits along with increases in legal and consulting expenses.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2018 totaled approximately $2.8 million, which was an increase of $0.3 million over the prior year. The increase in amortization was attributable to additional product and license rights and capitalized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2018 was $16,636, compared to approximately $4.2 million in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As a percentage of income (loss) before income taxes, income taxes were 0.2% for the year ended December 31, 2018 compared to 107.7% for the year ended December 31, 2017. As discussed in our consolidated financial statements, the effective tax rate for the year ended December 31, 2017 was primarily impacted by recording a valuation allowance of $1.0 million for our federal Orphan Drug and Research and Development tax credits and an additional valuation allowance of $3.5 million for our remaining deferred tax assets. These non-cash valuation allowance adjustments impacted our effective tax rate during the year ended December 31, 2017 . Ethyol revenue for the year ended December 31, 2017 was $10.8 million, which is an increase of $10.0 million from the year ended December 31, 2016. The Company began generating revenue from the sale of Ethyol during the third quarter of 2016. The increase resulted from a full year of sales of the product as well as increased demand for our branded Ethyol product during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sources of liquidity are cash flows provided by our operations, the amounts borrowed and available under our line of credit and the cash proceeds from our initial public offering of common stock that was completed in August 2009. We believe that our internally generated cash flows, existing working capital and our line of credit, including its recent expansion to $20 million, will be adequate to finance internal growth, finance business development initiatives, and fund capital expenditures for the foreseeable future.</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invest a portion of our cash reserves in marketable securities including short-term cash investments, U.S. Treasury notes and bonds, corporate bonds, commercial paper and other marketable securities. At December 31, 2019, all our investments were in commercial paper with maturity dates under thirty days and classified as cash. At December 31, 2018, we had approximately $8.3 million invested in marketable securities.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 and working capital as of the years ended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02"/>
        </w:trPr>
        <w:tc>
          <w:tcPr>
            <w:tcW w:w="6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28,212,635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27,938,960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8,290,679</w:t>
            </w:r>
          </w:p>
        </w:tc>
        <w:tc>
          <w:tcPr>
            <w:tcW w:w="12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marketable securities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28,212,635</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36,229,639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26,012,840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31,311,813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4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changes in cash and cash equivalents for the years ended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Cash provided by (used in):</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3,056,356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3,112,737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(557,714)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2,297,848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w w:val="99"/>
              </w:rPr>
              <w:t>(27,724,818)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9,512,577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(5,080,529)</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7,138,173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1,947,675</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360" w:type="dxa"/>
            <w:vAlign w:val="bottom"/>
          </w:tcPr>
          <w:p>
            <w:pPr>
              <w:ind w:left="20"/>
              <w:spacing w:after="0" w:line="156" w:lineRule="exact"/>
              <w:rPr>
                <w:sz w:val="20"/>
                <w:szCs w:val="20"/>
                <w:color w:val="auto"/>
              </w:rPr>
            </w:pPr>
            <w:r>
              <w:rPr>
                <w:rFonts w:ascii="Arial" w:cs="Arial" w:eastAsia="Arial" w:hAnsi="Arial"/>
                <w:sz w:val="18"/>
                <w:szCs w:val="18"/>
                <w:color w:val="auto"/>
              </w:rPr>
              <w:t>Net (decrease) increase in cash and</w:t>
            </w: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273,675</w:t>
            </w:r>
          </w:p>
        </w:tc>
        <w:tc>
          <w:tcPr>
            <w:tcW w:w="14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color w:val="auto"/>
                <w:w w:val="99"/>
              </w:rPr>
              <w:t>(17,473,908)</w:t>
            </w:r>
          </w:p>
        </w:tc>
        <w:tc>
          <w:tcPr>
            <w:tcW w:w="12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10,902,538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4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net $0.3 million increase in cash and cash equivalents for the year ended December 31, 2019 was attributable to cash provided by operating and investing activities offset by cash used in financing activities. Cash provided by operating activities of $3.1 million included non-cash expense add backs for depreciation and amortization and share-based compensation expense totaling $5.9 million. This increase was partially offset by a net loss for the period of $3.5 million and changes in our working capital that used net cash of $1.4 million. Cash provided by investing activities of $2.3 million included net sales of marketable securities of $8.3 million, partially offset by the $5 million payment to Theravance as part of the acquisition of Vibativ and the addition to intangibles of $0.8 million. Our financing activities included a net repayment of $1.5 million under our line of credit net and $3.5 million in cash used to repurchase shares of our common stock.</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noted above, we continue to repurchase shares of our common stock, as discussed in Part II, Item 5, "Market for Registrant’s Common Equity, Related Stockholder Matters and Issuer Purchases of Equity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net $17.5 million decrease in cash and cash equivalents for the year ended December 31, 2018 was attributable to cash used by investing activities offset by cash provided by operating and financing activities. Cash provided by operating activities of $3.1 million was impacted by a net loss for the period of $7.0 million. This use of operating cash was offset by non-cash expenses of depreciation and amortization and share-based compensation expense totaling $4.3 million. Changes in our working capital provided net cash of $5.9 million. Cash used in investing activities included $20 million in cash paid for the acquisition of Vibativ during 2018, the use of cash to complete a net increase in marketable securities of $3.4 million, and the addition to intangibles of $3.8 million. Our financing activities included $10.2 million in net cash provided by borrowings under our line of credit net of $2.9 million in cash used to repurchase shares of our common stock.</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net $10.9 million increase in cash and cash equivalents for the year ended December 31, 2017 was attributable to cash provided by investing and financing activities offset by cash used in operating activities. Cash used in operating activities of $0.6 million was primarily impacted by a net loss for the period of $8.0 million. These uses of operating cash were offset by deferred tax expenses of $4.2 million and non-cash expenses of depreciation and amortization and share-based compensation expense totaling $4.1 million. Changes in our working capital used net cash of $0.8 million, including accounts receivable, inventory and other current assets of $3.5 million offset by cash provided by accounts payable increases of $2.3 million. Cash provided by investing activities included net proceeds from marketable securities of $11.0 million offset by additions to intangibles of $1.2 million. Our financing activities included $24.5 million in cash provided by borrowings under our line of credit and $3.7 million in cash used to repurchase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2017, the Company filed its Shelf Registration on Form S-3 with the SEC associated with the sale of up to $100 million in corporate securities. The Shelf Registration which was declared effective in January 2018. It also included an At the Market ("ATM") feature that allows the Company to sell common shares at market prices, along with an agreement with B. Riley FBR to support such a placement of shares. The Company did not issue any shares under this ATM during the year ended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Agreement</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May 10, 2019, we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On October 17, 2018, we entered into a second amendment (“Second Amendment”) which increased the maximum aggregate principal available for borrowing under the Pinnacle Agreement to $20.0 million. For a summary of the material terms of the Pinnacle Agreement, as amended, see Note 9 to the accompanying notes to consolidated financial statements.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Pinnacle Agreement, we were initially subject to one financial covenant, the maintenance of a Funded Debt Ratio, as such term is defined in the agreement and determined on a quarterly basis.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December 31, 2019 and we expect to maintain compliance with the Tangible Capital Ratio financial covenant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Product Purchase Requirements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manufacturing and supply agreements do not require minimum annual purchase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cash obligations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as of December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gridSpan w:val="5"/>
          </w:tcPr>
          <w:p>
            <w:pPr>
              <w:ind w:left="60"/>
              <w:spacing w:after="0"/>
              <w:rPr>
                <w:sz w:val="20"/>
                <w:szCs w:val="20"/>
                <w:color w:val="auto"/>
              </w:rPr>
            </w:pPr>
            <w:r>
              <w:rPr>
                <w:rFonts w:ascii="Arial" w:cs="Arial" w:eastAsia="Arial" w:hAnsi="Arial"/>
                <w:sz w:val="16"/>
                <w:szCs w:val="16"/>
                <w:b w:val="1"/>
                <w:bCs w:val="1"/>
                <w:color w:val="auto"/>
                <w:w w:val="95"/>
              </w:rPr>
              <w:t>Payments Due by Year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2023 and</w:t>
            </w:r>
          </w:p>
        </w:tc>
        <w:tc>
          <w:tcPr>
            <w:tcW w:w="0" w:type="dxa"/>
            <w:vAlign w:val="bottom"/>
          </w:tcPr>
          <w:p>
            <w:pPr>
              <w:spacing w:after="0"/>
              <w:rPr>
                <w:sz w:val="1"/>
                <w:szCs w:val="1"/>
                <w:color w:val="auto"/>
              </w:rPr>
            </w:pPr>
          </w:p>
        </w:tc>
      </w:tr>
      <w:tr>
        <w:trPr>
          <w:trHeight w:val="306"/>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Contractual obligations</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24"/>
                <w:szCs w:val="24"/>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thereafter</w:t>
            </w: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 of credit</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18,500,000</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tcPr>
          <w:p>
            <w:pPr>
              <w:ind w:left="20"/>
              <w:spacing w:after="0"/>
              <w:rPr>
                <w:sz w:val="20"/>
                <w:szCs w:val="20"/>
                <w:color w:val="auto"/>
              </w:rPr>
            </w:pPr>
            <w:r>
              <w:rPr>
                <w:rFonts w:ascii="Arial" w:cs="Arial" w:eastAsia="Arial" w:hAnsi="Arial"/>
                <w:sz w:val="18"/>
                <w:szCs w:val="18"/>
                <w:color w:val="auto"/>
              </w:rPr>
              <w:t xml:space="preserve">Estimated interest on debt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1,248,750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832,500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416,250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8,633,589</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2,114,040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1,139,617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997,491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735,405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3,647,036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liability payments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3,376,746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1,120,066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1,144,889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1,019,313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92,478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80" w:type="dxa"/>
            <w:vAlign w:val="bottom"/>
          </w:tcPr>
          <w:p>
            <w:pPr>
              <w:ind w:left="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31,759,085</w:t>
            </w:r>
          </w:p>
        </w:tc>
        <w:tc>
          <w:tcPr>
            <w:tcW w:w="14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4,066,606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21,200,756</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2,016,804</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827,883</w:t>
            </w:r>
          </w:p>
        </w:tc>
        <w:tc>
          <w:tcPr>
            <w:tcW w:w="14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3,647,036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sum of the individual amounts may not agree due to rounding.</w:t>
      </w:r>
    </w:p>
    <w:p>
      <w:pPr>
        <w:spacing w:after="0" w:line="140"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line of credit payments represent the estimated unused line of credit payments and the amount due at maturity. The estimated interest on debt represents the interest on the principal outstanding on the line of credit. These amounts are based on the $18.5 million line of credit assuming the current $18.5 million balance outstanding on December 31, 2019 is consistently outstanding through maturity of July 2021. Interest and unused line of credit payments are due and payable quarterly in arrears.</w:t>
      </w:r>
    </w:p>
    <w:p>
      <w:pPr>
        <w:spacing w:after="0" w:line="119"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contingent consideration liability represents the fair value of the royalty payments of up to 20% of future net sales as part of the Vibativ acquisition.</w:t>
      </w:r>
    </w:p>
    <w:p>
      <w:pPr>
        <w:spacing w:after="0" w:line="165" w:lineRule="exact"/>
        <w:rPr>
          <w:rFonts w:ascii="Arial" w:cs="Arial" w:eastAsia="Arial" w:hAnsi="Arial"/>
          <w:sz w:val="15"/>
          <w:szCs w:val="15"/>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minimum purchase obligations under our manufacturing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2018 and 2017, we did not engage in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Adopted Accounting Pronouncements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May 2014, the FASB issued amended guidance in the form of ASU No. 2014-09, “Revenue from Contracts with Customers” (“ASC 606”). The core principle of the new guidance is to recognize revenues when promised goods or services are transferred to customers in an amount that reflects the consideration to which an entity expects to be entitled for those goods or services. The new guidance defines a five-step process to achieve this core principle and, in doing so, additional judgments and estimates may be required within the revenue recognition process. The new standard replaced most of the existing revenue recognition standards in U.S. GAAP when it became effective. In July 2015, the FASB issued a one-year deferral of the adoption date, which extended the effective date for us to January 1, 2018, at which point Cumberland adopted the standard.</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evaluated its revenues and the new guidance had immaterial impacts to recognition practices upon adoption on January 1, 2018. As part of the adoption, the Company elected to apply the new guidance on a modified retrospective basis. We did not record a cumulative effect adjustment to historical retained earnings for initially applying the new guidance as no revenue recognition differences were identified in the timing or amount of revenue.</w:t>
      </w:r>
    </w:p>
    <w:p>
      <w:pPr>
        <w:spacing w:after="0" w:line="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February 2016, the Financial Accounting Standards Board ("FASB") issued guidance in the form of a FASB Accounting Standards Update ("ASU") No. 2016-02, “Leases.” The new standard establishes a right-of-use (“ROU”) model that requires a lessee to record an ROU asset and a lease liability on the balance sheet for all leases with terms longer than twelve months. Leases will be classified as either finance (formerly "capital leases") or operating, with classification affecting the pattern of expense recognition in the income statement. The standard provides for a modified retrospective transition approach for lessees for capital and operating leases existing at, or entered into after, the beginning of the earliest comparative period presented in the financial statements, with certain optional practical expedients. In July 2018, the FASB issued ASU 2018-11, "Leases: Targeted Improvements", allowing for an alternative transition method (the effective date approach). It allows an entity to initially apply the new lease guidance at the adoption date (rather than at the beginning of the earliest period presented). Cumberland adopted the lease guidance effective January 1, 2019 using the package of transition practical expedients. This allowed us to retain the lease classification for any leases existing prior to adoption, in addition to other benefits.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Companies will apply the standard’s provisions as a cumulative-effect adjustment to retained earnings as of the beginning of the first reporting period in which the guidance is adopted. This standard is effective for Cumberland on January 1, 2020. We continue to evaluate this new standard on our trade and other receivables but do not expect a material impact on our consolidated financial statements.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the election must be applied on an instrument-by-instrument basis, and the election is not available for either available-for-sale or held-to-maturity debt securities. The effective date is the same as ASU 2016-13, January 1, 2020. We continue to evaluate this new standard on our trade and other receivables but do not expect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jc w:val="both"/>
        <w:ind w:firstLine="324"/>
        <w:spacing w:after="0" w:line="271" w:lineRule="auto"/>
        <w:rPr>
          <w:sz w:val="20"/>
          <w:szCs w:val="20"/>
          <w:color w:val="auto"/>
        </w:rPr>
      </w:pPr>
      <w:r>
        <w:rPr>
          <w:rFonts w:ascii="Arial" w:cs="Arial" w:eastAsia="Arial" w:hAnsi="Arial"/>
          <w:sz w:val="17"/>
          <w:szCs w:val="17"/>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The new standard will be effective for Cumberland on January 1, 2020. We continue to evaluate this new standard on our trade and other receivables but do not expect a material impact on our consolidated financial statements.</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will be effective for Cumberland on January 1, 2020. We continue to evaluate this new standard but do not expect a material impact on our consolidated financial statements and related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market risk related to changes in interest rates on our cash on deposit in highly-liquid money market accounts and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Our investment policy focuses on principal preservation and liquidity.</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in marketable securities at December 31, 2019.</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current interest rates, we do not believe we are exposed to significant downside risk related to change in interest on our investment accounts.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interest rate risk related to borrowings under our line of credit is based on LIBOR plus an interest rate spread. There is no LIBOR minimum and the LIBOR pricing provides for an interest rate spread of 1.75% to 2.75% (representing an interest rate of 4.5% at December 31, 2019). As of December 31, 2019, we had $18.5 million in borrowings outstanding under our revolving line of credit.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we operate primarily in the U.S., we are exposed to foreign currency risk. A portion of our research and development is performed abroad.</w:t>
      </w:r>
    </w:p>
    <w:p>
      <w:pPr>
        <w:spacing w:after="0" w:line="16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losses were immaterial for 2019, 2018 and 2017. Neither a five percent increase nor decrease from current exchange rates would have had a material effect on our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consolidated financial statements, including the reports of the independent registered public accounting firm, starting on page F-1, which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of December 31, 2019. Based on that evaluation, they have concluded that our disclosure controls and procedures were effective as of December 31, 2019 to ensure that material information relating to us and our consolidated subsidiaries is made known to officers within these entities in order to allow for timely decisions regarding required disclosure.</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Management’s report on internal control over financial reporting is included on page F-1 of this annual report on Form 10-K, and incorporated herein by reference. During our fourth quarter of 2019, there were no changes in our internal control over financial reporting (as defined in Rule 13a-15(f) or 15d-15(f)).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8-K, Item 5.02(e). Compensatory Arrangements of Certain Officers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16, 2020, the Company entered into new employment agreements with each of A.J. Kazimi, our Chief Executive Officer (the “</w:t>
      </w:r>
      <w:r>
        <w:rPr>
          <w:rFonts w:ascii="Arial" w:cs="Arial" w:eastAsia="Arial" w:hAnsi="Arial"/>
          <w:sz w:val="18"/>
          <w:szCs w:val="18"/>
          <w:u w:val="single" w:color="auto"/>
          <w:color w:val="auto"/>
        </w:rPr>
        <w:t>Kazimi</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Martin Cearnal, our Executive Vice President and Chief Commercial Officer (the “</w:t>
      </w:r>
      <w:r>
        <w:rPr>
          <w:rFonts w:ascii="Arial" w:cs="Arial" w:eastAsia="Arial" w:hAnsi="Arial"/>
          <w:sz w:val="18"/>
          <w:szCs w:val="18"/>
          <w:u w:val="single" w:color="auto"/>
          <w:color w:val="auto"/>
        </w:rPr>
        <w:t>Cearnal Employment Agreement</w:t>
      </w:r>
      <w:r>
        <w:rPr>
          <w:rFonts w:ascii="Arial" w:cs="Arial" w:eastAsia="Arial" w:hAnsi="Arial"/>
          <w:sz w:val="18"/>
          <w:szCs w:val="18"/>
          <w:color w:val="auto"/>
        </w:rPr>
        <w:t>”), Leo Pavliv, our Executive Vice President, Operations and Chief Development Officer (the “</w:t>
      </w:r>
      <w:r>
        <w:rPr>
          <w:rFonts w:ascii="Arial" w:cs="Arial" w:eastAsia="Arial" w:hAnsi="Arial"/>
          <w:sz w:val="18"/>
          <w:szCs w:val="18"/>
          <w:u w:val="single" w:color="auto"/>
          <w:color w:val="auto"/>
        </w:rPr>
        <w:t>Pavliv Employment Agreement</w:t>
      </w:r>
      <w:r>
        <w:rPr>
          <w:rFonts w:ascii="Arial" w:cs="Arial" w:eastAsia="Arial" w:hAnsi="Arial"/>
          <w:sz w:val="18"/>
          <w:szCs w:val="18"/>
          <w:color w:val="auto"/>
        </w:rPr>
        <w:t>”), James Herman, our Senior Vice President, National Accounts and Chief Compliance Officer (the “</w:t>
      </w:r>
      <w:r>
        <w:rPr>
          <w:rFonts w:ascii="Arial" w:cs="Arial" w:eastAsia="Arial" w:hAnsi="Arial"/>
          <w:sz w:val="18"/>
          <w:szCs w:val="18"/>
          <w:u w:val="single" w:color="auto"/>
          <w:color w:val="auto"/>
        </w:rPr>
        <w:t>Herman Employment Agreement</w:t>
      </w:r>
      <w:r>
        <w:rPr>
          <w:rFonts w:ascii="Arial" w:cs="Arial" w:eastAsia="Arial" w:hAnsi="Arial"/>
          <w:sz w:val="18"/>
          <w:szCs w:val="18"/>
          <w:color w:val="auto"/>
        </w:rPr>
        <w:t>,” and Michael Bonner, our Senior Director, Finance and Accounting and Chief Financial Officer (the “</w:t>
      </w:r>
      <w:r>
        <w:rPr>
          <w:rFonts w:ascii="Arial" w:cs="Arial" w:eastAsia="Arial" w:hAnsi="Arial"/>
          <w:sz w:val="18"/>
          <w:szCs w:val="18"/>
          <w:u w:val="single" w:color="auto"/>
          <w:color w:val="auto"/>
        </w:rPr>
        <w:t>Bonner Employment Agreement</w:t>
      </w:r>
      <w:r>
        <w:rPr>
          <w:rFonts w:ascii="Arial" w:cs="Arial" w:eastAsia="Arial" w:hAnsi="Arial"/>
          <w:sz w:val="18"/>
          <w:szCs w:val="18"/>
          <w:color w:val="auto"/>
        </w:rPr>
        <w:t>”), and together with the Kazimi Employment Agreement, the Cearnal Employment Agreement, the Pavliv Employment Agreement, and the Herman Employment Agreement, the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The Employment Agreements were effective as of January 1,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Employment Agreement provides for a salary for services performed, a potential annual bonus and a grant of restricted common shares pursuant to a restricted stock agreement. Under the terms of each Employment Agreement, employment is at-will and may be terminated by the Company at any time, with or without notice and with or without cause. Similarly, each of Mr. Kazimi, Mr. Cearnal, Mr. Pavliv, Mr. Bonner, and Mr. Herman may terminate his respective employment with us at any time, with or without notice. The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termination or change in control provisions.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Kazimi Employment Agreement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Kazimi Employment Agreement, Mr. Kazimi will serve as the Company’s Chief Executive Officer and will receive a base salary of $589,500.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Kazimi Employment Agreement are qualified in their entirety by reference to the Kazimi Employment Agreement, which is included as Exhibit 10.11 to this Annual Report on Form 10-K and are incorporated by reference into this Item. The foregoing description of the Kazimi Employment Agreement does not purport to be complete and is qualified in its entirety by reference to such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Cearnal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Cearnal Employment Agreement, Mr. Cearnal will serve as the Company’s Executive Vice President and Chief Commercial Officer and will receive a base salary of $325,000.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Cearnal Employment Agreement are qualified in their entirety by reference to the Cearnal Employment Agreement, which is included as Exhibit 10.12 to this Annual Report on Form 10-K and are incorporated by reference into this Item. The foregoing description of the Cearnal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Pavliv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Pavliv Employment Agreement, Mr. Pavliv will serve as the Company’s Executive Vice President, Operations and Chief Development Officer and will receive a base salary of $422,000.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Pavliv Employment Agreement are qualified in their entirety by reference to the Pavliv Employment Agreement, which is included as Exhibit 10.13 to this Annual Report on Form 10-K and are incorporated by reference into this Item. The foregoing description of the Pavliv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Herman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Herman Employment Agreement, Mr. Herman will serve as the Company’s Senior Vice President, National Accounts and Chief Compliance Officer and will receive a base salary of $260,000.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Herman Employment Agreement are qualified in their entirety by reference to the Herman Employment Agreement, which is included as Exhibit 10.15 to this Annual Report on Form 10-K and are incorporated by reference into this Item. The foregoing description of the Herman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Bonner Employment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Bonner Employment Agreement, Mr. Bonner will serve as the Company’s Senior Director, Finance and Accounting and Chief Financial Officer and will receive a base salary of $205,500.</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descriptions of the Bonner Employment Agreement are qualified in their entirety by reference to the Bonner Employment Agreement, which is included as Exhibit 10.14 to this Annual Report on Form 10-K and are incorporated by reference into this Item. The foregoing description of the Bonner Employment Agreement does not purport to be complete and is qualified in its entirety by reference to such exhibit.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information called for by Part III of Form 10-K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Item 14 – Principal Accounting Fees and Services), is incorporated by reference from our proxy statement related to our 2020 annual meeting of shareholders, which is expected to be filed with the SEC on or around 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16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i w:val="1"/>
          <w:iCs w:val="1"/>
          <w:color w:val="auto"/>
        </w:rPr>
        <w:t>a.</w:t>
        <w:tab/>
        <w:t>Documents filed as part of this report:</w:t>
      </w:r>
    </w:p>
    <w:p>
      <w:pPr>
        <w:spacing w:after="0" w:line="15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tab/>
        <w:t>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gridSpan w:val="4"/>
          </w:tcPr>
          <w:p>
            <w:pPr>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6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Management’s Report on Internal Control over Financial Reporting</w:t>
              </w:r>
            </w:hyperlink>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FF"/>
            </w:tcBorders>
          </w:tcPr>
          <w:p>
            <w:pPr>
              <w:jc w:val="cente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1</w:t>
              </w:r>
            </w:hyperlink>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320" w:type="dxa"/>
            <w:vAlign w:val="bottom"/>
            <w:gridSpan w:val="1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Report of Independent Registered Public Accounting Firm – Consolidated Financial Statements</w:t>
              </w:r>
            </w:hyperlink>
          </w:p>
        </w:tc>
        <w:tc>
          <w:tcPr>
            <w:tcW w:w="520" w:type="dxa"/>
            <w:vAlign w:val="bottom"/>
            <w:gridSpan w:val="2"/>
          </w:tcPr>
          <w:p>
            <w:pPr>
              <w:jc w:val="center"/>
              <w:ind w:left="332"/>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2</w:t>
              </w:r>
            </w:hyperlink>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84">
              <w:r>
                <w:rPr>
                  <w:rFonts w:ascii="Arial" w:cs="Arial" w:eastAsia="Arial" w:hAnsi="Arial"/>
                  <w:sz w:val="18"/>
                  <w:szCs w:val="18"/>
                  <w:color w:val="0000FF"/>
                  <w:w w:val="88"/>
                </w:rPr>
                <w:t>Consolidated Balance Sheets</w:t>
              </w:r>
            </w:hyperlink>
          </w:p>
        </w:tc>
        <w:tc>
          <w:tcPr>
            <w:tcW w:w="2760" w:type="dxa"/>
            <w:vAlign w:val="bottom"/>
            <w:tcBorders>
              <w:top w:val="single" w:sz="8" w:color="0000FF"/>
            </w:tcBorders>
            <w:gridSpan w:val="4"/>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84">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320" w:type="dxa"/>
            <w:vAlign w:val="bottom"/>
            <w:gridSpan w:val="10"/>
          </w:tcPr>
          <w:p>
            <w:pPr>
              <w:spacing w:after="0"/>
              <w:rPr>
                <w:rFonts w:ascii="Arial" w:cs="Arial" w:eastAsia="Arial" w:hAnsi="Arial"/>
                <w:sz w:val="18"/>
                <w:szCs w:val="18"/>
                <w:color w:val="0000CC"/>
              </w:rPr>
            </w:pPr>
            <w:hyperlink w:anchor="page85">
              <w:r>
                <w:rPr>
                  <w:rFonts w:ascii="Arial" w:cs="Arial" w:eastAsia="Arial" w:hAnsi="Arial"/>
                  <w:sz w:val="18"/>
                  <w:szCs w:val="18"/>
                  <w:color w:val="0000CC"/>
                </w:rPr>
                <w:t xml:space="preserve">Consolidated Statements of Operations </w:t>
              </w:r>
            </w:hyperlink>
            <w:r>
              <w:rPr>
                <w:rFonts w:ascii="Arial" w:cs="Arial" w:eastAsia="Arial" w:hAnsi="Arial"/>
                <w:sz w:val="18"/>
                <w:szCs w:val="18"/>
                <w:color w:val="0000CC"/>
              </w:rPr>
              <w:t>and Comprehensive Income (Loss)</w:t>
            </w:r>
          </w:p>
        </w:tc>
        <w:tc>
          <w:tcPr>
            <w:tcW w:w="520" w:type="dxa"/>
            <w:vAlign w:val="bottom"/>
            <w:gridSpan w:val="2"/>
          </w:tcPr>
          <w:p>
            <w:pPr>
              <w:jc w:val="center"/>
              <w:ind w:left="332"/>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4</w:t>
              </w:r>
            </w:hyperlink>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880" w:type="dxa"/>
            <w:vAlign w:val="bottom"/>
            <w:tcBorders>
              <w:top w:val="single" w:sz="8" w:color="0000CC"/>
              <w:bottom w:val="single" w:sz="8" w:color="0000FF"/>
            </w:tcBorders>
            <w:gridSpan w:val="5"/>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Consolidated Statements of Cash Flows</w:t>
              </w:r>
            </w:hyperlink>
          </w:p>
        </w:tc>
        <w:tc>
          <w:tcPr>
            <w:tcW w:w="1980" w:type="dxa"/>
            <w:vAlign w:val="bottom"/>
            <w:tcBorders>
              <w:top w:val="single" w:sz="8" w:color="0000CC"/>
            </w:tcBorders>
            <w:gridSpan w:val="2"/>
          </w:tcPr>
          <w:p>
            <w:pPr>
              <w:spacing w:after="0"/>
              <w:rPr>
                <w:sz w:val="24"/>
                <w:szCs w:val="24"/>
                <w:color w:val="auto"/>
              </w:rPr>
            </w:pPr>
          </w:p>
        </w:tc>
        <w:tc>
          <w:tcPr>
            <w:tcW w:w="520" w:type="dxa"/>
            <w:vAlign w:val="bottom"/>
            <w:tcBorders>
              <w:top w:val="single" w:sz="8" w:color="0000CC"/>
            </w:tcBorders>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5</w:t>
              </w:r>
            </w:hyperlink>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Consolidated Statements of Equity</w:t>
              </w:r>
            </w:hyperlink>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gridSpan w:val="2"/>
          </w:tcPr>
          <w:p>
            <w:pPr>
              <w:jc w:val="center"/>
              <w:ind w:left="332"/>
              <w:spacing w:after="0"/>
              <w:rPr>
                <w:rFonts w:ascii="Arial" w:cs="Arial" w:eastAsia="Arial" w:hAnsi="Arial"/>
                <w:sz w:val="18"/>
                <w:szCs w:val="18"/>
                <w:color w:val="0000FF"/>
                <w:w w:val="99"/>
              </w:rPr>
            </w:pPr>
            <w:hyperlink w:anchor="page88">
              <w:r>
                <w:rPr>
                  <w:rFonts w:ascii="Arial" w:cs="Arial" w:eastAsia="Arial" w:hAnsi="Arial"/>
                  <w:sz w:val="18"/>
                  <w:szCs w:val="18"/>
                  <w:color w:val="0000FF"/>
                  <w:w w:val="99"/>
                </w:rPr>
                <w:t>7</w:t>
              </w:r>
            </w:hyperlink>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Notes to the Consolidated Financial Statements</w:t>
              </w:r>
            </w:hyperlink>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8</w:t>
              </w:r>
            </w:hyperlink>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860" w:type="dxa"/>
            <w:vAlign w:val="bottom"/>
            <w:gridSpan w:val="7"/>
          </w:tcPr>
          <w:p>
            <w:pPr>
              <w:ind w:left="640"/>
              <w:spacing w:after="0"/>
              <w:rPr>
                <w:sz w:val="20"/>
                <w:szCs w:val="20"/>
                <w:color w:val="auto"/>
              </w:rPr>
            </w:pPr>
            <w:r>
              <w:rPr>
                <w:rFonts w:ascii="Arial" w:cs="Arial" w:eastAsia="Arial" w:hAnsi="Arial"/>
                <w:sz w:val="18"/>
                <w:szCs w:val="18"/>
                <w:color w:val="auto"/>
              </w:rPr>
              <w:t>(2) Financial Statement Schedule</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Valuation and Qualifying Accounts</w:t>
              </w:r>
            </w:hyperlink>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gridSpan w:val="2"/>
          </w:tcPr>
          <w:p>
            <w:pPr>
              <w:jc w:val="center"/>
              <w:ind w:left="252"/>
              <w:spacing w:after="0"/>
              <w:rPr>
                <w:rFonts w:ascii="Arial" w:cs="Arial" w:eastAsia="Arial" w:hAnsi="Arial"/>
                <w:sz w:val="18"/>
                <w:szCs w:val="18"/>
                <w:color w:val="0000FF"/>
                <w:w w:val="89"/>
              </w:rPr>
            </w:pPr>
            <w:hyperlink w:anchor="page119">
              <w:r>
                <w:rPr>
                  <w:rFonts w:ascii="Arial" w:cs="Arial" w:eastAsia="Arial" w:hAnsi="Arial"/>
                  <w:sz w:val="18"/>
                  <w:szCs w:val="18"/>
                  <w:color w:val="0000FF"/>
                  <w:w w:val="89"/>
                </w:rPr>
                <w:t>38</w:t>
              </w:r>
            </w:hyperlink>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80" w:type="dxa"/>
            <w:vAlign w:val="bottom"/>
            <w:gridSpan w:val="8"/>
          </w:tcPr>
          <w:p>
            <w:pPr>
              <w:spacing w:after="0"/>
              <w:rPr>
                <w:sz w:val="20"/>
                <w:szCs w:val="20"/>
                <w:color w:val="auto"/>
              </w:rPr>
            </w:pPr>
            <w:r>
              <w:rPr>
                <w:rFonts w:ascii="Arial" w:cs="Arial" w:eastAsia="Arial" w:hAnsi="Arial"/>
                <w:sz w:val="18"/>
                <w:szCs w:val="18"/>
                <w:i w:val="1"/>
                <w:iCs w:val="1"/>
                <w:color w:val="auto"/>
              </w:rPr>
              <w:t>b. Exhibits</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860" w:type="dxa"/>
            <w:vAlign w:val="bottom"/>
            <w:gridSpan w:val="7"/>
          </w:tcPr>
          <w:p>
            <w:pPr>
              <w:ind w:left="520"/>
              <w:spacing w:after="0"/>
              <w:rPr>
                <w:sz w:val="20"/>
                <w:szCs w:val="20"/>
                <w:color w:val="auto"/>
              </w:rPr>
            </w:pPr>
            <w:r>
              <w:rPr>
                <w:rFonts w:ascii="Arial" w:cs="Arial" w:eastAsia="Arial" w:hAnsi="Arial"/>
                <w:sz w:val="16"/>
                <w:szCs w:val="16"/>
                <w:b w:val="1"/>
                <w:bCs w:val="1"/>
                <w:color w:val="auto"/>
              </w:rPr>
              <w:t>Exhibit</w:t>
            </w:r>
          </w:p>
        </w:tc>
        <w:tc>
          <w:tcPr>
            <w:tcW w:w="3460" w:type="dxa"/>
            <w:vAlign w:val="bottom"/>
            <w:gridSpan w:val="3"/>
            <w:vMerge w:val="restart"/>
          </w:tcPr>
          <w:p>
            <w:pPr>
              <w:ind w:left="420"/>
              <w:spacing w:after="0"/>
              <w:rPr>
                <w:sz w:val="20"/>
                <w:szCs w:val="20"/>
                <w:color w:val="auto"/>
              </w:rPr>
            </w:pPr>
            <w:r>
              <w:rPr>
                <w:rFonts w:ascii="Arial" w:cs="Arial" w:eastAsia="Arial" w:hAnsi="Arial"/>
                <w:sz w:val="16"/>
                <w:szCs w:val="16"/>
                <w:b w:val="1"/>
                <w:bCs w:val="1"/>
                <w:color w:val="auto"/>
              </w:rPr>
              <w:t>Description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3180" w:type="dxa"/>
            <w:vAlign w:val="bottom"/>
            <w:tcBorders>
              <w:bottom w:val="single" w:sz="8" w:color="auto"/>
            </w:tcBorders>
            <w:gridSpan w:val="5"/>
          </w:tcPr>
          <w:p>
            <w:pPr>
              <w:spacing w:after="0"/>
              <w:rPr>
                <w:sz w:val="18"/>
                <w:szCs w:val="18"/>
                <w:color w:val="auto"/>
              </w:rPr>
            </w:pPr>
          </w:p>
        </w:tc>
        <w:tc>
          <w:tcPr>
            <w:tcW w:w="3460" w:type="dxa"/>
            <w:vAlign w:val="bottom"/>
            <w:tcBorders>
              <w:bottom w:val="single" w:sz="8" w:color="auto"/>
            </w:tcBorders>
            <w:gridSpan w:val="3"/>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0139"/>
          </w:cols>
          <w:pgMar w:left="320" w:top="918" w:right="1440" w:bottom="1440" w:gutter="0" w:footer="0" w:header="0"/>
        </w:sectPr>
      </w:pPr>
    </w:p>
    <w:p>
      <w:pPr>
        <w:spacing w:after="0" w:line="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2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4.3</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br w:type="column"/>
      </w:r>
    </w:p>
    <w:p>
      <w:pPr>
        <w:ind w:right="619"/>
        <w:spacing w:after="0" w:line="224"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Third Amended and Restated Charter of Cumberland Pharmaceuticals Inc., incorporated herein by reference</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to the corresponding exhibit to Amendment No. 19 of the Registrant’s Registration Statement on Form S-1</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(File No. 333-142535) as filed with the SEC on July 17, 2009</w:t>
        </w:r>
      </w:hyperlink>
    </w:p>
    <w:p>
      <w:pPr>
        <w:spacing w:after="0" w:line="68" w:lineRule="exact"/>
        <w:rPr>
          <w:rFonts w:ascii="Arial" w:cs="Arial" w:eastAsia="Arial" w:hAnsi="Arial"/>
          <w:sz w:val="18"/>
          <w:szCs w:val="18"/>
          <w:u w:val="single" w:color="auto"/>
          <w:color w:val="0000FF"/>
        </w:rPr>
      </w:pPr>
    </w:p>
    <w:p>
      <w:pPr>
        <w:ind w:right="499"/>
        <w:spacing w:after="0" w:line="224"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Second Amended and Restated Bylaws of Cumberland Pharmaceuticals Inc., incorporated herein by reference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to the corresponding exhibit to Amendment No. 19 of the Registrant’s Registration Statement on Form S-1</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(File No. 333-142535) as filed with the SEC on July 17, 2009</w:t>
        </w:r>
      </w:hyperlink>
    </w:p>
    <w:p>
      <w:pPr>
        <w:spacing w:after="0" w:line="55" w:lineRule="exact"/>
        <w:rPr>
          <w:rFonts w:ascii="Arial" w:cs="Arial" w:eastAsia="Arial" w:hAnsi="Arial"/>
          <w:sz w:val="18"/>
          <w:szCs w:val="18"/>
          <w:u w:val="single" w:color="auto"/>
          <w:color w:val="0000FF"/>
        </w:rPr>
      </w:pPr>
    </w:p>
    <w:p>
      <w:pPr>
        <w:ind w:right="639"/>
        <w:spacing w:after="0" w:line="224" w:lineRule="auto"/>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Specimen Common Stock Certificate of Cumberland Pharmaceuticals Inc., incorporated herein by reference</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to the corresponding exhibit to Amendment No. 5 of the Registrant’s Registration Statement on Form S-1</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(File No. 333-142535) as filed with the SEC on August 6, 2007</w:t>
        </w:r>
      </w:hyperlink>
    </w:p>
    <w:p>
      <w:pPr>
        <w:spacing w:after="0" w:line="68" w:lineRule="exact"/>
        <w:rPr>
          <w:rFonts w:ascii="Arial" w:cs="Arial" w:eastAsia="Arial" w:hAnsi="Arial"/>
          <w:sz w:val="18"/>
          <w:szCs w:val="18"/>
          <w:u w:val="single" w:color="auto"/>
          <w:color w:val="0000FF"/>
        </w:rPr>
      </w:pPr>
    </w:p>
    <w:p>
      <w:pPr>
        <w:ind w:right="599"/>
        <w:spacing w:after="0" w:line="224" w:lineRule="auto"/>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Preferred Stock Terms, Rights, and Provisions, incorporated herein by reference to the corresponding exhibit</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to Registrant's Registration Statement Form S-3 (File No. 333-221402) as filed with the SEC on December</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19, 2017</w:t>
        </w:r>
      </w:hyperlink>
    </w:p>
    <w:p>
      <w:pPr>
        <w:spacing w:after="0" w:line="55" w:lineRule="exact"/>
        <w:rPr>
          <w:rFonts w:ascii="Arial" w:cs="Arial" w:eastAsia="Arial" w:hAnsi="Arial"/>
          <w:sz w:val="18"/>
          <w:szCs w:val="18"/>
          <w:u w:val="single" w:color="auto"/>
          <w:color w:val="0000FF"/>
        </w:rPr>
      </w:pPr>
    </w:p>
    <w:p>
      <w:pPr>
        <w:ind w:right="1019"/>
        <w:spacing w:after="0" w:line="289" w:lineRule="auto"/>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Form of Senior Indenture, incorporated herein by reference to the corresponding exhibit to Registrant's</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Registration Statement Form S-3 (File No. 333-221402) as filed with the SEC on November 7, 2017</w:t>
        </w:r>
      </w:hyperlink>
    </w:p>
    <w:p>
      <w:pPr>
        <w:spacing w:after="0" w:line="16" w:lineRule="exact"/>
        <w:rPr>
          <w:sz w:val="20"/>
          <w:szCs w:val="20"/>
          <w:color w:val="auto"/>
        </w:rPr>
      </w:pPr>
    </w:p>
    <w:p>
      <w:pPr>
        <w:ind w:right="519"/>
        <w:spacing w:after="0" w:line="289" w:lineRule="auto"/>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Form of Subordinated Indenture, incorporated herein by reference to the corresponding exhibit to Registrant's</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Registration Statement Form S-3 (File No. 333-221402) as filed with the SEC on November 7, 2017</w:t>
        </w:r>
      </w:hyperlink>
    </w:p>
    <w:p>
      <w:pPr>
        <w:spacing w:after="0" w:line="259" w:lineRule="exact"/>
        <w:rPr>
          <w:sz w:val="20"/>
          <w:szCs w:val="20"/>
          <w:color w:val="auto"/>
        </w:rPr>
      </w:pPr>
    </w:p>
    <w:p>
      <w:pPr>
        <w:jc w:val="both"/>
        <w:ind w:right="559"/>
        <w:spacing w:after="0" w:line="224"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Form of Option Agreement under 1999 Stock Option Plan of Cumberland Pharmaceuticals Inc., incorporated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herein by reference to the corresponding exhibit to the Registrant’s Registration Statement on Form S-1 (File</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No. 333-142535) as filed with the SEC on May 1, 2007</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000" w:space="720"/>
            <w:col w:w="8419"/>
          </w:cols>
          <w:pgMar w:left="320" w:top="918" w:right="1440"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5"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6"/>
          <w:szCs w:val="16"/>
          <w:color w:val="auto"/>
        </w:rPr>
        <w:t>75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type w:val="continuous"/>
        </w:sectPr>
      </w:pPr>
    </w:p>
    <w:bookmarkStart w:id="77" w:name="page78"/>
    <w:bookmarkEnd w:id="77"/>
    <w:p>
      <w:pPr>
        <w:spacing w:after="0" w:line="13" w:lineRule="exact"/>
        <w:rPr>
          <w:sz w:val="20"/>
          <w:szCs w:val="20"/>
          <w:color w:val="auto"/>
        </w:rPr>
      </w:pPr>
    </w:p>
    <w:p>
      <w:pPr>
        <w:ind w:left="46"/>
        <w:spacing w:after="0"/>
        <w:rPr>
          <w:sz w:val="20"/>
          <w:szCs w:val="20"/>
          <w:color w:val="auto"/>
        </w:rPr>
      </w:pPr>
      <w:r>
        <w:rPr>
          <w:rFonts w:ascii="Arial" w:cs="Arial" w:eastAsia="Arial" w:hAnsi="Arial"/>
          <w:sz w:val="17"/>
          <w:szCs w:val="17"/>
          <w:color w:val="auto"/>
        </w:rPr>
        <w:t>4.6.1#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
        <w:spacing w:after="0"/>
        <w:rPr>
          <w:sz w:val="20"/>
          <w:szCs w:val="20"/>
          <w:color w:val="auto"/>
        </w:rPr>
      </w:pPr>
      <w:r>
        <w:rPr>
          <w:rFonts w:ascii="Arial" w:cs="Arial" w:eastAsia="Arial" w:hAnsi="Arial"/>
          <w:sz w:val="17"/>
          <w:szCs w:val="17"/>
          <w:color w:val="auto"/>
        </w:rPr>
        <w:t>4.6.2#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28" w:lineRule="exact"/>
        <w:rPr>
          <w:sz w:val="20"/>
          <w:szCs w:val="20"/>
          <w:color w:val="auto"/>
        </w:rPr>
      </w:pPr>
    </w:p>
    <w:p>
      <w:pPr>
        <w:ind w:left="86"/>
        <w:spacing w:after="0"/>
        <w:rPr>
          <w:sz w:val="20"/>
          <w:szCs w:val="20"/>
          <w:color w:val="auto"/>
        </w:rPr>
      </w:pPr>
      <w:r>
        <w:rPr>
          <w:rFonts w:ascii="Arial" w:cs="Arial" w:eastAsia="Arial" w:hAnsi="Arial"/>
          <w:sz w:val="18"/>
          <w:szCs w:val="18"/>
          <w:color w:val="auto"/>
        </w:rPr>
        <w:t>4.9</w:t>
      </w:r>
    </w:p>
    <w:p>
      <w:pPr>
        <w:spacing w:after="0" w:line="252" w:lineRule="exact"/>
        <w:rPr>
          <w:sz w:val="20"/>
          <w:szCs w:val="20"/>
          <w:color w:val="auto"/>
        </w:rPr>
      </w:pPr>
    </w:p>
    <w:p>
      <w:pPr>
        <w:ind w:left="46"/>
        <w:spacing w:after="0"/>
        <w:rPr>
          <w:sz w:val="20"/>
          <w:szCs w:val="20"/>
          <w:color w:val="auto"/>
        </w:rPr>
      </w:pPr>
      <w:r>
        <w:rPr>
          <w:rFonts w:ascii="Arial" w:cs="Arial" w:eastAsia="Arial" w:hAnsi="Arial"/>
          <w:sz w:val="18"/>
          <w:szCs w:val="18"/>
          <w:color w:val="auto"/>
        </w:rPr>
        <w:t>4.10</w:t>
      </w:r>
    </w:p>
    <w:p>
      <w:pPr>
        <w:spacing w:after="0" w:line="252" w:lineRule="exact"/>
        <w:rPr>
          <w:sz w:val="20"/>
          <w:szCs w:val="20"/>
          <w:color w:val="auto"/>
        </w:rPr>
      </w:pPr>
    </w:p>
    <w:p>
      <w:pPr>
        <w:ind w:left="66"/>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28" w:lineRule="exact"/>
        <w:rPr>
          <w:sz w:val="20"/>
          <w:szCs w:val="20"/>
          <w:color w:val="auto"/>
        </w:rPr>
      </w:pPr>
    </w:p>
    <w:p>
      <w:pPr>
        <w:ind w:left="6"/>
        <w:spacing w:after="0"/>
        <w:rPr>
          <w:sz w:val="20"/>
          <w:szCs w:val="20"/>
          <w:color w:val="auto"/>
        </w:rPr>
      </w:pPr>
      <w:r>
        <w:rPr>
          <w:rFonts w:ascii="Arial" w:cs="Arial" w:eastAsia="Arial" w:hAnsi="Arial"/>
          <w:sz w:val="16"/>
          <w:szCs w:val="16"/>
          <w:color w:val="auto"/>
        </w:rPr>
        <w:t>10.7.1†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
        <w:spacing w:after="0"/>
        <w:rPr>
          <w:sz w:val="20"/>
          <w:szCs w:val="20"/>
          <w:color w:val="auto"/>
        </w:rPr>
      </w:pPr>
      <w:r>
        <w:rPr>
          <w:rFonts w:ascii="Arial" w:cs="Arial" w:eastAsia="Arial" w:hAnsi="Arial"/>
          <w:sz w:val="17"/>
          <w:szCs w:val="17"/>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
        <w:spacing w:after="0"/>
        <w:rPr>
          <w:sz w:val="20"/>
          <w:szCs w:val="20"/>
          <w:color w:val="auto"/>
        </w:rPr>
      </w:pPr>
      <w:r>
        <w:rPr>
          <w:rFonts w:ascii="Arial" w:cs="Arial" w:eastAsia="Arial" w:hAnsi="Arial"/>
          <w:sz w:val="17"/>
          <w:szCs w:val="17"/>
          <w:color w:val="auto"/>
        </w:rPr>
        <w:t>10.11#</w:t>
      </w:r>
    </w:p>
    <w:p>
      <w:pPr>
        <w:spacing w:after="0" w:line="264" w:lineRule="exact"/>
        <w:rPr>
          <w:sz w:val="20"/>
          <w:szCs w:val="20"/>
          <w:color w:val="auto"/>
        </w:rPr>
      </w:pPr>
    </w:p>
    <w:p>
      <w:pPr>
        <w:ind w:left="226" w:hanging="226"/>
        <w:spacing w:after="0"/>
        <w:tabs>
          <w:tab w:leader="none" w:pos="2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.12#</w:t>
      </w:r>
    </w:p>
    <w:p>
      <w:pPr>
        <w:spacing w:after="0" w:line="275" w:lineRule="exact"/>
        <w:rPr>
          <w:rFonts w:ascii="Arial" w:cs="Arial" w:eastAsia="Arial" w:hAnsi="Arial"/>
          <w:sz w:val="16"/>
          <w:szCs w:val="16"/>
          <w:color w:val="auto"/>
        </w:rPr>
      </w:pPr>
    </w:p>
    <w:p>
      <w:pPr>
        <w:ind w:left="26"/>
        <w:spacing w:after="0"/>
        <w:rPr>
          <w:rFonts w:ascii="Arial" w:cs="Arial" w:eastAsia="Arial" w:hAnsi="Arial"/>
          <w:sz w:val="16"/>
          <w:szCs w:val="16"/>
          <w:color w:val="auto"/>
        </w:rPr>
      </w:pPr>
      <w:r>
        <w:rPr>
          <w:rFonts w:ascii="Arial" w:cs="Arial" w:eastAsia="Arial" w:hAnsi="Arial"/>
          <w:sz w:val="17"/>
          <w:szCs w:val="17"/>
          <w:color w:val="auto"/>
        </w:rPr>
        <w:t>10.13#</w:t>
      </w:r>
    </w:p>
    <w:p>
      <w:pPr>
        <w:spacing w:after="0" w:line="263" w:lineRule="exact"/>
        <w:rPr>
          <w:rFonts w:ascii="Arial" w:cs="Arial" w:eastAsia="Arial" w:hAnsi="Arial"/>
          <w:sz w:val="16"/>
          <w:szCs w:val="16"/>
          <w:color w:val="auto"/>
        </w:rPr>
      </w:pPr>
    </w:p>
    <w:p>
      <w:pPr>
        <w:ind w:left="26"/>
        <w:spacing w:after="0"/>
        <w:rPr>
          <w:rFonts w:ascii="Arial" w:cs="Arial" w:eastAsia="Arial" w:hAnsi="Arial"/>
          <w:sz w:val="16"/>
          <w:szCs w:val="16"/>
          <w:color w:val="auto"/>
        </w:rPr>
      </w:pPr>
      <w:r>
        <w:rPr>
          <w:rFonts w:ascii="Arial" w:cs="Arial" w:eastAsia="Arial" w:hAnsi="Arial"/>
          <w:sz w:val="17"/>
          <w:szCs w:val="17"/>
          <w:color w:val="auto"/>
        </w:rPr>
        <w:t>10.14#</w:t>
      </w:r>
    </w:p>
    <w:p>
      <w:pPr>
        <w:spacing w:after="0" w:line="263" w:lineRule="exact"/>
        <w:rPr>
          <w:rFonts w:ascii="Arial" w:cs="Arial" w:eastAsia="Arial" w:hAnsi="Arial"/>
          <w:sz w:val="16"/>
          <w:szCs w:val="16"/>
          <w:color w:val="auto"/>
        </w:rPr>
      </w:pPr>
    </w:p>
    <w:p>
      <w:pPr>
        <w:ind w:left="26"/>
        <w:spacing w:after="0"/>
        <w:rPr>
          <w:rFonts w:ascii="Arial" w:cs="Arial" w:eastAsia="Arial" w:hAnsi="Arial"/>
          <w:sz w:val="16"/>
          <w:szCs w:val="16"/>
          <w:color w:val="auto"/>
        </w:rPr>
      </w:pPr>
      <w:r>
        <w:rPr>
          <w:rFonts w:ascii="Arial" w:cs="Arial" w:eastAsia="Arial" w:hAnsi="Arial"/>
          <w:sz w:val="17"/>
          <w:szCs w:val="17"/>
          <w:color w:val="auto"/>
        </w:rPr>
        <w:t>10.15#</w:t>
      </w:r>
    </w:p>
    <w:p>
      <w:pPr>
        <w:spacing w:after="0" w:line="263" w:lineRule="exact"/>
        <w:rPr>
          <w:rFonts w:ascii="Arial" w:cs="Arial" w:eastAsia="Arial" w:hAnsi="Arial"/>
          <w:sz w:val="16"/>
          <w:szCs w:val="16"/>
          <w:color w:val="auto"/>
        </w:rPr>
      </w:pPr>
    </w:p>
    <w:p>
      <w:pPr>
        <w:ind w:left="26"/>
        <w:spacing w:after="0"/>
        <w:rPr>
          <w:rFonts w:ascii="Arial" w:cs="Arial" w:eastAsia="Arial" w:hAnsi="Arial"/>
          <w:sz w:val="16"/>
          <w:szCs w:val="16"/>
          <w:color w:val="auto"/>
        </w:rPr>
      </w:pPr>
      <w:r>
        <w:rPr>
          <w:rFonts w:ascii="Arial" w:cs="Arial" w:eastAsia="Arial" w:hAnsi="Arial"/>
          <w:sz w:val="17"/>
          <w:szCs w:val="17"/>
          <w:color w:val="auto"/>
        </w:rPr>
        <w:t>10.17#</w:t>
      </w:r>
    </w:p>
    <w:p>
      <w:pPr>
        <w:spacing w:after="0" w:line="200" w:lineRule="exact"/>
        <w:rPr>
          <w:sz w:val="20"/>
          <w:szCs w:val="20"/>
          <w:color w:val="auto"/>
        </w:rPr>
      </w:pPr>
    </w:p>
    <w:p>
      <w:pPr>
        <w:spacing w:after="0" w:line="239" w:lineRule="exact"/>
        <w:rPr>
          <w:sz w:val="20"/>
          <w:szCs w:val="20"/>
          <w:color w:val="auto"/>
        </w:rPr>
      </w:pPr>
    </w:p>
    <w:p>
      <w:pPr>
        <w:ind w:left="26"/>
        <w:spacing w:after="0"/>
        <w:rPr>
          <w:sz w:val="20"/>
          <w:szCs w:val="20"/>
          <w:color w:val="auto"/>
        </w:rPr>
      </w:pPr>
      <w:r>
        <w:rPr>
          <w:rFonts w:ascii="Arial" w:cs="Arial" w:eastAsia="Arial" w:hAnsi="Arial"/>
          <w:sz w:val="17"/>
          <w:szCs w:val="17"/>
          <w:color w:val="auto"/>
        </w:rPr>
        <w:t>10.18#</w:t>
      </w:r>
    </w:p>
    <w:p>
      <w:pPr>
        <w:spacing w:after="0" w:line="200" w:lineRule="exact"/>
        <w:rPr>
          <w:sz w:val="20"/>
          <w:szCs w:val="20"/>
          <w:color w:val="auto"/>
        </w:rPr>
      </w:pPr>
    </w:p>
    <w:p>
      <w:pPr>
        <w:spacing w:after="0" w:line="239" w:lineRule="exact"/>
        <w:rPr>
          <w:sz w:val="20"/>
          <w:szCs w:val="20"/>
          <w:color w:val="auto"/>
        </w:rPr>
      </w:pPr>
    </w:p>
    <w:p>
      <w:pPr>
        <w:ind w:left="26"/>
        <w:spacing w:after="0"/>
        <w:rPr>
          <w:sz w:val="20"/>
          <w:szCs w:val="20"/>
          <w:color w:val="auto"/>
        </w:rPr>
      </w:pPr>
      <w:r>
        <w:rPr>
          <w:rFonts w:ascii="Arial" w:cs="Arial" w:eastAsia="Arial" w:hAnsi="Arial"/>
          <w:sz w:val="17"/>
          <w:szCs w:val="17"/>
          <w:color w:val="auto"/>
        </w:rPr>
        <w:t>10.19#</w:t>
      </w:r>
    </w:p>
    <w:p>
      <w:pPr>
        <w:spacing w:after="0" w:line="20" w:lineRule="exact"/>
        <w:rPr>
          <w:sz w:val="20"/>
          <w:szCs w:val="20"/>
          <w:color w:val="auto"/>
        </w:rPr>
      </w:pPr>
      <w:r>
        <w:rPr>
          <w:sz w:val="20"/>
          <w:szCs w:val="20"/>
          <w:color w:val="auto"/>
        </w:rPr>
        <w:br w:type="column"/>
      </w:r>
    </w:p>
    <w:p>
      <w:pPr>
        <w:ind w:right="539"/>
        <w:spacing w:after="0" w:line="219"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Form of Incentive Stock Option Agreement under the Amended and Restated 2007 Long-Term Incentive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Compensation Plan of Cumberland Pharmaceuticals Inc. incorporated herein by reference to the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corresponding exhibit to the Registrant’s Annual Report on Form 10-K (File No. 001-33637) as filed with the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SEC on March 12, 2013</w:t>
        </w:r>
      </w:hyperlink>
    </w:p>
    <w:p>
      <w:pPr>
        <w:spacing w:after="0" w:line="55" w:lineRule="exact"/>
        <w:rPr>
          <w:rFonts w:ascii="Arial" w:cs="Arial" w:eastAsia="Arial" w:hAnsi="Arial"/>
          <w:sz w:val="18"/>
          <w:szCs w:val="18"/>
          <w:u w:val="single" w:color="auto"/>
          <w:color w:val="0000FF"/>
        </w:rPr>
      </w:pPr>
    </w:p>
    <w:p>
      <w:pPr>
        <w:ind w:right="499"/>
        <w:spacing w:after="0" w:line="219"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Form of Non-Statutory Stock Option Agreement under the Amended and Restated 2007 Long-Term Incentive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Compensation Plan of Cumberland Pharmaceuticals Inc. incorporated herein by reference to the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corresponding exhibit to the Registrant’s Annual Report on Form 10-K (File No. 001-33637) as filed with the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SEC on March 12, 2013</w:t>
        </w:r>
      </w:hyperlink>
    </w:p>
    <w:p>
      <w:pPr>
        <w:spacing w:after="0" w:line="55" w:lineRule="exact"/>
        <w:rPr>
          <w:rFonts w:ascii="Arial" w:cs="Arial" w:eastAsia="Arial" w:hAnsi="Arial"/>
          <w:sz w:val="18"/>
          <w:szCs w:val="18"/>
          <w:u w:val="single" w:color="auto"/>
          <w:color w:val="0000FF"/>
        </w:rPr>
      </w:pPr>
    </w:p>
    <w:p>
      <w:pPr>
        <w:ind w:right="539"/>
        <w:spacing w:after="0" w:line="219"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Form of Non-Statutory Stock Option Agreement under the Amended and Restated 2007 Directors’</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Compensation Plan of Cumberland Pharmaceuticals Inc. incorporated herein by reference to the</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corresponding exhibit to the Registrant’s Annual Report on Form 10-K (File No. 001-33637) as filed with the</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SEC on March 12, 2013</w:t>
        </w:r>
      </w:hyperlink>
    </w:p>
    <w:p>
      <w:pPr>
        <w:spacing w:after="0" w:line="55" w:lineRule="exact"/>
        <w:rPr>
          <w:rFonts w:ascii="Arial" w:cs="Arial" w:eastAsia="Arial" w:hAnsi="Arial"/>
          <w:sz w:val="18"/>
          <w:szCs w:val="18"/>
          <w:u w:val="single" w:color="auto"/>
          <w:color w:val="0000FF"/>
        </w:rPr>
      </w:pPr>
    </w:p>
    <w:p>
      <w:pPr>
        <w:ind w:right="679"/>
        <w:spacing w:after="0" w:line="237" w:lineRule="auto"/>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Warrant to Purchase Common Stock of Cumberland Pharmaceuticals Inc., issued to Bank of America, N.A.</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on July 22, 2009, incorporated herein by reference to the corresponding exhibit to the Registrant’s Annual</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Report on Form 10-K (File No. 001-33637) as filed with the SEC on March 19, 2010</w:t>
        </w:r>
      </w:hyperlink>
    </w:p>
    <w:p>
      <w:pPr>
        <w:spacing w:after="0" w:line="55" w:lineRule="exact"/>
        <w:rPr>
          <w:rFonts w:ascii="Arial" w:cs="Arial" w:eastAsia="Arial" w:hAnsi="Arial"/>
          <w:sz w:val="17"/>
          <w:szCs w:val="17"/>
          <w:u w:val="single" w:color="auto"/>
          <w:color w:val="0000FF"/>
        </w:rPr>
      </w:pPr>
    </w:p>
    <w:p>
      <w:pPr>
        <w:jc w:val="both"/>
        <w:ind w:right="1019"/>
        <w:spacing w:after="0" w:line="289" w:lineRule="auto"/>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Form of Senior Indenture, incorporated herein by reference to the corresponding exhibit to Registrant's</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Registration Statement Form S-3 (File No. 333-184091) as filed with the SEC on September 25, 2012.</w:t>
        </w:r>
      </w:hyperlink>
    </w:p>
    <w:p>
      <w:pPr>
        <w:spacing w:after="0" w:line="16" w:lineRule="exact"/>
        <w:rPr>
          <w:sz w:val="20"/>
          <w:szCs w:val="20"/>
          <w:color w:val="auto"/>
        </w:rPr>
      </w:pPr>
    </w:p>
    <w:p>
      <w:pPr>
        <w:ind w:right="519"/>
        <w:spacing w:after="0" w:line="289" w:lineRule="auto"/>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Form of Subordinated Indenture, incorporated herein by reference to the corresponding exhibit to Registrant's</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Registration Statement Form S-3 (File No. 333-184091) as filed with the SEC on September 25, 2012</w:t>
        </w:r>
      </w:hyperlink>
    </w:p>
    <w:p>
      <w:pPr>
        <w:spacing w:after="0" w:line="16" w:lineRule="exact"/>
        <w:rPr>
          <w:sz w:val="20"/>
          <w:szCs w:val="20"/>
          <w:color w:val="auto"/>
        </w:rPr>
      </w:pPr>
    </w:p>
    <w:p>
      <w:pPr>
        <w:ind w:right="539"/>
        <w:spacing w:after="0" w:line="259" w:lineRule="auto"/>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Exclusive Distribution Agreement, effective as of July 1, 2010, by and between Cardinal Health 105, Inc. and</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Cumberland Pharmaceuticals Inc., incorporated herein by reference to the corresponding exhibit of the</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Registrant’s Current Report on Form 8-K (File No. 001-33637) as filed with the SEC on August 13, 2010</w:t>
        </w:r>
      </w:hyperlink>
    </w:p>
    <w:p>
      <w:pPr>
        <w:spacing w:after="0" w:line="39" w:lineRule="exact"/>
        <w:rPr>
          <w:rFonts w:ascii="Arial" w:cs="Arial" w:eastAsia="Arial" w:hAnsi="Arial"/>
          <w:sz w:val="16"/>
          <w:szCs w:val="16"/>
          <w:u w:val="single" w:color="auto"/>
          <w:color w:val="0000FF"/>
        </w:rPr>
      </w:pPr>
    </w:p>
    <w:p>
      <w:pPr>
        <w:ind w:right="519"/>
        <w:spacing w:after="0" w:line="219"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First Amendment to Exclusive Distribution Agreement, dated March 31, 2013, by and between Cardinal</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Health 105, Inc. and Cumberland Pharmaceuticals Inc., incorporated herein by reference to the corresponding</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exhibit of the Registrant's Current Report of Form 8-K (File No. 001-33637) as filed with the SEC on June 3,</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2013</w:t>
        </w:r>
      </w:hyperlink>
    </w:p>
    <w:p>
      <w:pPr>
        <w:spacing w:after="0" w:line="55" w:lineRule="exact"/>
        <w:rPr>
          <w:rFonts w:ascii="Arial" w:cs="Arial" w:eastAsia="Arial" w:hAnsi="Arial"/>
          <w:sz w:val="18"/>
          <w:szCs w:val="18"/>
          <w:u w:val="single" w:color="auto"/>
          <w:color w:val="0000FF"/>
        </w:rPr>
      </w:pPr>
    </w:p>
    <w:p>
      <w:pPr>
        <w:ind w:right="579"/>
        <w:spacing w:after="0" w:line="219"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License Agreement, dated May 28, 1999, by and between Vanderbilt University and Cumberland</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Pharmaceuticals Inc., incorporated herein by reference to the corresponding exhibit to Amendment No. 3 of</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the Registrant’s Registration Statement on Form S-1 (File No. 333-142535) as filed with the SEC on July 11,</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2007</w:t>
        </w:r>
      </w:hyperlink>
    </w:p>
    <w:p>
      <w:pPr>
        <w:spacing w:after="0" w:line="55" w:lineRule="exact"/>
        <w:rPr>
          <w:rFonts w:ascii="Arial" w:cs="Arial" w:eastAsia="Arial" w:hAnsi="Arial"/>
          <w:sz w:val="18"/>
          <w:szCs w:val="18"/>
          <w:u w:val="single" w:color="auto"/>
          <w:color w:val="0000FF"/>
        </w:rPr>
      </w:pPr>
    </w:p>
    <w:p>
      <w:pPr>
        <w:ind w:right="599"/>
        <w:spacing w:after="0" w:line="235" w:lineRule="auto"/>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Employment Agreement dated March 16, 2020, effective as of January 1, 2020, by and between A.J. Kazimi</w:t>
        </w:r>
      </w:hyperlink>
      <w:r>
        <w:rPr>
          <w:rFonts w:ascii="Arial" w:cs="Arial" w:eastAsia="Arial" w:hAnsi="Arial"/>
          <w:sz w:val="18"/>
          <w:szCs w:val="18"/>
          <w:u w:val="single" w:color="auto"/>
          <w:color w:val="0000FF"/>
        </w:rPr>
        <w:t xml:space="preserve"> </w:t>
      </w:r>
      <w:hyperlink w:anchor="page121">
        <w:r>
          <w:rPr>
            <w:rFonts w:ascii="Arial" w:cs="Arial" w:eastAsia="Arial" w:hAnsi="Arial"/>
            <w:sz w:val="18"/>
            <w:szCs w:val="18"/>
            <w:u w:val="single" w:color="auto"/>
            <w:color w:val="0000FF"/>
          </w:rPr>
          <w:t>and Cumberland Pharmaceuticals Inc.</w:t>
        </w:r>
      </w:hyperlink>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w:anchor="page127">
        <w:r>
          <w:rPr>
            <w:rFonts w:ascii="Arial" w:cs="Arial" w:eastAsia="Arial" w:hAnsi="Arial"/>
            <w:sz w:val="16"/>
            <w:szCs w:val="16"/>
            <w:u w:val="single" w:color="auto"/>
            <w:color w:val="0000FF"/>
          </w:rPr>
          <w:t>Employment Agreement dated March 16, 2020, effective as of January 1, 2020, by and between Martin E.</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Cearnal and Cumberland Pharmaceuticals Inc.</w:t>
        </w:r>
      </w:hyperlink>
    </w:p>
    <w:p>
      <w:pPr>
        <w:spacing w:after="0" w:line="61" w:lineRule="exact"/>
        <w:rPr>
          <w:sz w:val="20"/>
          <w:szCs w:val="20"/>
          <w:color w:val="auto"/>
        </w:rPr>
      </w:pPr>
    </w:p>
    <w:p>
      <w:pPr>
        <w:ind w:right="479"/>
        <w:spacing w:after="0" w:line="235" w:lineRule="auto"/>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Employment Agreement dated March 16, 2020, effective as of January 1, 2020, by and between Leo B. Pavliv</w:t>
        </w:r>
      </w:hyperlink>
      <w:r>
        <w:rPr>
          <w:rFonts w:ascii="Arial" w:cs="Arial" w:eastAsia="Arial" w:hAnsi="Arial"/>
          <w:sz w:val="18"/>
          <w:szCs w:val="18"/>
          <w:u w:val="single" w:color="auto"/>
          <w:color w:val="0000FF"/>
        </w:rPr>
        <w:t xml:space="preserve"> </w:t>
      </w:r>
      <w:hyperlink w:anchor="page134">
        <w:r>
          <w:rPr>
            <w:rFonts w:ascii="Arial" w:cs="Arial" w:eastAsia="Arial" w:hAnsi="Arial"/>
            <w:sz w:val="18"/>
            <w:szCs w:val="18"/>
            <w:u w:val="single" w:color="auto"/>
            <w:color w:val="0000FF"/>
          </w:rPr>
          <w:t>and Cumberland Pharmaceuticals Inc.</w:t>
        </w:r>
      </w:hyperlink>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w:anchor="page141">
        <w:r>
          <w:rPr>
            <w:rFonts w:ascii="Arial" w:cs="Arial" w:eastAsia="Arial" w:hAnsi="Arial"/>
            <w:sz w:val="16"/>
            <w:szCs w:val="16"/>
            <w:u w:val="single" w:color="auto"/>
            <w:color w:val="0000FF"/>
          </w:rPr>
          <w:t>Employment Agreement dated March 16, 2020, effective as of January 1, 2020, by and between Michael P.</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Bonner and Cumberland Pharmaceuticals Inc.</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w:anchor="page147">
        <w:r>
          <w:rPr>
            <w:rFonts w:ascii="Arial" w:cs="Arial" w:eastAsia="Arial" w:hAnsi="Arial"/>
            <w:sz w:val="16"/>
            <w:szCs w:val="16"/>
            <w:u w:val="single" w:color="auto"/>
            <w:color w:val="0000FF"/>
          </w:rPr>
          <w:t>Employment Agreement dated March 16, 2020, effective as of January 1, 2020, by and between James L.</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Herman and Cumberland Pharmaceuticals Inc.</w:t>
        </w:r>
      </w:hyperlink>
    </w:p>
    <w:p>
      <w:pPr>
        <w:spacing w:after="0" w:line="61" w:lineRule="exact"/>
        <w:rPr>
          <w:sz w:val="20"/>
          <w:szCs w:val="20"/>
          <w:color w:val="auto"/>
        </w:rPr>
      </w:pPr>
    </w:p>
    <w:p>
      <w:pPr>
        <w:ind w:right="619"/>
        <w:spacing w:after="0" w:line="224" w:lineRule="auto"/>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1999 Stock Option Plan of Cumberland Pharmaceuticals Inc., incorporated herein by reference to the</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corresponding exhibit to the Registrant’s Registration Statement on Form S-1 (File No. 333-142535) as filed</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with the SEC on May 1, 2007</w:t>
        </w:r>
      </w:hyperlink>
    </w:p>
    <w:p>
      <w:pPr>
        <w:spacing w:after="0" w:line="55" w:lineRule="exact"/>
        <w:rPr>
          <w:rFonts w:ascii="Arial" w:cs="Arial" w:eastAsia="Arial" w:hAnsi="Arial"/>
          <w:sz w:val="18"/>
          <w:szCs w:val="18"/>
          <w:u w:val="single" w:color="auto"/>
          <w:color w:val="0000FF"/>
        </w:rPr>
      </w:pPr>
    </w:p>
    <w:p>
      <w:pPr>
        <w:ind w:right="599"/>
        <w:spacing w:after="0" w:line="237" w:lineRule="auto"/>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Amended and Restated 2007 Long-Term Incentive Compensation Plan of Cumberland Pharmaceuticals Inc.,</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incorporated herein by reference to Appendix A of the Registrant’s Schedule 14A as filed with the SEC on</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March 12, 2012 and approved by the Registrant's shareholders on April 17, 2012</w:t>
        </w:r>
      </w:hyperlink>
    </w:p>
    <w:p>
      <w:pPr>
        <w:spacing w:after="0" w:line="55" w:lineRule="exact"/>
        <w:rPr>
          <w:rFonts w:ascii="Arial" w:cs="Arial" w:eastAsia="Arial" w:hAnsi="Arial"/>
          <w:sz w:val="17"/>
          <w:szCs w:val="17"/>
          <w:u w:val="single" w:color="auto"/>
          <w:color w:val="0000FF"/>
        </w:rPr>
      </w:pPr>
    </w:p>
    <w:p>
      <w:pPr>
        <w:ind w:right="539"/>
        <w:spacing w:after="0" w:line="224" w:lineRule="auto"/>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Amended and Restated 2007 Directors’ Incentive Plan of Cumberland Pharmaceuticals Inc., incorporated</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herein by reference to Appendix B of the Registrant's Schedule 14A as filed with the SEC on March 12, 2012</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and approved by the Registrant's shareholders on April 17, 2012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5" w:lineRule="exact"/>
        <w:rPr>
          <w:rFonts w:ascii="Arial" w:cs="Arial" w:eastAsia="Arial" w:hAnsi="Arial"/>
          <w:sz w:val="18"/>
          <w:szCs w:val="18"/>
          <w:u w:val="single" w:color="auto"/>
          <w:color w:val="0000FF"/>
        </w:rPr>
      </w:pPr>
    </w:p>
    <w:p>
      <w:pPr>
        <w:jc w:val="center"/>
        <w:ind w:right="599"/>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-1086485</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6" w:space="660"/>
            <w:col w:w="8419"/>
          </w:cols>
          <w:pgMar w:left="834" w:top="962" w:right="1440" w:bottom="1440" w:gutter="0" w:footer="0" w:header="0"/>
        </w:sectPr>
      </w:pPr>
    </w:p>
    <w:bookmarkStart w:id="78" w:name="page79"/>
    <w:bookmarkEnd w:id="78"/>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10.21.1†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10.21.2†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10.21.3†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10.23†</w:t>
      </w:r>
    </w:p>
    <w:p>
      <w:pPr>
        <w:spacing w:after="0" w:line="20" w:lineRule="exact"/>
        <w:rPr>
          <w:sz w:val="20"/>
          <w:szCs w:val="20"/>
          <w:color w:val="auto"/>
        </w:rPr>
      </w:pPr>
      <w:r>
        <w:rPr>
          <w:sz w:val="20"/>
          <w:szCs w:val="20"/>
          <w:color w:val="auto"/>
        </w:rPr>
        <w:br w:type="column"/>
      </w:r>
    </w:p>
    <w:p>
      <w:pPr>
        <w:ind w:right="559"/>
        <w:spacing w:after="0" w:line="237" w:lineRule="auto"/>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Form of Indemnification Agreement between Cumberland Pharmaceuticals Inc. and all members of its Board</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of Directors, incorporated herein by reference to the corresponding exhibit to the Registrant’s Registration</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Statement on Form S-1 (File No. 333-142535) as filed with the SEC on May 1, 2007</w:t>
        </w:r>
      </w:hyperlink>
    </w:p>
    <w:p>
      <w:pPr>
        <w:spacing w:after="0" w:line="55" w:lineRule="exact"/>
        <w:rPr>
          <w:rFonts w:ascii="Arial" w:cs="Arial" w:eastAsia="Arial" w:hAnsi="Arial"/>
          <w:sz w:val="17"/>
          <w:szCs w:val="17"/>
          <w:u w:val="single" w:color="auto"/>
          <w:color w:val="0000FF"/>
        </w:rPr>
      </w:pPr>
    </w:p>
    <w:p>
      <w:pPr>
        <w:ind w:right="479"/>
        <w:spacing w:after="0" w:line="219"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Lease Agreement, dated September 10, 2005, by and between Nashville Hines Development, LLC and</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Cumberland Pharmaceuticals Inc., incorporated herein by reference to the corresponding exhibit to</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Amendment No. 3 of the Registrant’s Registration Statement on Form S-1 (File No. 333-142535) as filed with</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the SEC on July 11, 2007</w:t>
        </w:r>
      </w:hyperlink>
    </w:p>
    <w:p>
      <w:pPr>
        <w:spacing w:after="0" w:line="55" w:lineRule="exact"/>
        <w:rPr>
          <w:rFonts w:ascii="Arial" w:cs="Arial" w:eastAsia="Arial" w:hAnsi="Arial"/>
          <w:sz w:val="18"/>
          <w:szCs w:val="18"/>
          <w:u w:val="single" w:color="auto"/>
          <w:color w:val="0000FF"/>
        </w:rPr>
      </w:pPr>
    </w:p>
    <w:p>
      <w:pPr>
        <w:ind w:right="799"/>
        <w:spacing w:after="0" w:line="249" w:lineRule="auto"/>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First Amendment to Office Lease Agreement, dated April 25, 2008, by and between 2525 West End, LLC</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(successor in interest to Nashville Hines Development LLC) and Cumberland Pharmaceuticals Inc.,</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incorporated herein by reference to the corresponding exhibit to Amendment No. 10 of the Registrant’s</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Registration Statement on Form S-1 (File No. 333-142535) as filed with the SEC on May 21, 2008</w:t>
        </w:r>
      </w:hyperlink>
    </w:p>
    <w:p>
      <w:pPr>
        <w:spacing w:after="0" w:line="46" w:lineRule="exact"/>
        <w:rPr>
          <w:rFonts w:ascii="Arial" w:cs="Arial" w:eastAsia="Arial" w:hAnsi="Arial"/>
          <w:sz w:val="16"/>
          <w:szCs w:val="16"/>
          <w:u w:val="single" w:color="auto"/>
          <w:color w:val="0000FF"/>
        </w:rPr>
      </w:pPr>
    </w:p>
    <w:p>
      <w:pPr>
        <w:ind w:right="599"/>
        <w:spacing w:after="0" w:line="232" w:lineRule="auto"/>
        <w:rPr>
          <w:rFonts w:ascii="Arial" w:cs="Arial" w:eastAsia="Arial" w:hAnsi="Arial"/>
          <w:sz w:val="17"/>
          <w:szCs w:val="17"/>
          <w:u w:val="single" w:color="auto"/>
          <w:color w:val="0000FF"/>
        </w:rPr>
      </w:pPr>
      <w:hyperlink r:id="rId108">
        <w:r>
          <w:rPr>
            <w:rFonts w:ascii="Arial" w:cs="Arial" w:eastAsia="Arial" w:hAnsi="Arial"/>
            <w:sz w:val="17"/>
            <w:szCs w:val="17"/>
            <w:u w:val="single" w:color="auto"/>
            <w:color w:val="0000FF"/>
          </w:rPr>
          <w:t>Second Amendment to Office Lease Agreement, dated March 2, 2010, by and between 2525 West End, LLC</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(successor in interest to Nashville Hines Development LLC) and Cumberland Pharmaceuticals Inc.,</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incorporated herein by reference to the corresponding exhibit to the Registrant’s Quarterly Report on Form</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10-Q (File No. 001-33637) as filed with the SEC on May 17, 2010</w:t>
        </w:r>
      </w:hyperlink>
    </w:p>
    <w:p>
      <w:pPr>
        <w:spacing w:after="0" w:line="54" w:lineRule="exact"/>
        <w:rPr>
          <w:rFonts w:ascii="Arial" w:cs="Arial" w:eastAsia="Arial" w:hAnsi="Arial"/>
          <w:sz w:val="17"/>
          <w:szCs w:val="17"/>
          <w:u w:val="single" w:color="auto"/>
          <w:color w:val="0000FF"/>
        </w:rPr>
      </w:pPr>
    </w:p>
    <w:p>
      <w:pPr>
        <w:ind w:right="719"/>
        <w:spacing w:after="0" w:line="232" w:lineRule="auto"/>
        <w:rPr>
          <w:rFonts w:ascii="Arial" w:cs="Arial" w:eastAsia="Arial" w:hAnsi="Arial"/>
          <w:sz w:val="17"/>
          <w:szCs w:val="17"/>
          <w:u w:val="single" w:color="auto"/>
          <w:color w:val="0000FF"/>
        </w:rPr>
      </w:pPr>
      <w:hyperlink r:id="rId109">
        <w:r>
          <w:rPr>
            <w:rFonts w:ascii="Arial" w:cs="Arial" w:eastAsia="Arial" w:hAnsi="Arial"/>
            <w:sz w:val="17"/>
            <w:szCs w:val="17"/>
            <w:u w:val="single" w:color="auto"/>
            <w:color w:val="0000FF"/>
          </w:rPr>
          <w:t>Third Amendment to Office Lease Agreement, dated September 29, 2015, by and between 2525 West End,</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LLC (successor in interest to Nashville Hines Development LLC) and Cumberland Pharmaceuticals Inc.,</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incorporated herein by reference to the corresponding exhibit to the Registrant's Quarterly Report on Form</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10-Q (File No. 001-33637) as filed with the SEC on November 6, 2015</w:t>
        </w:r>
      </w:hyperlink>
    </w:p>
    <w:p>
      <w:pPr>
        <w:spacing w:after="0" w:line="54" w:lineRule="exact"/>
        <w:rPr>
          <w:rFonts w:ascii="Arial" w:cs="Arial" w:eastAsia="Arial" w:hAnsi="Arial"/>
          <w:sz w:val="17"/>
          <w:szCs w:val="17"/>
          <w:u w:val="single" w:color="auto"/>
          <w:color w:val="0000FF"/>
        </w:rPr>
      </w:pPr>
    </w:p>
    <w:p>
      <w:pPr>
        <w:ind w:right="619"/>
        <w:spacing w:after="0" w:line="219" w:lineRule="auto"/>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Amended and Restated Lease Agreement, dated November 11, 2004, by and between The Gateway to</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Nashville LLC and Cumberland Emerging Technologies, Inc., incorporated herein by reference to the</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corresponding exhibit to the Registrant’s Registration Statement on Form S-1 (File No. 333-142535) as filed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with the SEC on May 1, 2007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4" w:lineRule="exact"/>
        <w:rPr>
          <w:rFonts w:ascii="Arial" w:cs="Arial" w:eastAsia="Arial" w:hAnsi="Arial"/>
          <w:sz w:val="18"/>
          <w:szCs w:val="18"/>
          <w:u w:val="single" w:color="auto"/>
          <w:color w:val="0000FF"/>
        </w:rPr>
      </w:pPr>
    </w:p>
    <w:p>
      <w:pPr>
        <w:jc w:val="center"/>
        <w:ind w:right="599"/>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-1086485</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20" w:space="620"/>
            <w:col w:w="8419"/>
          </w:cols>
          <w:pgMar w:left="800" w:top="962" w:right="1440" w:bottom="1440" w:gutter="0" w:footer="0" w:header="0"/>
        </w:sectPr>
      </w:pPr>
    </w:p>
    <w:bookmarkStart w:id="79" w:name="page80"/>
    <w:bookmarkEnd w:id="79"/>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tcPr>
          <w:p>
            <w:pPr>
              <w:ind w:left="40"/>
              <w:spacing w:after="0"/>
              <w:rPr>
                <w:sz w:val="20"/>
                <w:szCs w:val="20"/>
                <w:color w:val="auto"/>
              </w:rPr>
            </w:pPr>
            <w:r>
              <w:rPr>
                <w:rFonts w:ascii="Arial" w:cs="Arial" w:eastAsia="Arial" w:hAnsi="Arial"/>
                <w:sz w:val="18"/>
                <w:szCs w:val="18"/>
                <w:color w:val="auto"/>
              </w:rPr>
              <w:t>10.24</w:t>
            </w:r>
          </w:p>
        </w:tc>
        <w:tc>
          <w:tcPr>
            <w:tcW w:w="7720" w:type="dxa"/>
            <w:vAlign w:val="bottom"/>
            <w:tcBorders>
              <w:bottom w:val="single" w:sz="8" w:color="0000FF"/>
            </w:tcBorders>
            <w:gridSpan w:val="4"/>
          </w:tcPr>
          <w:p>
            <w:pPr>
              <w:spacing w:after="0"/>
              <w:rPr>
                <w:rFonts w:ascii="Arial" w:cs="Arial" w:eastAsia="Arial" w:hAnsi="Arial"/>
                <w:sz w:val="18"/>
                <w:szCs w:val="18"/>
                <w:color w:val="0000FF"/>
                <w:w w:val="89"/>
              </w:rPr>
            </w:pPr>
            <w:hyperlink r:id="rId112">
              <w:r>
                <w:rPr>
                  <w:rFonts w:ascii="Arial" w:cs="Arial" w:eastAsia="Arial" w:hAnsi="Arial"/>
                  <w:sz w:val="18"/>
                  <w:szCs w:val="18"/>
                  <w:color w:val="0000FF"/>
                  <w:w w:val="89"/>
                </w:rPr>
                <w:t>First Amendment to Amended and Restated Lease Agreement, dated August 23, 2005, by and between The</w:t>
              </w:r>
            </w:hyperlink>
          </w:p>
        </w:tc>
        <w:tc>
          <w:tcPr>
            <w:tcW w:w="200" w:type="dxa"/>
            <w:vAlign w:val="bottom"/>
            <w:gridSpan w:val="3"/>
            <w:vMerge w:val="restart"/>
          </w:tcPr>
          <w:p>
            <w:pPr>
              <w:ind w:left="60"/>
              <w:spacing w:after="0"/>
              <w:rPr>
                <w:rFonts w:ascii="Arial" w:cs="Arial" w:eastAsia="Arial" w:hAnsi="Arial"/>
                <w:sz w:val="18"/>
                <w:szCs w:val="18"/>
                <w:color w:val="0000FF"/>
                <w:w w:val="79"/>
              </w:rPr>
            </w:pPr>
            <w:hyperlink r:id="rId112">
              <w:r>
                <w:rPr>
                  <w:rFonts w:ascii="Arial" w:cs="Arial" w:eastAsia="Arial" w:hAnsi="Arial"/>
                  <w:sz w:val="18"/>
                  <w:szCs w:val="18"/>
                  <w:color w:val="0000FF"/>
                  <w:w w:val="79"/>
                </w:rPr>
                <w:t>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772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Gateway to Nashville LLC and Cumberland Emerging Technologies, Inc., incorporated herein by reference</w:t>
              </w:r>
            </w:hyperlink>
          </w:p>
        </w:tc>
        <w:tc>
          <w:tcPr>
            <w:tcW w:w="200" w:type="dxa"/>
            <w:vAlign w:val="bottom"/>
            <w:tcBorders>
              <w:bottom w:val="single" w:sz="8" w:color="0000F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7920" w:type="dxa"/>
            <w:vAlign w:val="bottom"/>
            <w:gridSpan w:val="7"/>
          </w:tcPr>
          <w:p>
            <w:pPr>
              <w:spacing w:after="0" w:line="15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the corresponding exhibit to the Registrant’s Registration Statement on Form S-1 (File No. 333-142535) as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filed with the SEC on May 1, 2007</w:t>
              </w:r>
            </w:hyperlink>
          </w:p>
        </w:tc>
        <w:tc>
          <w:tcPr>
            <w:tcW w:w="5180" w:type="dxa"/>
            <w:vAlign w:val="bottom"/>
            <w:tcBorders>
              <w:top w:val="single" w:sz="8" w:color="0000FF"/>
            </w:tcBorders>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40" w:type="dxa"/>
            <w:vAlign w:val="bottom"/>
          </w:tcPr>
          <w:p>
            <w:pPr>
              <w:ind w:left="40"/>
              <w:spacing w:after="0"/>
              <w:rPr>
                <w:sz w:val="20"/>
                <w:szCs w:val="20"/>
                <w:color w:val="auto"/>
              </w:rPr>
            </w:pPr>
            <w:r>
              <w:rPr>
                <w:rFonts w:ascii="Arial" w:cs="Arial" w:eastAsia="Arial" w:hAnsi="Arial"/>
                <w:sz w:val="18"/>
                <w:szCs w:val="18"/>
                <w:color w:val="auto"/>
              </w:rPr>
              <w:t>10.24.1</w:t>
            </w:r>
          </w:p>
        </w:tc>
        <w:tc>
          <w:tcPr>
            <w:tcW w:w="7920" w:type="dxa"/>
            <w:vAlign w:val="bottom"/>
            <w:gridSpan w:val="7"/>
          </w:tcPr>
          <w:p>
            <w:pPr>
              <w:spacing w:after="0"/>
              <w:rPr>
                <w:rFonts w:ascii="Arial" w:cs="Arial" w:eastAsia="Arial" w:hAnsi="Arial"/>
                <w:sz w:val="18"/>
                <w:szCs w:val="18"/>
                <w:color w:val="0000FF"/>
                <w:w w:val="89"/>
              </w:rPr>
            </w:pPr>
            <w:hyperlink r:id="rId113">
              <w:r>
                <w:rPr>
                  <w:rFonts w:ascii="Arial" w:cs="Arial" w:eastAsia="Arial" w:hAnsi="Arial"/>
                  <w:sz w:val="18"/>
                  <w:szCs w:val="18"/>
                  <w:color w:val="0000FF"/>
                  <w:w w:val="89"/>
                </w:rPr>
                <w:t>Second Amendment to Amended and Restated Lease Agreement, dated January 9, 2006, by and between The</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Gateway to Nashville LLC and Cumberland Emerging Technologies, Inc., incorporated herein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7920" w:type="dxa"/>
            <w:vAlign w:val="bottom"/>
            <w:gridSpan w:val="7"/>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the corresponding exhibit to Amendment No. 10 of the Registrant’s Registration Statement on Form S-1 (File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79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No. 333-142535) as filed with the SEC on May 21, 2008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240" w:type="dxa"/>
            <w:vAlign w:val="bottom"/>
          </w:tcPr>
          <w:p>
            <w:pPr>
              <w:spacing w:after="0"/>
              <w:rPr>
                <w:sz w:val="20"/>
                <w:szCs w:val="20"/>
                <w:color w:val="auto"/>
              </w:rPr>
            </w:pPr>
            <w:r>
              <w:rPr>
                <w:rFonts w:ascii="Arial" w:cs="Arial" w:eastAsia="Arial" w:hAnsi="Arial"/>
                <w:sz w:val="18"/>
                <w:szCs w:val="18"/>
                <w:color w:val="auto"/>
              </w:rPr>
              <w:t>10.24.2†</w:t>
            </w:r>
          </w:p>
        </w:tc>
        <w:tc>
          <w:tcPr>
            <w:tcW w:w="7920" w:type="dxa"/>
            <w:vAlign w:val="bottom"/>
            <w:gridSpan w:val="7"/>
          </w:tcPr>
          <w:p>
            <w:pPr>
              <w:spacing w:after="0"/>
              <w:rPr>
                <w:rFonts w:ascii="Arial" w:cs="Arial" w:eastAsia="Arial" w:hAnsi="Arial"/>
                <w:sz w:val="18"/>
                <w:szCs w:val="18"/>
                <w:u w:val="single" w:color="auto"/>
                <w:color w:val="0000FF"/>
                <w:w w:val="94"/>
              </w:rPr>
            </w:pPr>
            <w:hyperlink r:id="rId114">
              <w:r>
                <w:rPr>
                  <w:rFonts w:ascii="Arial" w:cs="Arial" w:eastAsia="Arial" w:hAnsi="Arial"/>
                  <w:sz w:val="18"/>
                  <w:szCs w:val="18"/>
                  <w:u w:val="single" w:color="auto"/>
                  <w:color w:val="0000FF"/>
                  <w:w w:val="94"/>
                </w:rPr>
                <w:t>Third Amendment to Amended and Restated Lease Agreement, dated July 3, 2012, by and between The</w:t>
              </w:r>
            </w:hyperlink>
          </w:p>
        </w:tc>
        <w:tc>
          <w:tcPr>
            <w:tcW w:w="0" w:type="dxa"/>
            <w:vAlign w:val="bottom"/>
          </w:tcPr>
          <w:p>
            <w:pPr>
              <w:spacing w:after="0"/>
              <w:rPr>
                <w:sz w:val="1"/>
                <w:szCs w:val="1"/>
                <w:color w:val="auto"/>
              </w:rPr>
            </w:pPr>
          </w:p>
        </w:tc>
      </w:tr>
    </w:tbl>
    <w:p>
      <w:pPr>
        <w:ind w:left="1240" w:right="499"/>
        <w:spacing w:after="0" w:line="218"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Gateway to Nashville LLC and Cumberland Emerging Technologies, Inc., incorporated herein by reference to</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the corresponding exhibit to the Registrant's Quarterly Report on Form 10-Q (File No. 001-33637) as filed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with the SEC on August 9, 2012</w:t>
        </w:r>
      </w:hyperlink>
    </w:p>
    <w:p>
      <w:pPr>
        <w:sectPr>
          <w:pgSz w:w="11900" w:h="16838" w:orient="portrait"/>
          <w:cols w:equalWidth="0" w:num="1">
            <w:col w:w="9659"/>
          </w:cols>
          <w:pgMar w:left="800" w:top="1440" w:right="1440" w:bottom="1440" w:gutter="0" w:footer="0" w:header="0"/>
        </w:sectPr>
      </w:pPr>
    </w:p>
    <w:p>
      <w:pPr>
        <w:spacing w:after="0" w:line="8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10.25†</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10.28†</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10.30#</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10.31†</w:t>
      </w:r>
    </w:p>
    <w:p>
      <w:pPr>
        <w:spacing w:after="0" w:line="200" w:lineRule="exact"/>
        <w:rPr>
          <w:rFonts w:ascii="Arial" w:cs="Arial" w:eastAsia="Arial" w:hAnsi="Arial"/>
          <w:sz w:val="18"/>
          <w:szCs w:val="18"/>
          <w:u w:val="single" w:color="auto"/>
          <w:color w:val="0000FF"/>
        </w:rPr>
      </w:pPr>
    </w:p>
    <w:p>
      <w:pPr>
        <w:spacing w:after="0" w:line="22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10.32†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8" w:lineRule="exact"/>
        <w:rPr>
          <w:rFonts w:ascii="Arial" w:cs="Arial" w:eastAsia="Arial" w:hAnsi="Arial"/>
          <w:sz w:val="18"/>
          <w:szCs w:val="18"/>
          <w:u w:val="single" w:color="auto"/>
          <w:color w:val="0000FF"/>
        </w:rPr>
      </w:pPr>
    </w:p>
    <w:p>
      <w:pPr>
        <w:ind w:right="499"/>
        <w:spacing w:after="0" w:line="259" w:lineRule="auto"/>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License and Supply Agreement, dated November 16, 2015, by and between Cumberland Pharmaceuticals Inc.</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and Gastro-Entero Logic, LLC incorporated herein by reference to the corresponding exhibit of the</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Registrant's Annual Report on Form 10-K (File No. 001-33637) as filed with the SEC on March 14, 2016</w:t>
        </w:r>
      </w:hyperlink>
    </w:p>
    <w:p>
      <w:pPr>
        <w:spacing w:after="0" w:line="52" w:lineRule="exact"/>
        <w:rPr>
          <w:rFonts w:ascii="Arial" w:cs="Arial" w:eastAsia="Arial" w:hAnsi="Arial"/>
          <w:sz w:val="16"/>
          <w:szCs w:val="16"/>
          <w:u w:val="single" w:color="auto"/>
          <w:color w:val="0000FF"/>
        </w:rPr>
      </w:pPr>
    </w:p>
    <w:p>
      <w:pPr>
        <w:ind w:right="599"/>
        <w:spacing w:after="0" w:line="259" w:lineRule="auto"/>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Asset Purchase and Royalty Agreement for Kristalose dated November 15, 2011 by and between Mylan Inc.</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and Cumberland Pharmaceuticals Inc., incorporated herein by reference to the corresponding exhibit of the</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Registrant’s Current Report on Form 8-K (File No. 001-33637) as filed with the SEC on November 22, 2011</w:t>
        </w:r>
      </w:hyperlink>
    </w:p>
    <w:p>
      <w:pPr>
        <w:spacing w:after="0" w:line="52" w:lineRule="exact"/>
        <w:rPr>
          <w:rFonts w:ascii="Arial" w:cs="Arial" w:eastAsia="Arial" w:hAnsi="Arial"/>
          <w:sz w:val="16"/>
          <w:szCs w:val="16"/>
          <w:u w:val="single" w:color="auto"/>
          <w:color w:val="0000FF"/>
        </w:rPr>
      </w:pPr>
    </w:p>
    <w:p>
      <w:pPr>
        <w:ind w:right="579"/>
        <w:spacing w:after="0" w:line="224"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Supplemental Executive Retirement and Savings Plan, incorporated herein by reference to the corresponding</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exhibit to the Registrant's Current Report on Form 8-K (File No. 001-33637) as filed with the SEC on May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24, 2012</w:t>
        </w:r>
      </w:hyperlink>
    </w:p>
    <w:p>
      <w:pPr>
        <w:spacing w:after="0" w:line="68" w:lineRule="exact"/>
        <w:rPr>
          <w:rFonts w:ascii="Arial" w:cs="Arial" w:eastAsia="Arial" w:hAnsi="Arial"/>
          <w:sz w:val="18"/>
          <w:szCs w:val="18"/>
          <w:u w:val="single" w:color="auto"/>
          <w:color w:val="0000FF"/>
        </w:rPr>
      </w:pPr>
    </w:p>
    <w:p>
      <w:pPr>
        <w:jc w:val="both"/>
        <w:ind w:right="539"/>
        <w:spacing w:after="0" w:line="259" w:lineRule="auto"/>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Settlement Agreement, dated November 9, 2012, by and between Cumberland Pharmaceuticals Inc., Paddock</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Laboratories, LLC and Perrigo Company incorporated herein by reference to the corresponding exhibit to the</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Registrant’s Annual Report on Form 10-K (File No. 001-33637) as filed with the SEC on March 12, 2013</w:t>
        </w:r>
      </w:hyperlink>
    </w:p>
    <w:p>
      <w:pPr>
        <w:spacing w:after="0" w:line="39" w:lineRule="exact"/>
        <w:rPr>
          <w:rFonts w:ascii="Arial" w:cs="Arial" w:eastAsia="Arial" w:hAnsi="Arial"/>
          <w:sz w:val="16"/>
          <w:szCs w:val="16"/>
          <w:u w:val="single" w:color="auto"/>
          <w:color w:val="0000FF"/>
        </w:rPr>
      </w:pPr>
    </w:p>
    <w:p>
      <w:pPr>
        <w:ind w:right="499"/>
        <w:spacing w:after="0" w:line="219"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License and Supply Agreement, dated November 9, 2012, by and between Cumberland Pharmaceuticals Inc.,</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Paddock Laboratories, LLC and Perrigo Company incorporated herein by reference to the corresponding</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exhibit to the Registrant’s Annual Report on Form 10-K (File No. 001-33637) as filed with the SEC on March</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12, 2013</w:t>
        </w:r>
      </w:hyperlink>
    </w:p>
    <w:p>
      <w:pPr>
        <w:spacing w:after="0" w:line="55" w:lineRule="exact"/>
        <w:rPr>
          <w:rFonts w:ascii="Arial" w:cs="Arial" w:eastAsia="Arial" w:hAnsi="Arial"/>
          <w:sz w:val="18"/>
          <w:szCs w:val="18"/>
          <w:u w:val="single" w:color="auto"/>
          <w:color w:val="0000FF"/>
        </w:rPr>
      </w:pPr>
    </w:p>
    <w:p>
      <w:pPr>
        <w:sectPr>
          <w:pgSz w:w="11900" w:h="16838" w:orient="portrait"/>
          <w:cols w:equalWidth="0" w:num="2">
            <w:col w:w="560" w:space="680"/>
            <w:col w:w="8419"/>
          </w:cols>
          <w:pgMar w:left="800" w:top="1440" w:right="1440" w:bottom="1440" w:gutter="0" w:footer="0" w:header="0"/>
          <w:type w:val="continuous"/>
        </w:sectPr>
      </w:pPr>
    </w:p>
    <w:p>
      <w:pPr>
        <w:spacing w:after="0" w:line="1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5"/>
          <w:szCs w:val="15"/>
          <w:color w:val="auto"/>
        </w:rPr>
        <w:t>10.34</w:t>
      </w:r>
    </w:p>
    <w:p>
      <w:pPr>
        <w:spacing w:after="0" w:line="200" w:lineRule="exact"/>
        <w:rPr>
          <w:rFonts w:ascii="Arial" w:cs="Arial" w:eastAsia="Arial" w:hAnsi="Arial"/>
          <w:sz w:val="18"/>
          <w:szCs w:val="18"/>
          <w:u w:val="single" w:color="auto"/>
          <w:color w:val="0000FF"/>
        </w:rPr>
      </w:pPr>
    </w:p>
    <w:p>
      <w:pPr>
        <w:spacing w:after="0" w:line="262"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5"/>
          <w:szCs w:val="15"/>
          <w:color w:val="auto"/>
        </w:rPr>
        <w:t>10.35</w:t>
      </w:r>
    </w:p>
    <w:p>
      <w:pPr>
        <w:spacing w:after="0" w:line="200" w:lineRule="exact"/>
        <w:rPr>
          <w:rFonts w:ascii="Arial" w:cs="Arial" w:eastAsia="Arial" w:hAnsi="Arial"/>
          <w:sz w:val="18"/>
          <w:szCs w:val="18"/>
          <w:u w:val="single" w:color="auto"/>
          <w:color w:val="0000FF"/>
        </w:rPr>
      </w:pPr>
    </w:p>
    <w:p>
      <w:pPr>
        <w:spacing w:after="0" w:line="262"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5"/>
          <w:szCs w:val="15"/>
          <w:color w:val="auto"/>
        </w:rPr>
        <w:t>10.36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539"/>
        <w:spacing w:after="0" w:line="237" w:lineRule="auto"/>
        <w:rPr>
          <w:rFonts w:ascii="Arial" w:cs="Arial" w:eastAsia="Arial" w:hAnsi="Arial"/>
          <w:sz w:val="17"/>
          <w:szCs w:val="17"/>
          <w:u w:val="single" w:color="auto"/>
          <w:color w:val="0000FF"/>
        </w:rPr>
      </w:pPr>
      <w:hyperlink r:id="rId120">
        <w:r>
          <w:rPr>
            <w:rFonts w:ascii="Arial" w:cs="Arial" w:eastAsia="Arial" w:hAnsi="Arial"/>
            <w:sz w:val="17"/>
            <w:szCs w:val="17"/>
            <w:u w:val="single" w:color="auto"/>
            <w:color w:val="0000FF"/>
          </w:rPr>
          <w:t>Revolving Credit Loan Agreement, dated July 31, 2017, by and between Cumberland Pharmaceuticals Inc.</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and Pinnacle Bank incorporated herein by reference to the corresponding exhibit to the Registrant's Quarterly</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Report on Form 10-Q (File No. 001-33637) as filed with the SEC on November 8, 2017</w:t>
        </w:r>
      </w:hyperlink>
    </w:p>
    <w:p>
      <w:pPr>
        <w:spacing w:after="0" w:line="55" w:lineRule="exact"/>
        <w:rPr>
          <w:rFonts w:ascii="Arial" w:cs="Arial" w:eastAsia="Arial" w:hAnsi="Arial"/>
          <w:sz w:val="17"/>
          <w:szCs w:val="17"/>
          <w:u w:val="single" w:color="auto"/>
          <w:color w:val="0000FF"/>
        </w:rPr>
      </w:pPr>
    </w:p>
    <w:p>
      <w:pPr>
        <w:ind w:right="839"/>
        <w:spacing w:after="0" w:line="259" w:lineRule="auto"/>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Amendment to Revolving Credit Loan Agreement, by and between Pinnacle Bank and Cumberland</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Pharmaceuticals Inc., dated August 14, 2018, incorporated herein by reference to Exhibit 10.1 to the</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Registrant's Quarterly Report Form 10-Q (File No. 001-33637) as filed with the SEC on August 14, 2018</w:t>
        </w:r>
      </w:hyperlink>
    </w:p>
    <w:p>
      <w:pPr>
        <w:spacing w:after="0" w:line="39" w:lineRule="exact"/>
        <w:rPr>
          <w:rFonts w:ascii="Arial" w:cs="Arial" w:eastAsia="Arial" w:hAnsi="Arial"/>
          <w:sz w:val="16"/>
          <w:szCs w:val="16"/>
          <w:u w:val="single" w:color="auto"/>
          <w:color w:val="0000FF"/>
        </w:rPr>
      </w:pPr>
    </w:p>
    <w:p>
      <w:pPr>
        <w:ind w:right="699"/>
        <w:spacing w:after="0" w:line="219" w:lineRule="auto"/>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First Amendment to Revolving Credit Note and Second Amendment to Revolving Credit Loan Agreement,</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dated as of October 17, 2018, by and between Cumberland Pharmaceuticals Inc. and Pinnacle Bank,</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incorporated herein by reference to Exhibit 10.1 to the Registrant's Current Report on Form 8-K (File No.</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001-33637) as filed with the SEC on October 19, 2018</w:t>
        </w:r>
      </w:hyperlink>
    </w:p>
    <w:p>
      <w:pPr>
        <w:spacing w:after="0" w:line="55" w:lineRule="exact"/>
        <w:rPr>
          <w:rFonts w:ascii="Arial" w:cs="Arial" w:eastAsia="Arial" w:hAnsi="Arial"/>
          <w:sz w:val="18"/>
          <w:szCs w:val="18"/>
          <w:u w:val="single" w:color="auto"/>
          <w:color w:val="0000FF"/>
        </w:rPr>
      </w:pPr>
    </w:p>
    <w:p>
      <w:pPr>
        <w:sectPr>
          <w:pgSz w:w="11900" w:h="16838" w:orient="portrait"/>
          <w:cols w:equalWidth="0" w:num="2">
            <w:col w:w="520" w:space="720"/>
            <w:col w:w="8419"/>
          </w:cols>
          <w:pgMar w:left="800" w:top="1440" w:right="1440" w:bottom="1440" w:gutter="0" w:footer="0" w:header="0"/>
          <w:type w:val="continuous"/>
        </w:sectPr>
      </w:pPr>
    </w:p>
    <w:p>
      <w:pPr>
        <w:ind w:left="1240" w:right="499" w:hanging="1191"/>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20">
        <w:r>
          <w:rPr>
            <w:rFonts w:ascii="Arial" w:cs="Arial" w:eastAsia="Arial" w:hAnsi="Arial"/>
            <w:sz w:val="18"/>
            <w:szCs w:val="18"/>
            <w:u w:val="single" w:color="auto"/>
            <w:color w:val="0000FF"/>
          </w:rPr>
          <w:t>Second Amendment to Revolving Credit Note and Third Amendment to Revolving Credit Loan Agreement,</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dated as of May 10, 2019,</w:t>
        </w:r>
        <w:r>
          <w:rPr>
            <w:rFonts w:ascii="Arial" w:cs="Arial" w:eastAsia="Arial" w:hAnsi="Arial"/>
            <w:sz w:val="18"/>
            <w:szCs w:val="18"/>
            <w:color w:val="0000FF"/>
          </w:rPr>
          <w:t xml:space="preserve"> by and between Cumberland Pharmaceuticals Inc. and Pinnacle Bank, incorporated</w:t>
        </w:r>
      </w:hyperlink>
      <w:r>
        <w:rPr>
          <w:rFonts w:ascii="Arial" w:cs="Arial" w:eastAsia="Arial" w:hAnsi="Arial"/>
          <w:sz w:val="18"/>
          <w:szCs w:val="18"/>
          <w:color w:val="0000FF"/>
        </w:rPr>
        <w:t xml:space="preserve"> </w:t>
      </w:r>
      <w:hyperlink r:id="rId120">
        <w:r>
          <w:rPr>
            <w:rFonts w:ascii="Arial" w:cs="Arial" w:eastAsia="Arial" w:hAnsi="Arial"/>
            <w:sz w:val="18"/>
            <w:szCs w:val="18"/>
            <w:u w:val="single" w:color="auto"/>
            <w:color w:val="0000FF"/>
          </w:rPr>
          <w:t>herein by reference to Exhibit 10.2 to the Registrant's Quarterly Report on Form 10-Q (File No. 001-336371)</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as filed with the SEC on May 15, 2019.</w:t>
        </w:r>
      </w:hyperlink>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1972945</wp:posOffset>
            </wp:positionH>
            <wp:positionV relativeFrom="paragraph">
              <wp:posOffset>-247015</wp:posOffset>
            </wp:positionV>
            <wp:extent cx="383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3838575" cy="8890"/>
                    </a:xfrm>
                    <a:prstGeom prst="rect">
                      <a:avLst/>
                    </a:prstGeom>
                    <a:noFill/>
                  </pic:spPr>
                </pic:pic>
              </a:graphicData>
            </a:graphic>
          </wp:anchor>
        </w:drawing>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74" w:lineRule="exact"/>
        <w:rPr>
          <w:rFonts w:ascii="Arial" w:cs="Arial" w:eastAsia="Arial" w:hAnsi="Arial"/>
          <w:sz w:val="18"/>
          <w:szCs w:val="18"/>
          <w:color w:val="0000FF"/>
        </w:rPr>
      </w:pPr>
    </w:p>
    <w:p>
      <w:pPr>
        <w:ind w:left="5060"/>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-299085</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59"/>
          </w:cols>
          <w:pgMar w:left="800" w:top="1440" w:right="1440" w:bottom="1440" w:gutter="0" w:footer="0" w:header="0"/>
          <w:type w:val="continuous"/>
        </w:sectPr>
      </w:pPr>
    </w:p>
    <w:bookmarkStart w:id="80" w:name="page81"/>
    <w:bookmarkEnd w:id="80"/>
    <w:p>
      <w:pPr>
        <w:spacing w:after="0" w:line="4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21</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23.1</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31.1</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31.2</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 w:right="640"/>
        <w:spacing w:after="0" w:line="289" w:lineRule="auto"/>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Subsidiaries of Cumberland Pharmaceuticals Inc., incorporated herein by reference to the corresponding exhibit to the</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Registrant’s Registration Statement on Form S-1 (File No. 333-142535) as filed with the SEC on May 1, 2007</w:t>
        </w:r>
      </w:hyperlink>
    </w:p>
    <w:p>
      <w:pPr>
        <w:spacing w:after="0" w:line="29" w:lineRule="exact"/>
        <w:rPr>
          <w:sz w:val="20"/>
          <w:szCs w:val="20"/>
          <w:color w:val="auto"/>
        </w:rPr>
      </w:pPr>
    </w:p>
    <w:p>
      <w:pPr>
        <w:ind w:left="20"/>
        <w:spacing w:after="0"/>
        <w:rPr>
          <w:rFonts w:ascii="Arial" w:cs="Arial" w:eastAsia="Arial" w:hAnsi="Arial"/>
          <w:sz w:val="18"/>
          <w:szCs w:val="18"/>
          <w:u w:val="single" w:color="auto"/>
          <w:color w:val="0000FF"/>
        </w:rPr>
      </w:pPr>
      <w:hyperlink w:anchor="page152">
        <w:r>
          <w:rPr>
            <w:rFonts w:ascii="Arial" w:cs="Arial" w:eastAsia="Arial" w:hAnsi="Arial"/>
            <w:sz w:val="18"/>
            <w:szCs w:val="18"/>
            <w:u w:val="single" w:color="auto"/>
            <w:color w:val="0000FF"/>
          </w:rPr>
          <w:t>Consent of BDO USA, LLP</w:t>
        </w:r>
      </w:hyperlink>
    </w:p>
    <w:p>
      <w:pPr>
        <w:spacing w:after="0" w:line="131" w:lineRule="exact"/>
        <w:rPr>
          <w:sz w:val="20"/>
          <w:szCs w:val="20"/>
          <w:color w:val="auto"/>
        </w:rPr>
      </w:pPr>
    </w:p>
    <w:p>
      <w:pPr>
        <w:ind w:left="20" w:right="620"/>
        <w:spacing w:after="0" w:line="235" w:lineRule="auto"/>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Certification of Chief Executive Officer Pursuant to Rule 13-14(a) of the Securities Exchange Act of 1934 as Adopted</w:t>
        </w:r>
      </w:hyperlink>
      <w:r>
        <w:rPr>
          <w:rFonts w:ascii="Arial" w:cs="Arial" w:eastAsia="Arial" w:hAnsi="Arial"/>
          <w:sz w:val="18"/>
          <w:szCs w:val="18"/>
          <w:u w:val="single" w:color="auto"/>
          <w:color w:val="0000FF"/>
        </w:rPr>
        <w:t xml:space="preserve"> </w:t>
      </w:r>
      <w:hyperlink w:anchor="page153">
        <w:r>
          <w:rPr>
            <w:rFonts w:ascii="Arial" w:cs="Arial" w:eastAsia="Arial" w:hAnsi="Arial"/>
            <w:sz w:val="18"/>
            <w:szCs w:val="18"/>
            <w:u w:val="single" w:color="auto"/>
            <w:color w:val="0000FF"/>
          </w:rPr>
          <w:t>Pursuant to Section 302 of the Sarbanes-Oxley Act of 2002.</w:t>
        </w:r>
      </w:hyperlink>
    </w:p>
    <w:p>
      <w:pPr>
        <w:spacing w:after="0" w:line="67" w:lineRule="exact"/>
        <w:rPr>
          <w:sz w:val="20"/>
          <w:szCs w:val="20"/>
          <w:color w:val="auto"/>
        </w:rPr>
      </w:pPr>
    </w:p>
    <w:p>
      <w:pPr>
        <w:ind w:left="20"/>
        <w:spacing w:after="0" w:line="235" w:lineRule="auto"/>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Certification of Chief Financial Officer Pursuant to Rule 13-14(a) of the Securities Exchange Act of 1934 as Adopted Pursuant</w:t>
        </w:r>
      </w:hyperlink>
      <w:r>
        <w:rPr>
          <w:rFonts w:ascii="Arial" w:cs="Arial" w:eastAsia="Arial" w:hAnsi="Arial"/>
          <w:sz w:val="18"/>
          <w:szCs w:val="18"/>
          <w:u w:val="single" w:color="auto"/>
          <w:color w:val="0000FF"/>
        </w:rPr>
        <w:t xml:space="preserve"> </w:t>
      </w:r>
      <w:hyperlink w:anchor="page154">
        <w:r>
          <w:rPr>
            <w:rFonts w:ascii="Arial" w:cs="Arial" w:eastAsia="Arial" w:hAnsi="Arial"/>
            <w:sz w:val="18"/>
            <w:szCs w:val="18"/>
            <w:u w:val="single" w:color="auto"/>
            <w:color w:val="0000FF"/>
          </w:rPr>
          <w:t>to Section 302 of the Sarbanes-Oxley Act of 2002.</w:t>
        </w:r>
      </w:hyperlink>
    </w:p>
    <w:p>
      <w:pPr>
        <w:spacing w:after="0" w:line="67" w:lineRule="exact"/>
        <w:rPr>
          <w:sz w:val="20"/>
          <w:szCs w:val="20"/>
          <w:color w:val="auto"/>
        </w:rPr>
      </w:pPr>
    </w:p>
    <w:p>
      <w:pPr>
        <w:ind w:left="20" w:right="60"/>
        <w:spacing w:after="0" w:line="235" w:lineRule="auto"/>
        <w:rPr>
          <w:rFonts w:ascii="Arial" w:cs="Arial" w:eastAsia="Arial" w:hAnsi="Arial"/>
          <w:sz w:val="18"/>
          <w:szCs w:val="18"/>
          <w:u w:val="single" w:color="auto"/>
          <w:color w:val="0000FF"/>
        </w:rPr>
      </w:pPr>
      <w:hyperlink w:anchor="page155">
        <w:r>
          <w:rPr>
            <w:rFonts w:ascii="Arial" w:cs="Arial" w:eastAsia="Arial" w:hAnsi="Arial"/>
            <w:sz w:val="18"/>
            <w:szCs w:val="18"/>
            <w:u w:val="single" w:color="auto"/>
            <w:color w:val="0000FF"/>
          </w:rPr>
          <w:t>Certification of Chief Executive Officer and Chief Financial Officer Pursuant to 18 U.S.C. Section 1350, as Adopted Pursuant</w:t>
        </w:r>
      </w:hyperlink>
      <w:r>
        <w:rPr>
          <w:rFonts w:ascii="Arial" w:cs="Arial" w:eastAsia="Arial" w:hAnsi="Arial"/>
          <w:sz w:val="18"/>
          <w:szCs w:val="18"/>
          <w:u w:val="single" w:color="auto"/>
          <w:color w:val="0000FF"/>
        </w:rPr>
        <w:t xml:space="preserve"> </w:t>
      </w:r>
      <w:hyperlink w:anchor="page155">
        <w:r>
          <w:rPr>
            <w:rFonts w:ascii="Arial" w:cs="Arial" w:eastAsia="Arial" w:hAnsi="Arial"/>
            <w:sz w:val="18"/>
            <w:szCs w:val="18"/>
            <w:u w:val="single" w:color="auto"/>
            <w:color w:val="0000FF"/>
          </w:rPr>
          <w:t>to Section 906 of the Sarbanes-Oxley Act of 2002.</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Indicates a management contract or compensatory plan.</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Confidential treatment has been granted for portions of this exhibit. These portions have been omitted from the Registration Statement and submitted separately to the Securities and Exchange Commission.</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 w:space="720"/>
            <w:col w:w="9160"/>
          </w:cols>
          <w:pgMar w:left="1000" w:top="1440" w:right="499" w:bottom="1440" w:gutter="0" w:footer="0" w:header="0"/>
        </w:sectPr>
      </w:pPr>
    </w:p>
    <w:bookmarkStart w:id="81" w:name="page82"/>
    <w:bookmarkEnd w:id="8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20, 2020.</w:t>
      </w:r>
    </w:p>
    <w:p>
      <w:pPr>
        <w:spacing w:after="0" w:line="139"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Cumberland Pharmaceuticals, Inc.</w:t>
      </w:r>
    </w:p>
    <w:p>
      <w:pPr>
        <w:spacing w:after="0" w:line="337"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30346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A. J. Kazimi</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(Principal Executive Officer)</w:t>
      </w:r>
    </w:p>
    <w:p>
      <w:pPr>
        <w:spacing w:after="0" w:line="18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ind w:left="2040"/>
              <w:spacing w:after="0"/>
              <w:rPr>
                <w:sz w:val="20"/>
                <w:szCs w:val="20"/>
                <w:color w:val="auto"/>
              </w:rPr>
            </w:pPr>
            <w:r>
              <w:rPr>
                <w:rFonts w:ascii="Arial" w:cs="Arial" w:eastAsia="Arial" w:hAnsi="Arial"/>
                <w:sz w:val="16"/>
                <w:szCs w:val="16"/>
                <w:b w:val="1"/>
                <w:bCs w:val="1"/>
                <w:color w:val="auto"/>
              </w:rPr>
              <w:t>Signature</w:t>
            </w:r>
          </w:p>
        </w:tc>
        <w:tc>
          <w:tcPr>
            <w:tcW w:w="140" w:type="dxa"/>
            <w:vAlign w:val="bottom"/>
          </w:tcPr>
          <w:p>
            <w:pPr>
              <w:spacing w:after="0"/>
              <w:rPr>
                <w:sz w:val="18"/>
                <w:szCs w:val="18"/>
                <w:color w:val="auto"/>
              </w:rPr>
            </w:pPr>
          </w:p>
        </w:tc>
        <w:tc>
          <w:tcPr>
            <w:tcW w:w="3820" w:type="dxa"/>
            <w:vAlign w:val="bottom"/>
            <w:gridSpan w:val="2"/>
          </w:tcPr>
          <w:p>
            <w:pPr>
              <w:ind w:left="1680"/>
              <w:spacing w:after="0"/>
              <w:rPr>
                <w:sz w:val="20"/>
                <w:szCs w:val="20"/>
                <w:color w:val="auto"/>
              </w:rPr>
            </w:pPr>
            <w:r>
              <w:rPr>
                <w:rFonts w:ascii="Arial" w:cs="Arial" w:eastAsia="Arial" w:hAnsi="Arial"/>
                <w:sz w:val="16"/>
                <w:szCs w:val="16"/>
                <w:b w:val="1"/>
                <w:bCs w:val="1"/>
                <w:color w:val="auto"/>
              </w:rPr>
              <w:t>Title</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A. J. Kazimi</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Chairman and CEO</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A. J. Kazimi</w:t>
            </w:r>
          </w:p>
        </w:tc>
        <w:tc>
          <w:tcPr>
            <w:tcW w:w="14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 and Director)</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Michael P. Bonner</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Senior Director and CFO</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38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Financial and</w:t>
            </w: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line="182" w:lineRule="exact"/>
              <w:rPr>
                <w:sz w:val="20"/>
                <w:szCs w:val="20"/>
                <w:color w:val="auto"/>
              </w:rPr>
            </w:pPr>
            <w:r>
              <w:rPr>
                <w:rFonts w:ascii="Arial" w:cs="Arial" w:eastAsia="Arial" w:hAnsi="Arial"/>
                <w:sz w:val="18"/>
                <w:szCs w:val="18"/>
                <w:color w:val="auto"/>
              </w:rPr>
              <w:t>Michael P. Bonner</w:t>
            </w:r>
          </w:p>
        </w:tc>
        <w:tc>
          <w:tcPr>
            <w:tcW w:w="140" w:type="dxa"/>
            <w:vAlign w:val="bottom"/>
            <w:vMerge w:val="continue"/>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i w:val="1"/>
                <w:iCs w:val="1"/>
                <w:color w:val="auto"/>
              </w:rPr>
              <w:t>Accounting Officer</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Martin E. Cearnal</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Martin E. Cearnal</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Gordon R. Bernard</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Gordon R. Bernard</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Jonathan I. Griggs</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Jonathan I. Griggs</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James R. Jones</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James R. Jones</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Joey A. Jacobs</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Joey A. Jacobs</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Caroline R. Young</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Caroline R. Young</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Kenneth J. Krogulski</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Kenneth J. Krogulski</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/s/ Joseph C. Galante</w:t>
            </w:r>
          </w:p>
        </w:tc>
        <w:tc>
          <w:tcPr>
            <w:tcW w:w="14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Joseph C. Galante</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management of Cumberland Pharmaceuticals Inc. and its subsidiaries (the "Company") is responsible for establishing and maintaining adequate internal control over financial reporting. Cumberland Pharmaceuticals Inc.’s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Cumberland Pharmaceuticals Inc.’s management assessed the effectiveness of the Company’s internal control over financial reporting as of December 31, 2019.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its assessment, management has concluded that, as of December 31, 2019, the Company’s internal control over financial reporting was effective based on those criteria.</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346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J. Kazimi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346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Cumberland Pharmaceuticals Inc. (the “Company”) as of December 31, 2019 and 2018, the related consolidated statements of operations and comprehensive income (loss), equity, and cash flows for each of the three years in the period ended December 31, 2019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Consolidated Balance Sheets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2019 and 2018</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2018</w:t>
            </w:r>
          </w:p>
        </w:tc>
      </w:tr>
      <w:tr>
        <w:trPr>
          <w:trHeight w:val="33"/>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74"/>
        </w:trPr>
        <w:tc>
          <w:tcPr>
            <w:tcW w:w="7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28,212,635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27,938,960</w:t>
            </w:r>
          </w:p>
        </w:tc>
      </w:tr>
      <w:tr>
        <w:trPr>
          <w:trHeight w:val="243"/>
        </w:trPr>
        <w:tc>
          <w:tcPr>
            <w:tcW w:w="74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8,290,679</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9,781,463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7,844,249</w:t>
            </w:r>
          </w:p>
        </w:tc>
      </w:tr>
      <w:tr>
        <w:trPr>
          <w:trHeight w:val="243"/>
        </w:trPr>
        <w:tc>
          <w:tcPr>
            <w:tcW w:w="740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9,411,521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12,078,343</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2,757,456</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2,963,806</w:t>
            </w:r>
          </w:p>
        </w:tc>
      </w:tr>
      <w:tr>
        <w:trPr>
          <w:trHeight w:val="237"/>
        </w:trPr>
        <w:tc>
          <w:tcPr>
            <w:tcW w:w="74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50,163,075</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59,116,037</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15,554,992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15,749,000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747,796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771,213</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30,920,324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33,655,099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882,000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784,000</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21,802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87,210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2,960,569</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3,298,725</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2,531,309</w:t>
            </w:r>
          </w:p>
        </w:tc>
      </w:tr>
      <w:tr>
        <w:trPr>
          <w:trHeight w:val="237"/>
        </w:trPr>
        <w:tc>
          <w:tcPr>
            <w:tcW w:w="740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104,549,283</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112,693,868</w:t>
            </w:r>
          </w:p>
        </w:tc>
      </w:tr>
      <w:tr>
        <w:trPr>
          <w:trHeight w:val="27"/>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0"/>
        </w:trPr>
        <w:tc>
          <w:tcPr>
            <w:tcW w:w="7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11,912,446</w:t>
            </w:r>
          </w:p>
        </w:tc>
        <w:tc>
          <w:tcPr>
            <w:tcW w:w="1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11,093,297</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920,431</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11,317,358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16,710,927</w:t>
            </w:r>
          </w:p>
        </w:tc>
      </w:tr>
      <w:tr>
        <w:trPr>
          <w:trHeight w:val="27"/>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24,150,235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27,804,224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Revolving line of credit</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18,500,000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20,000,000</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2,076,472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8,737,323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9,319,143</w:t>
            </w:r>
          </w:p>
        </w:tc>
      </w:tr>
      <w:tr>
        <w:trPr>
          <w:trHeight w:val="27"/>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53,464,030</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57,123,367</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20"/>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Common stock – no par value; 100,000,000 shares authorized; 15,263,555 and 15,481,497</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and outstanding as of December 31, 2019 and 2018, respectively</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49,914,478</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51,098,613</w:t>
            </w:r>
          </w:p>
        </w:tc>
      </w:tr>
      <w:tr>
        <w:trPr>
          <w:trHeight w:val="243"/>
        </w:trPr>
        <w:tc>
          <w:tcPr>
            <w:tcW w:w="740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1,208,395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4,746,154</w:t>
            </w:r>
          </w:p>
        </w:tc>
      </w:tr>
      <w:tr>
        <w:trPr>
          <w:trHeight w:val="27"/>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51,122,873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55,844,767</w:t>
            </w:r>
          </w:p>
        </w:tc>
      </w:tr>
      <w:tr>
        <w:trPr>
          <w:trHeight w:val="243"/>
        </w:trPr>
        <w:tc>
          <w:tcPr>
            <w:tcW w:w="740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(37,620)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(274,266)</w:t>
            </w:r>
          </w:p>
        </w:tc>
      </w:tr>
      <w:tr>
        <w:trPr>
          <w:trHeight w:val="27"/>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51,085,253</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55,570,501</w:t>
            </w:r>
          </w:p>
        </w:tc>
      </w:tr>
      <w:tr>
        <w:trPr>
          <w:trHeight w:val="236"/>
        </w:trPr>
        <w:tc>
          <w:tcPr>
            <w:tcW w:w="7400" w:type="dxa"/>
            <w:vAlign w:val="bottom"/>
          </w:tcPr>
          <w:p>
            <w:pPr>
              <w:ind w:left="880"/>
              <w:spacing w:after="0"/>
              <w:rPr>
                <w:sz w:val="20"/>
                <w:szCs w:val="20"/>
                <w:color w:val="auto"/>
              </w:rPr>
            </w:pPr>
            <w:r>
              <w:rPr>
                <w:rFonts w:ascii="Arial" w:cs="Arial" w:eastAsia="Arial" w:hAnsi="Arial"/>
                <w:sz w:val="18"/>
                <w:szCs w:val="18"/>
                <w:color w:val="auto"/>
              </w:rPr>
              <w:t>Total liabilities and equity</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104,549,283</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112,693,868</w:t>
            </w:r>
          </w:p>
        </w:tc>
      </w:tr>
      <w:tr>
        <w:trPr>
          <w:trHeight w:val="27"/>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85" w:name="page86"/>
    <w:bookmarkEnd w:id="85"/>
    <w:p>
      <w:pPr>
        <w:spacing w:after="0" w:line="45" w:lineRule="exact"/>
        <w:rPr>
          <w:sz w:val="20"/>
          <w:szCs w:val="20"/>
          <w:color w:val="auto"/>
        </w:rPr>
      </w:pPr>
    </w:p>
    <w:p>
      <w:pPr>
        <w:jc w:val="center"/>
        <w:ind w:left="920" w:right="2340"/>
        <w:spacing w:after="0" w:line="330" w:lineRule="auto"/>
        <w:rPr>
          <w:sz w:val="20"/>
          <w:szCs w:val="20"/>
          <w:color w:val="auto"/>
        </w:rPr>
      </w:pPr>
      <w:r>
        <w:rPr>
          <w:rFonts w:ascii="Arial" w:cs="Arial" w:eastAsia="Arial" w:hAnsi="Arial"/>
          <w:sz w:val="18"/>
          <w:szCs w:val="18"/>
          <w:b w:val="1"/>
          <w:bCs w:val="1"/>
          <w:color w:val="auto"/>
        </w:rPr>
        <w:t xml:space="preserve">CUMBERLAND PHARMACEUTICALS INC. AND SUBSIDIARIES </w:t>
      </w:r>
      <w:r>
        <w:rPr>
          <w:rFonts w:ascii="Arial" w:cs="Arial" w:eastAsia="Arial" w:hAnsi="Arial"/>
          <w:sz w:val="18"/>
          <w:szCs w:val="18"/>
          <w:color w:val="auto"/>
        </w:rPr>
        <w:t>Consolidated Statements of Operations and Comprehensive Income (Loss) Years ended December 31, 2019, 2018 and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Arial" w:cs="Arial" w:eastAsia="Arial" w:hAnsi="Arial"/>
                <w:sz w:val="16"/>
                <w:szCs w:val="16"/>
                <w:b w:val="1"/>
                <w:bCs w:val="1"/>
                <w:color w:val="auto"/>
              </w:rPr>
              <w:t>2017</w:t>
            </w:r>
          </w:p>
        </w:tc>
      </w:tr>
      <w:tr>
        <w:trPr>
          <w:trHeight w:val="33"/>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42"/>
        </w:trPr>
        <w:tc>
          <w:tcPr>
            <w:tcW w:w="5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Net product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45,552,587</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40,200,832</w:t>
            </w:r>
          </w:p>
        </w:tc>
        <w:tc>
          <w:tcPr>
            <w:tcW w:w="1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40,376,563</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1,981,050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540,933</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773,568</w:t>
            </w:r>
          </w:p>
        </w:tc>
      </w:tr>
      <w:tr>
        <w:trPr>
          <w:trHeight w:val="237"/>
        </w:trPr>
        <w:tc>
          <w:tcPr>
            <w:tcW w:w="536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47,533,637</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40,741,765</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41,150,131</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Cost of products sold</w:t>
            </w:r>
          </w:p>
        </w:tc>
        <w:tc>
          <w:tcPr>
            <w:tcW w:w="3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8,752,020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7,378,095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7,370,585</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21,429,040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20,258,307</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21,492,937</w:t>
            </w: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6,478,592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7,575,892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4,280,385</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10,362,433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10,150,777</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9,651,350</w:t>
            </w: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4,134,557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2,769,466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2,436,222</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5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51,156,642</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48,132,537</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45,231,479</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(3,623,005)</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(7,390,772)</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(4,081,348)</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243,364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564,484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299,326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(246,186)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(195,848)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(92,904)</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(3,625,827)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(7,022,136)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(3,874,926)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79,316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(16,636)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(4,174,889)</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(3,546,511)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(7,038,772)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(8,049,815)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Net loss at subsidiary attributable to noncontrolling interests</w:t>
            </w:r>
          </w:p>
        </w:tc>
        <w:tc>
          <w:tcPr>
            <w:tcW w:w="3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8,752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75,704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71,182</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common shareholders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(3,537,759)</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(6,963,068)</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(7,978,633)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4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(0.50)</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15,396,098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15,614,052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15,911,577</w:t>
            </w:r>
          </w:p>
        </w:tc>
      </w:tr>
      <w:tr>
        <w:trPr>
          <w:trHeight w:val="243"/>
        </w:trPr>
        <w:tc>
          <w:tcPr>
            <w:tcW w:w="5360" w:type="dxa"/>
            <w:vAlign w:val="bottom"/>
          </w:tcPr>
          <w:p>
            <w:pPr>
              <w:ind w:left="4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15,396,098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15,614,052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15,911,577</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2"/>
        </w:trPr>
        <w:tc>
          <w:tcPr>
            <w:tcW w:w="5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w w:val="99"/>
              </w:rPr>
              <w:t>Comprehensive income (loss) attributable to common shareholders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(3,537,759)</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(6,963,068)</w:t>
            </w:r>
          </w:p>
        </w:tc>
        <w:tc>
          <w:tcPr>
            <w:tcW w:w="1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(7,978,633)</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at subsidiary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8,752</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75,704</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71,182</w:t>
            </w:r>
          </w:p>
        </w:tc>
      </w:tr>
      <w:tr>
        <w:trPr>
          <w:trHeight w:val="236"/>
        </w:trPr>
        <w:tc>
          <w:tcPr>
            <w:tcW w:w="536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(3,546,511)</w:t>
            </w:r>
          </w:p>
        </w:tc>
        <w:tc>
          <w:tcPr>
            <w:tcW w:w="1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(7,038,772)</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(8,049,815)</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Cash Flows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Years ended December 31, 2019, 2018 and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8"/>
        </w:trPr>
        <w:tc>
          <w:tcPr>
            <w:tcW w:w="6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5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(3,546,511)</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(7,038,772)</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(8,049,815)</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Adjustments to reconcile net income (loss) to net cash flows provided by (used in)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4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4,404,175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2,982,703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2,647,753</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Deferred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65,408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81,886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4,206,753</w:t>
            </w:r>
          </w:p>
        </w:tc>
      </w:tr>
      <w:tr>
        <w:trPr>
          <w:trHeight w:val="243"/>
        </w:trPr>
        <w:tc>
          <w:tcPr>
            <w:tcW w:w="642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1,485,898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1,364,698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1,115,063</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Share-based compensation (foundation contribution)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372,500</w:t>
            </w:r>
          </w:p>
        </w:tc>
      </w:tr>
      <w:tr>
        <w:trPr>
          <w:trHeight w:val="243"/>
        </w:trPr>
        <w:tc>
          <w:tcPr>
            <w:tcW w:w="6420" w:type="dxa"/>
            <w:vAlign w:val="bottom"/>
          </w:tcPr>
          <w:p>
            <w:pPr>
              <w:ind w:left="420"/>
              <w:spacing w:after="0"/>
              <w:rPr>
                <w:sz w:val="20"/>
                <w:szCs w:val="20"/>
                <w:color w:val="auto"/>
              </w:rPr>
            </w:pPr>
            <w:r>
              <w:rPr>
                <w:rFonts w:ascii="Arial" w:cs="Arial" w:eastAsia="Arial" w:hAnsi="Arial"/>
                <w:sz w:val="18"/>
                <w:szCs w:val="18"/>
                <w:color w:val="auto"/>
              </w:rPr>
              <w:t>Excess tax (benefit) expense derived from exercise of stock options</w:t>
            </w:r>
          </w:p>
        </w:tc>
        <w:tc>
          <w:tcPr>
            <w:tcW w:w="2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(81,886)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(91,109)</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Decrease in non-cash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(804,167)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420"/>
              <w:spacing w:after="0"/>
              <w:rPr>
                <w:sz w:val="20"/>
                <w:szCs w:val="20"/>
                <w:color w:val="auto"/>
              </w:rPr>
            </w:pPr>
            <w:r>
              <w:rPr>
                <w:rFonts w:ascii="Arial" w:cs="Arial" w:eastAsia="Arial" w:hAnsi="Arial"/>
                <w:sz w:val="18"/>
                <w:szCs w:val="18"/>
                <w:color w:val="auto"/>
              </w:rPr>
              <w:t>Noncash interest expense</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47,525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99,883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77,911</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Noncash investment gains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(168,440)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(52,012)</w:t>
            </w:r>
          </w:p>
        </w:tc>
      </w:tr>
      <w:tr>
        <w:trPr>
          <w:trHeight w:val="243"/>
        </w:trPr>
        <w:tc>
          <w:tcPr>
            <w:tcW w:w="6420" w:type="dxa"/>
            <w:vAlign w:val="bottom"/>
          </w:tcPr>
          <w:p>
            <w:pPr>
              <w:ind w:left="42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(1,937,214)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550,863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(1,064,985)</w:t>
            </w:r>
          </w:p>
        </w:tc>
      </w:tr>
      <w:tr>
        <w:trPr>
          <w:trHeight w:val="243"/>
        </w:trPr>
        <w:tc>
          <w:tcPr>
            <w:tcW w:w="642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2,860,830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460,505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(1,366,118)</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current assets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(587,477)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712,149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(1,074,369)</w:t>
            </w:r>
          </w:p>
        </w:tc>
      </w:tr>
      <w:tr>
        <w:trPr>
          <w:trHeight w:val="243"/>
        </w:trPr>
        <w:tc>
          <w:tcPr>
            <w:tcW w:w="6420" w:type="dxa"/>
            <w:vAlign w:val="bottom"/>
          </w:tcPr>
          <w:p>
            <w:pPr>
              <w:ind w:left="640"/>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1,824,024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4,308,706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2,307,617</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(729,820)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(159,558)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413,097</w:t>
            </w:r>
          </w:p>
        </w:tc>
      </w:tr>
      <w:tr>
        <w:trPr>
          <w:trHeight w:val="237"/>
        </w:trPr>
        <w:tc>
          <w:tcPr>
            <w:tcW w:w="642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3,056,356</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3,112,737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(557,714)</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(246,202)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(455,569)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(275,960)</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Additions to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(772,944)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(3,819,486)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(1,213,110)</w:t>
            </w: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Cash paid for acquisition</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9"/>
              </w:rPr>
              <w:t>(20,000,000)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sale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20,062,132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16,122,376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13,381,061</w:t>
            </w: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9"/>
              </w:rPr>
              <w:t>(11,745,138)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9"/>
              </w:rPr>
              <w:t>(19,572,139)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(2,379,414)</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2,297,848</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(27,724,818)</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9,512,577</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Borrowings on 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76,000,000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56,000,000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24,500,000</w:t>
            </w: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Repayments on line of credit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9"/>
              </w:rPr>
              <w:t>(77,500,000)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9"/>
              </w:rPr>
              <w:t>(45,800,000)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9"/>
              </w:rPr>
              <w:t>(18,800,000)</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(3,494,921)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(2,879,426)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(3,724,375)</w:t>
            </w: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Payments of deferred equity offering costs</w:t>
            </w:r>
          </w:p>
        </w:tc>
        <w:tc>
          <w:tcPr>
            <w:tcW w:w="2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(383,310)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(27,950)</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of shares of common stock, net of offering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200,909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Payments of financing costs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(1,033,108)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Sale of subsidiary shares to noncontrolling interest</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(5,080,529)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7,138,173</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1,947,675</w:t>
            </w:r>
          </w:p>
        </w:tc>
      </w:tr>
      <w:tr>
        <w:trPr>
          <w:trHeight w:val="236"/>
        </w:trPr>
        <w:tc>
          <w:tcPr>
            <w:tcW w:w="6420" w:type="dxa"/>
            <w:vAlign w:val="bottom"/>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273,675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(17,473,908)</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10,902,538</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27,938,960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45,412,868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34,510,330</w:t>
            </w:r>
          </w:p>
        </w:tc>
      </w:tr>
      <w:tr>
        <w:trPr>
          <w:trHeight w:val="236"/>
        </w:trPr>
        <w:tc>
          <w:tcPr>
            <w:tcW w:w="642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28,212,635</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27,938,960</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45,412,868</w:t>
            </w:r>
          </w:p>
        </w:tc>
      </w:tr>
      <w:tr>
        <w:trPr>
          <w:trHeight w:val="27"/>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560" w:top="132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105410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60" w:top="1323" w:right="559" w:bottom="1440" w:gutter="0" w:footer="0" w:header="0"/>
          <w:type w:val="continuous"/>
        </w:sectPr>
      </w:pPr>
    </w:p>
    <w:bookmarkStart w:id="87" w:name="page88"/>
    <w:bookmarkEnd w:id="87"/>
    <w:p>
      <w:pPr>
        <w:ind w:left="20"/>
        <w:spacing w:after="0"/>
        <w:rPr>
          <w:sz w:val="20"/>
          <w:szCs w:val="20"/>
          <w:color w:val="auto"/>
        </w:rPr>
      </w:pPr>
      <w:r>
        <w:rPr>
          <w:rFonts w:ascii="Arial" w:cs="Arial" w:eastAsia="Arial" w:hAnsi="Arial"/>
          <w:sz w:val="18"/>
          <w:szCs w:val="18"/>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686625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686625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paid (refunded) during the year for: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198,661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95,965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14,993</w:t>
            </w: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16,694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15,441</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18,000</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unpaid invoices for purchases of intangibles</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(576,837)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(539,467)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(513,481)</w:t>
            </w:r>
          </w:p>
        </w:tc>
      </w:tr>
      <w:tr>
        <w:trPr>
          <w:trHeight w:val="243"/>
        </w:trPr>
        <w:tc>
          <w:tcPr>
            <w:tcW w:w="6260" w:type="dxa"/>
            <w:vAlign w:val="bottom"/>
          </w:tcPr>
          <w:p>
            <w:pPr>
              <w:ind w:left="220"/>
              <w:spacing w:after="0"/>
              <w:rPr>
                <w:sz w:val="20"/>
                <w:szCs w:val="20"/>
                <w:color w:val="auto"/>
              </w:rPr>
            </w:pPr>
            <w:r>
              <w:rPr>
                <w:rFonts w:ascii="Arial" w:cs="Arial" w:eastAsia="Arial" w:hAnsi="Arial"/>
                <w:sz w:val="18"/>
                <w:szCs w:val="18"/>
                <w:color w:val="auto"/>
                <w:w w:val="92"/>
              </w:rPr>
              <w:t>Deferred offering costs included in accounts payable and other accrued expenses</w:t>
            </w:r>
          </w:p>
        </w:tc>
        <w:tc>
          <w:tcPr>
            <w:tcW w:w="4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97,254</w:t>
            </w: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 cash increase in liabilities related to acquisition (see Note 3)</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14,034,000</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220"/>
              <w:spacing w:after="0"/>
              <w:rPr>
                <w:sz w:val="20"/>
                <w:szCs w:val="20"/>
                <w:color w:val="auto"/>
              </w:rPr>
            </w:pPr>
            <w:r>
              <w:rPr>
                <w:rFonts w:ascii="Arial" w:cs="Arial" w:eastAsia="Arial" w:hAnsi="Arial"/>
                <w:sz w:val="18"/>
                <w:szCs w:val="18"/>
                <w:color w:val="auto"/>
                <w:w w:val="93"/>
              </w:rPr>
              <w:t>Recognition of operating lease assets and liabilities through adoption of ASC 842</w:t>
            </w:r>
          </w:p>
        </w:tc>
        <w:tc>
          <w:tcPr>
            <w:tcW w:w="4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3,629,320</w:t>
            </w: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Vesting of shares related to RediTrex approval</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862,200</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220"/>
              <w:spacing w:after="0"/>
              <w:rPr>
                <w:sz w:val="20"/>
                <w:szCs w:val="20"/>
                <w:color w:val="auto"/>
              </w:rPr>
            </w:pPr>
            <w:r>
              <w:rPr>
                <w:rFonts w:ascii="Arial" w:cs="Arial" w:eastAsia="Arial" w:hAnsi="Arial"/>
                <w:sz w:val="18"/>
                <w:szCs w:val="18"/>
                <w:color w:val="auto"/>
              </w:rPr>
              <w:t>Repurchase of subsidiary shares from noncontrolling interests</w:t>
            </w:r>
          </w:p>
        </w:tc>
        <w:tc>
          <w:tcPr>
            <w:tcW w:w="4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(800,000)</w:t>
            </w: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to intangible assets from final purchase price allocation</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148,000</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381" w:right="539" w:bottom="1440" w:gutter="0" w:footer="0" w:header="0"/>
        </w:sectPr>
      </w:pPr>
    </w:p>
    <w:bookmarkStart w:id="88" w:name="page89"/>
    <w:bookmarkEnd w:id="88"/>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Consolidated Statements of Equity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Years ended December 31, 2019, 2018 and 2017</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4720" w:type="dxa"/>
            <w:vAlign w:val="bottom"/>
            <w:gridSpan w:val="7"/>
          </w:tcPr>
          <w:p>
            <w:pPr>
              <w:jc w:val="right"/>
              <w:ind w:right="610"/>
              <w:spacing w:after="0"/>
              <w:rPr>
                <w:sz w:val="20"/>
                <w:szCs w:val="20"/>
                <w:color w:val="auto"/>
              </w:rPr>
            </w:pPr>
            <w:r>
              <w:rPr>
                <w:rFonts w:ascii="Arial" w:cs="Arial" w:eastAsia="Arial" w:hAnsi="Arial"/>
                <w:sz w:val="16"/>
                <w:szCs w:val="16"/>
                <w:b w:val="1"/>
                <w:bCs w:val="1"/>
                <w:color w:val="auto"/>
              </w:rPr>
              <w:t>Cumberland Pharmaceuticals Inc. Shareholders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Common stock</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0"/>
              </w:rPr>
              <w:t>Non-controlling</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Retained earnings</w:t>
            </w: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restart"/>
          </w:tcPr>
          <w:p>
            <w:pPr>
              <w:jc w:val="right"/>
              <w:ind w:right="7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2"/>
                <w:szCs w:val="2"/>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16,074,176</w:t>
            </w: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54,643,268</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18,604,931</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(127,380)</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73,120,819</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(7,978,633)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(71,182)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(8,049,815)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from change in</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accounting principle</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1,082,924</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1,082,924</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146,275</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1,115,063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1,115,063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options and related tax</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benefit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372,500</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372,500</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8"/>
                <w:szCs w:val="18"/>
                <w:color w:val="auto"/>
              </w:rPr>
              <w:t>Repurchase of common shares</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(547,376)</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w w:val="91"/>
              </w:rPr>
              <w:t>(3,719,890)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(3,719,890)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15,723,075</w:t>
            </w:r>
          </w:p>
        </w:tc>
        <w:tc>
          <w:tcPr>
            <w:tcW w:w="7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52,410,941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11,709,222</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(198,562)  —</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63,921,601</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(6,963,068)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(75,704)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(7,038,772)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170,759</w:t>
            </w: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1,364,698</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1,364,698</w:t>
            </w:r>
          </w:p>
        </w:tc>
        <w:tc>
          <w:tcPr>
            <w:tcW w:w="0" w:type="dxa"/>
            <w:vAlign w:val="bottom"/>
          </w:tcPr>
          <w:p>
            <w:pPr>
              <w:spacing w:after="0"/>
              <w:rPr>
                <w:sz w:val="1"/>
                <w:szCs w:val="1"/>
                <w:color w:val="auto"/>
              </w:rPr>
            </w:pPr>
          </w:p>
        </w:tc>
      </w:tr>
      <w:tr>
        <w:trPr>
          <w:trHeight w:val="229"/>
        </w:trPr>
        <w:tc>
          <w:tcPr>
            <w:tcW w:w="3020" w:type="dxa"/>
            <w:vAlign w:val="bottom"/>
          </w:tcPr>
          <w:p>
            <w:pPr>
              <w:ind w:left="220"/>
              <w:spacing w:after="0"/>
              <w:rPr>
                <w:sz w:val="20"/>
                <w:szCs w:val="20"/>
                <w:color w:val="auto"/>
              </w:rPr>
            </w:pPr>
            <w:r>
              <w:rPr>
                <w:rFonts w:ascii="Arial" w:cs="Arial" w:eastAsia="Arial" w:hAnsi="Arial"/>
                <w:sz w:val="18"/>
                <w:szCs w:val="18"/>
                <w:color w:val="auto"/>
              </w:rPr>
              <w:t>Proceeds from sale of common</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20"/>
              <w:spacing w:after="0"/>
              <w:rPr>
                <w:sz w:val="20"/>
                <w:szCs w:val="20"/>
                <w:color w:val="auto"/>
              </w:rPr>
            </w:pPr>
            <w:r>
              <w:rPr>
                <w:rFonts w:ascii="Arial" w:cs="Arial" w:eastAsia="Arial" w:hAnsi="Arial"/>
                <w:sz w:val="18"/>
                <w:szCs w:val="18"/>
                <w:color w:val="auto"/>
              </w:rPr>
              <w:t>stock, net of offering costs</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30,704</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200,909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200,909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common shares</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(443,041)</w:t>
            </w:r>
          </w:p>
        </w:tc>
        <w:tc>
          <w:tcPr>
            <w:tcW w:w="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1"/>
              </w:rPr>
              <w:t>(2,877,935)</w:t>
            </w:r>
          </w:p>
        </w:tc>
        <w:tc>
          <w:tcPr>
            <w:tcW w:w="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(2,877,935)</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15,481,497</w:t>
            </w:r>
          </w:p>
        </w:tc>
        <w:tc>
          <w:tcPr>
            <w:tcW w:w="3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51,098,613</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4,746,154</w:t>
            </w: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(274,266)</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55,570,501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(3,537,759)</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(3,546,511)</w:t>
            </w:r>
          </w:p>
        </w:tc>
        <w:tc>
          <w:tcPr>
            <w:tcW w:w="0" w:type="dxa"/>
            <w:vAlign w:val="bottom"/>
          </w:tcPr>
          <w:p>
            <w:pPr>
              <w:spacing w:after="0"/>
              <w:rPr>
                <w:sz w:val="1"/>
                <w:szCs w:val="1"/>
                <w:color w:val="auto"/>
              </w:rPr>
            </w:pPr>
          </w:p>
        </w:tc>
      </w:tr>
      <w:tr>
        <w:trPr>
          <w:trHeight w:val="229"/>
        </w:trPr>
        <w:tc>
          <w:tcPr>
            <w:tcW w:w="3020" w:type="dxa"/>
            <w:vAlign w:val="bottom"/>
          </w:tcPr>
          <w:p>
            <w:pPr>
              <w:ind w:left="220"/>
              <w:spacing w:after="0"/>
              <w:rPr>
                <w:sz w:val="20"/>
                <w:szCs w:val="20"/>
                <w:color w:val="auto"/>
              </w:rPr>
            </w:pPr>
            <w:r>
              <w:rPr>
                <w:rFonts w:ascii="Arial" w:cs="Arial" w:eastAsia="Arial" w:hAnsi="Arial"/>
                <w:sz w:val="18"/>
                <w:szCs w:val="18"/>
                <w:color w:val="auto"/>
                <w:w w:val="98"/>
              </w:rPr>
              <w:t>Repurchase of subsidiary shares to</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(685,805)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(114,195)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subsidiary shares to</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640,407</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359,593</w:t>
            </w: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8"/>
                <w:szCs w:val="18"/>
                <w:color w:val="auto"/>
              </w:rPr>
              <w:t>Vesting of common stock</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180,000</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862,200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862,200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225,536</w:t>
            </w: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1,485,898</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1,485,898</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8"/>
                <w:szCs w:val="18"/>
                <w:color w:val="auto"/>
              </w:rPr>
              <w:t>Repurchase of common shares</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(623,478)</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w w:val="91"/>
              </w:rPr>
              <w:t>(3,486,835)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(3,486,835)</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15,263,555</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8"/>
              </w:rPr>
              <w:t>49,914,478</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1,208,395</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(37,620)</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51,085,253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and gastroenterology.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and field sales forces in the United States and is establishing a network of international partners to bring its medicines to patients in their countries.</w:t>
      </w:r>
    </w:p>
    <w:p>
      <w:pPr>
        <w:spacing w:after="0" w:line="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spacing w:after="0" w:line="8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order to build a pipeline of early-stage product candidates, the Company formed a subsidiary, Cumberland Emerging Technologies, Inc. ("CET"), which teams with universities and other research organizations to help advance scientific discoveries from the laboratory to the marketplace. In 2014, the Company organized equity financing to recapitalize and strengthen the financial position of CET including an investment of approximately $1.0 million from Gloria Pharmaceuticals Co., Ltd. (“Gloria”). As a result, Gloria received shares in CET and joined the CET ownership group.</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Cumberland purchased additional CET shares through contribution of $0.3 million in cash and a conversion of $0.7 million in intercompany loans payable. Upon completion of the additional investment by WinHealth and Cumberland, Gloria Pharmaceuticals agreed to return its shares in CET in exchange for consideration of $0.8 million.</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ownership in CET is now 85%. As noted above, the ownership interests of CET includes WinHealth and Cumberland, while the remaining interest is owned by Vanderbilt University and the Tennessee Technology Development Corporation. The operating results of CET allocated to noncontrolling interests in the consolidated statements of operations were $8,752, $75,704 and $71,182 for the years ended December 31, 2019, 2018 and 2017, respectively.</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Effective January 1, 2007, the Company formed a wholly-owned subsidiary, Cumberland Pharma Sales Corp. ("CPSC"). CPSC is the subsidiary that employs the Company's hospital and field sales force personnel.</w:t>
      </w:r>
    </w:p>
    <w:p>
      <w:pPr>
        <w:spacing w:after="0" w:line="85" w:lineRule="exact"/>
        <w:rPr>
          <w:sz w:val="20"/>
          <w:szCs w:val="20"/>
          <w:color w:val="auto"/>
        </w:rPr>
      </w:pPr>
    </w:p>
    <w:p>
      <w:pPr>
        <w:ind w:left="340" w:right="8600" w:hanging="332"/>
        <w:spacing w:after="0" w:line="509" w:lineRule="auto"/>
        <w:tabs>
          <w:tab w:leader="none" w:pos="271"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color w:val="auto"/>
        </w:rPr>
        <w:t>Principles of Consolidation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consolidated financial statements of the Company are stated in U.S. dollars and are prepared using U.S. generally accepted accounting principles. These financial statements include the accounts of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wholly and majority-owned subsidiaries. All significant intercompany transactions and accounts have been eliminated in consolidation.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assumptions used in estimating acquisition date fair value of assets acquired in business combinations and (4) valuation of contingent consideration liability associated with business combinations.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$1.5 million, $2.1 million and $1.6 million for the years ended December 31, 2019, 2018 and 2017, respectively.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fair value hierarchy that prioritizes observable and unobservable inputs used to measure fair value into three broad levels is described below:</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58"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policies and procedures to value instruments using the best and most relevant data available. The following section describes the valuation methodologies we use to measure different financial instruments at fair value on a recurring basis.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financial instruments include cash and cash equivalents, marketable securities,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fair values of marketable securities are determined based on valuations provided by a third-party pricing service, as derived from such services' pricing models, and are considered either Level 1 or Level 2 measurements, depending on the nature of the investment. The Company has no marketable securities in which the fair value is determined based on Level 3. The level of management judgment required in evaluating fair value for Level 1 investments is minimal. Similarly, there is little subjectivity or judgment required for Level 2 investments valued using valuation models that are standard across the industry and whose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The Company believes that the valuations provided by the third-party pricing service, as derived from such services' pricing models, represent prices that would be received to sell the assets at the measurement date (exit prices).</w:t>
      </w:r>
    </w:p>
    <w:p>
      <w:pPr>
        <w:spacing w:after="0" w:line="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Cash and cash equivalents include highly liquid investments with original maturities of three months or less. As of December 31, 2019 and 2018, cash equivalents consist primarily of money market funds as well as trading securities with original maturities of less than ninety days.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invests in marketable debt securities in order to maximize its return on cash. Marketable securities consist of short-term cash investments, U.S. Treasury notes and bonds, corporate bonds, and commercial paper. At the time of purchase, the Company classifies marketable securities as either trading securities or available-for-sale securities, depending on the intent at that time. As of December 31, 2019 and 2018, marketable securities were comprised solely of trading securities. Trading securities are carried at fair value with unrealized gains and losses recognized as a component of interest income in the consolidated statements of operations. As of December 31, 2019, all the trading securities were commercial paper with original maturities of less than ninety days and as a result, were classified as cash equivalents.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Trade accounts receivable are recorded at the invoiced amount. The Company records allowances for amounts that could become uncollectible in the future based on historical experience, including amounts related to chargebacks, cash discounts and credits for damaged product. The Company reviews each customer balance to assess collection status.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credits claimed for damaged and expired product. The allowances in accounts receivable for chargebacks, cash discounts and damaged goods were $0.8 million at December 31, 2019 and $0.9 million at December 31, 2018.</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 conjunction with recognizing a sale to a wholesaler, revenues are reduced and accrued liabilities are increased by the Company’s estimate of the rebate that may be claimed as well as the reserves for expired and damaged goods.</w:t>
      </w:r>
    </w:p>
    <w:p>
      <w:pPr>
        <w:spacing w:after="0" w:line="89" w:lineRule="exact"/>
        <w:rPr>
          <w:sz w:val="20"/>
          <w:szCs w:val="20"/>
          <w:color w:val="auto"/>
        </w:rPr>
      </w:pPr>
    </w:p>
    <w:p>
      <w:pPr>
        <w:ind w:left="340" w:right="340"/>
        <w:spacing w:after="0" w:line="422" w:lineRule="auto"/>
        <w:rPr>
          <w:sz w:val="20"/>
          <w:szCs w:val="20"/>
          <w:color w:val="auto"/>
        </w:rPr>
      </w:pPr>
      <w:r>
        <w:rPr>
          <w:rFonts w:ascii="Arial" w:cs="Arial" w:eastAsia="Arial" w:hAnsi="Arial"/>
          <w:sz w:val="18"/>
          <w:szCs w:val="18"/>
          <w:color w:val="auto"/>
        </w:rPr>
        <w:t xml:space="preserve">Cash discounts are reductions to invoiced amounts offered to customers for payment within a specified period of time from the date of the invoice. </w:t>
      </w:r>
      <w:r>
        <w:rPr>
          <w:rFonts w:ascii="Arial" w:cs="Arial" w:eastAsia="Arial" w:hAnsi="Arial"/>
          <w:sz w:val="18"/>
          <w:szCs w:val="18"/>
          <w:b w:val="1"/>
          <w:bCs w:val="1"/>
          <w:i w:val="1"/>
          <w:iCs w:val="1"/>
          <w:color w:val="auto"/>
        </w:rPr>
        <w:t>Inventories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As discussed below, effective January 1, 2017, inventories are stated at the lower of cost or net realizable value with cost determined using the first-in, first-out method.</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 The Company classifies the Vibativ inventories that it does not expect to sell within one year as non-current inventories.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and Other Current Assets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spacing w:after="0" w:line="8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Deferred offering costs are expenses directly related to the Form S-3 or Shelf Registration filed with the SEC on November 11, 2017 and declared effective on January 16, 2018. These costs consist of legal, accounting, printing, and filing fees that the Company has capitalized. Deferred costs associated with the Shelf Registration will be reclassified to additional paid in capital on a pro-rata basis as the Company completes sales of shares under the Shelf Registration, with any remaining deferred offering costs to be charged to the results of operations at the end of the three-year life of the Shelf Registration. During the year ended December 31, 2019, the Company has not expensed any deferred offering costs associated with the Shelf Registration.</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income (loss) in the consolidated statement of operations. Improvements that extend an asset’s useful life are capitalized. Repairs and maintenance costs are expensed as incurred.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and Goodwill</w:t>
      </w:r>
    </w:p>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intangible assets and goodwill consist of capitalized costs related to product and license rights, patents, trademarks and goodwill obtained in the Vibativ acquisition. Goodwill is not amortized for financial reporting purposes, but is subject to impairment analysis at least annually.</w:t>
      </w:r>
    </w:p>
    <w:p>
      <w:pPr>
        <w:spacing w:after="0" w:line="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and as well as management's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 such determination is made. All costs associated with obtaining patents for products that have not been approved for marketing by the FDA are expensed as incurred.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is recognized ratably over the following periods:</w:t>
      </w:r>
    </w:p>
    <w:p>
      <w:pPr>
        <w:sectPr>
          <w:pgSz w:w="11900" w:h="16838" w:orient="portrait"/>
          <w:cols w:equalWidth="0" w:num="1">
            <w:col w:w="11240"/>
          </w:cols>
          <w:pgMar w:left="320" w:top="364" w:right="339" w:bottom="1440" w:gutter="0" w:footer="0" w:header="0"/>
        </w:sectPr>
      </w:pPr>
    </w:p>
    <w:p>
      <w:pPr>
        <w:spacing w:after="0" w:line="212"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Product rights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Estimated economic life</w:t>
      </w:r>
    </w:p>
    <w:p>
      <w:pPr>
        <w:spacing w:after="0" w:line="86" w:lineRule="exact"/>
        <w:rPr>
          <w:sz w:val="20"/>
          <w:szCs w:val="20"/>
          <w:color w:val="auto"/>
        </w:rPr>
      </w:pPr>
    </w:p>
    <w:p>
      <w:pPr>
        <w:sectPr>
          <w:pgSz w:w="11900" w:h="16838" w:orient="portrait"/>
          <w:cols w:equalWidth="0" w:num="2">
            <w:col w:w="5080" w:space="720"/>
            <w:col w:w="5440"/>
          </w:cols>
          <w:pgMar w:left="320" w:top="364" w:right="33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License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Term of license agreement</w:t>
      </w:r>
    </w:p>
    <w:p>
      <w:pPr>
        <w:spacing w:after="0" w:line="97" w:lineRule="exact"/>
        <w:rPr>
          <w:sz w:val="20"/>
          <w:szCs w:val="20"/>
          <w:color w:val="auto"/>
        </w:rPr>
      </w:pPr>
    </w:p>
    <w:p>
      <w:pPr>
        <w:sectPr>
          <w:pgSz w:w="11900" w:h="16838" w:orient="portrait"/>
          <w:cols w:equalWidth="0" w:num="2">
            <w:col w:w="5080" w:space="720"/>
            <w:col w:w="5440"/>
          </w:cols>
          <w:pgMar w:left="320" w:top="364" w:right="339" w:bottom="1440" w:gutter="0" w:footer="0" w:header="0"/>
          <w:type w:val="continuous"/>
        </w:sectPr>
      </w:pPr>
    </w:p>
    <w:p>
      <w:pPr>
        <w:ind w:left="2100"/>
        <w:spacing w:after="0"/>
        <w:rPr>
          <w:sz w:val="20"/>
          <w:szCs w:val="20"/>
          <w:color w:val="auto"/>
        </w:rPr>
      </w:pPr>
      <w:r>
        <w:rPr>
          <w:rFonts w:ascii="Arial" w:cs="Arial" w:eastAsia="Arial" w:hAnsi="Arial"/>
          <w:sz w:val="15"/>
          <w:szCs w:val="15"/>
          <w:color w:val="auto"/>
        </w:rPr>
        <w:t>Patents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Life of patent</w:t>
      </w:r>
    </w:p>
    <w:p>
      <w:pPr>
        <w:spacing w:after="0" w:line="200" w:lineRule="exact"/>
        <w:rPr>
          <w:sz w:val="20"/>
          <w:szCs w:val="20"/>
          <w:color w:val="auto"/>
        </w:rPr>
      </w:pPr>
    </w:p>
    <w:p>
      <w:pPr>
        <w:sectPr>
          <w:pgSz w:w="11900" w:h="16838" w:orient="portrait"/>
          <w:cols w:equalWidth="0" w:num="2">
            <w:col w:w="5080" w:space="720"/>
            <w:col w:w="5440"/>
          </w:cols>
          <w:pgMar w:left="320" w:top="364" w:right="339" w:bottom="1440" w:gutter="0" w:footer="0" w:header="0"/>
          <w:type w:val="continuous"/>
        </w:sectPr>
      </w:pP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Long-lived assets, such as property and equipment, operating lease right-of-use assets and intangible assets subject to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As a result, the Vibativ component of the Company is the reporting unit evaluated for goodwill impairment. Cumberland determined the fair value of the reporting unit through current and future estimated revenue and profitability of the product. The Company recorded no impairment charges during 2019, 2018 and 2017.</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Effective January 1, 2018, the Company adopted the Financial Accounting Standards Board’s (“FASB”) amended guidance in the form of Accounting Standards Update (“ASU”) No. 2014-09, "Revenue from Contracts with Customers," (ASC 606). Results for reporting periods beginning after January 1, 2018 are presented under ASC 606, while prior period amounts were not adjusted and are reported in accordance with ASC 605.</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Revenues from product sales are recognized in the amount that reflects the consideration that we expect to receive for these goods. Depending upon the shipping terms of the transaction, the revenue is recognized.at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Rebates and Discounts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allowances against accounts receivable for chargebacks, discounts, expired and damaged goods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credits claimed for damaged and expired product.</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sales revenues are reduced and accrued liabilities are increased by the Company’s estimate of the rebate that may be claimed.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Returns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expected to impact future returns. Any changes in the assumptions used to estimate the provision for returns are recognized in the period those assumptions are changed.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Revenues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revenues primarily consist of income from grant funding programs, licensing agreements, leases and contract services. Revenue related to grants is recognized when all conditions related to such grants have been met. All other revenue is recognized when earned.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marketing expense consists primarily of expenses relating to the advertising, promotion, distribution and sale of products, including royalty expense, salaries and related costs.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Costs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 costs are expensed as incurred and are included as a component of selling and marketing expenses in the consolidated statements of operations. Distribution costs were as follows for the years ended December 31:</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4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9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794,317</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618,756</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621,142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as incurred and are included as a component of selling and marketing expenses in the consolidated statements of operations. Advertising costs were as follows for the years ended December 31:</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4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9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2,690,280</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2,219,074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2,589,185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are comprised mainly of clinical trial expenses, salaries, wages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associated with an income tax position in which it is “more likely than not” that the position would be sustained upon examination by the taxing authorities.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policy with respect to interest and penalties arising from income tax settlements is to recognize them as part of the provision for income taxes.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comprehensive income (loss) was comprised solely of net income (loss) for all periods presented.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Basic earnings (loss) per share is calculated by dividing net income (loss) attributable to common shareholders by the weighted-average number of shares outstanding. Except where the result would be antidilutive to income from continuing operations, diluted earnings (loss) per share is calculated by assuming the vesting of unvested restricted stock and the exercise of stock options and warrants and unrecognized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Collaborative Agreements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is a party to several collaborative arrangements with certain research institutions to identify and pursue promising preclinical pharmaceutical product candidates. The Company has determined these collaborative agreements do not meet the criteria for accounting under Accounting Standards Codification 808, Collaborative Agreements. The agreements do not specifically designate each party's rights and obligations to each other under the collaborative arrangements. Except for patent defense costs, expenses incurred by one party are not required to be reimbursed by the other party. The funding for these programs is generally provided through private sector investments or federal Small Business Administration ("SBIR/STTR") grant programs. Expenses incurred under these collaborative agreements are included in research and development expenses in the consolidated statements of operations. Funding received from private sector investments and grants are recorded as net revenues in the consolidated statements of operations.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 of prior period amounts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made certain reclassifications to prior period amounts to conform to the current-year presentation of the reporting of research and development expense and general and administrative expense on the consolidated statements of operations. Certain costs and expenses related to research and development were previously reported as general and administrative expenses on the consolidated statements of operations. These reclassifications have no effect on the reported operating loss or equity for the years ended December 31, 2018 and 2017.</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Adopted Accounting Pronouncements</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May 2014, the FASB issued amended guidance in the form of ASU No. 2014-09, “Revenue from Contracts with Customers” (“ASC 606”). The core principle of the new guidance is to recognize revenues when promised goods or services are transferred to customers in an amount that reflects the consideration to which an entity expects to be entitled for those goods or services. The new guidance defines a five-step process to achieve this core principle and, in doing so, additional judgments and estimates may be required within the revenue recognition process. The new standard replaced most of the existing revenue recognition standards in U.S. GAAP when it became effective. In July 2015, the FASB issued a one-year deferral of the adoption date, which extended the effective date for us to January 1, 2018, at which point Cumberland adopted the standard.</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evaluated its revenues and the new guidance had immaterial impacts to recognition practices upon adoption on January 1, 2018. As part of the adoption, the Company elected to apply the new guidance on a modified retrospective basis. The Company did not record a cumulative effect adjustment to historical retained earnings for initially applying the new guidance as no revenue recognition differences were identified in the timing or amount of revenue.</w:t>
      </w:r>
    </w:p>
    <w:p>
      <w:pPr>
        <w:spacing w:after="0" w:line="10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February 2016, the Financial Accounting Standards Board ("FASB") issued guidance in the form of a FASB Accounting Standards Update ("ASU") No. 2016-02, “Leases.” The new standard establishes a right-of-use (“ROU”) model that requires a lessee to record an ROU asset and a lease liability on the balance sheet for all leases with terms longer than twelve months. Leases will be classified as either finance (formerly "capital leases")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with classification affecting the pattern of expense recognition in the income statement. The standard provides for a modified retrospective transition approach for lessees for capital and operating leases existing at, or entered into after, the beginning of the earliest comparative period presented in the financial statements, with certain optional practical expedients. In July 2018, the FASB issued ASU 2018-11, "Leases: Targeted Improvements", allowing for an alternative transition method (the effective date approach). It allows an entity to initially apply the new lease guidance at the adoption date (rather than at the beginning of the earliest period presented). Cumberland adopted the lease guidance effective January 1, 2019 using the package of transition practical expedients. This allowed the Company to retain the lease classification for any leases existing prior to adoption, in addition to other benefits. See additional discussion of the impact of adopting the lease accounting guidance in Note 15.</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more information, including the information they use to track credit quality by year of origination for most financing receivables. Companies will apply the standard’s provisions as a cumulative-effect adjustment to retained earnings as of the beginning of the first reporting period in which the guidance is adopted. This standard is effective for the Company on January 1, 2020. The Company continues to evaluate this new standard on its trade and other receivables but does not expect a material impact on its consolidated financial statements.</w:t>
      </w:r>
    </w:p>
    <w:p>
      <w:pPr>
        <w:spacing w:after="0" w:line="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the election must be applied on an instrument-by-instrument basis, and the election is not available for either available-for-sale or held-to-maturity debt securities. The effective date is the same as ASU 2016-13, January 1, 2020. The Company continues to evaluate this new standard but does not expect a material impact on its consolidated financial statements.</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The new standard will be effective for the Company on January 1, 2020. The Company continues to evaluate this new standard but does not expect a material impact on its consolidated financial statements.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will be effective for the Company on January 1, 2020. The Company continues to evaluate this new standard but does not expect a material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 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Vibativ</w:t>
      </w:r>
      <w:r>
        <w:rPr>
          <w:rFonts w:ascii="Arial" w:cs="Arial" w:eastAsia="Arial" w:hAnsi="Arial"/>
          <w:sz w:val="23"/>
          <w:szCs w:val="23"/>
          <w:b w:val="1"/>
          <w:bCs w:val="1"/>
          <w:color w:val="auto"/>
          <w:vertAlign w:val="superscript"/>
        </w:rPr>
        <w:t>®</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Omeclamox-Pak</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2018, Cumberland completed an agreement with Gasto-enterlogics Inc. ("GEL") to acquire the remaining product rights associated with Omeclamox-Pak including the product’s FDA-approved New Drug Application and the domestic and international trademarks. As part of the transaction, which was accounted for as an asset acquisition, Cumberland paid $2.3 million during 2018 and ended Cumberland’s payments of royalties and manufacturing fees to GEL. The Company has now assumed responsibility for the maintenance of the product’s FDA approval and for the oversight of the product’s manufacturing and packaging.</w:t>
      </w:r>
    </w:p>
    <w:p>
      <w:pPr>
        <w:spacing w:after="0" w:line="9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This agreement follows the November 2015 agreement between Cumberland and GEL to assume the remaining commercial rights to Omeclamox-Pak for the United States. The Company had previously signed an agreement with Pernix Therapeutics ("Pernix") to jointly commercialize the product in the United States in October 2013. As part of the November 2015 GEL Agreement, Cumberland and Pernix terminated their arrangements.</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$4.0 million upfront payment that the Company paid in October 2013 to Pernix along with the payments made to GEL during 2018 are included in product and license rights and are being amortized over the remaining expected useful life of the acquired asset. The Company evaluated the remaining expected useful life and maintained the existing estimated life of the product, June 2032. Omeclamox-Pak contributed $0.8 million, $0.6 million, and $1.8 million in net revenues during 2019, 2018, and 2017, respectively.</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RediTrex</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November 2016, the Company announced an Agreement to acquire the exclusive U.S. rights to Nordic Group B.V.’s ("Nordic") injectable methotrexate product line as an asset purchase. The products are designed for the treatment of active rheumatoid arthritis, juvenile idiopathic arthritis, severe psoriatic arthritis, and severe disabling psoriasis.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terms of the Agreement, Cumberland is responsible for the products’ FDA submission and registration. As consideration for the license, at closing, Cumberland paid a deposit of $100,000. The Company also recorded a liability of $0.9 million that will be settled through 180,000 unvested restricted shares of Cumberland common stock that vest upon the FDA approval of the first Nordic product. Cumberland also agreed to provide Nordic a series of payments tied to the products’ FDA approval, launch and achievement of certain sales milestones. Nordic is responsible for manufacturing and supply of the products.</w:t>
      </w:r>
    </w:p>
    <w:p>
      <w:pPr>
        <w:spacing w:after="0" w:line="10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November 27, 2019, Cumberland received FDA approval of the pre-filled syringe. The 180,000 shares of restricted Cumberland common stock vested and were valued at $0.9 million on the vesting date. In addition, the FDA approval resulted in an additional $1.0 million liability to Nordic that will be paid during 2020. The value of the then unvested restricted Cumberland common stock shares was a liability of $1.1 million at December 31, 2018.</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Vibativ</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Cumberland expects to deduct the goodwill acquired in the acquisition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Cumberland has accounted for the transaction as a business combination in accordance with ASC 805 and the product sales are included in the results of operations subsequent to the acquisition date. The Company paid an upfront payment of $20.0 million at closing and a $5.0 million cash payment during early 2019. In addition, Cumberland agreed to pay a royalty of up to 20% on future net sales of the product. The future royalty payments were required to be recognized at their acquisition-date fair value as part of the contingent consideration transferred in the business combination.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initial payments and consideration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08088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080885" cy="17145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Consideration: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20,000,000</w:t>
            </w:r>
          </w:p>
        </w:tc>
      </w:tr>
      <w:tr>
        <w:trPr>
          <w:trHeight w:val="27"/>
        </w:trPr>
        <w:tc>
          <w:tcPr>
            <w:tcW w:w="8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 during early 2019</w:t>
            </w:r>
          </w:p>
        </w:tc>
        <w:tc>
          <w:tcPr>
            <w:tcW w:w="9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5,000,000</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Fair value of contingent consideration - net sales royalty</w:t>
            </w:r>
          </w:p>
        </w:tc>
        <w:tc>
          <w:tcPr>
            <w:tcW w:w="96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9,182,000</w:t>
            </w:r>
          </w:p>
        </w:tc>
      </w:tr>
      <w:tr>
        <w:trPr>
          <w:trHeight w:val="27"/>
        </w:trPr>
        <w:tc>
          <w:tcPr>
            <w:tcW w:w="8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34,182,000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contingent consideration liability represents the future net sales royalty payments discussed above. Cumberland prepared the valuations of the contingent consideration liability and the intangible assets utilizing significant unobservable inputs. As a result, the valuations are classified as Level 3 fair value measurements. The Company will continue to evaluate the assets acquired and liabilities assumed during the measurement period.</w:t>
      </w:r>
    </w:p>
    <w:p>
      <w:pPr>
        <w:spacing w:after="0" w:line="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the changes in the Company's Level 3 contingent consideration liability that is measured at fair value on a recurring basis. The current and long-term portions of this liability are disclosed in Note 8. The contingent consideration earned and accrued in operating expenses is paid to the seller quarterly.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Contingent consideration</w:t>
            </w:r>
          </w:p>
        </w:tc>
      </w:tr>
      <w:tr>
        <w:trPr>
          <w:trHeight w:val="234"/>
        </w:trPr>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jc w:val="right"/>
              <w:ind w:right="83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12,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9,034,000</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(40,000)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508,000</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9,502,000</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to initial fair value of the contingent consideration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148,000</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18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(1,033,108)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(804,167)</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Pr>
          <w:p>
            <w:pPr>
              <w:spacing w:after="0"/>
              <w:rPr>
                <w:sz w:val="21"/>
                <w:szCs w:val="21"/>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820,864</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8,633,589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allocation of the fair values of the assets acquired as of the acquisition date for Vibativ:</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6,624,000</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Work in process - unlabeled vials</w:t>
            </w:r>
          </w:p>
        </w:tc>
        <w:tc>
          <w:tcPr>
            <w:tcW w:w="1340" w:type="dxa"/>
            <w:vAlign w:val="bottom"/>
          </w:tcPr>
          <w:p>
            <w:pPr>
              <w:spacing w:after="0"/>
              <w:rPr>
                <w:sz w:val="21"/>
                <w:szCs w:val="21"/>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3,970,000</w:t>
            </w:r>
          </w:p>
        </w:tc>
      </w:tr>
      <w:tr>
        <w:trPr>
          <w:trHeight w:val="27"/>
        </w:trPr>
        <w:tc>
          <w:tcPr>
            <w:tcW w:w="6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 - validation vials</w:t>
            </w:r>
          </w:p>
        </w:tc>
        <w:tc>
          <w:tcPr>
            <w:tcW w:w="1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1,827,000</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1340" w:type="dxa"/>
            <w:vAlign w:val="bottom"/>
          </w:tcPr>
          <w:p>
            <w:pPr>
              <w:spacing w:after="0"/>
              <w:rPr>
                <w:sz w:val="21"/>
                <w:szCs w:val="21"/>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9,129,000</w:t>
            </w:r>
          </w:p>
        </w:tc>
      </w:tr>
      <w:tr>
        <w:trPr>
          <w:trHeight w:val="27"/>
        </w:trPr>
        <w:tc>
          <w:tcPr>
            <w:tcW w:w="62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9"/>
        </w:trPr>
        <w:tc>
          <w:tcPr>
            <w:tcW w:w="6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inventory</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21,550,000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Intellectual property amortizable intangible assets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11,750,000</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340" w:type="dxa"/>
            <w:vAlign w:val="bottom"/>
          </w:tcPr>
          <w:p>
            <w:pPr>
              <w:spacing w:after="0"/>
              <w:rPr>
                <w:sz w:val="21"/>
                <w:szCs w:val="21"/>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882,000</w:t>
            </w:r>
          </w:p>
        </w:tc>
      </w:tr>
      <w:tr>
        <w:trPr>
          <w:trHeight w:val="27"/>
        </w:trPr>
        <w:tc>
          <w:tcPr>
            <w:tcW w:w="62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3"/>
        </w:trPr>
        <w:tc>
          <w:tcPr>
            <w:tcW w:w="6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intangibles and goodwill</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12,632,000</w:t>
            </w:r>
          </w:p>
        </w:tc>
      </w:tr>
      <w:tr>
        <w:trPr>
          <w:trHeight w:val="237"/>
        </w:trPr>
        <w:tc>
          <w:tcPr>
            <w:tcW w:w="6260" w:type="dxa"/>
            <w:vAlign w:val="bottom"/>
          </w:tcPr>
          <w:p>
            <w:pPr>
              <w:ind w:left="420"/>
              <w:spacing w:after="0"/>
              <w:rPr>
                <w:sz w:val="20"/>
                <w:szCs w:val="20"/>
                <w:color w:val="auto"/>
              </w:rPr>
            </w:pPr>
            <w:r>
              <w:rPr>
                <w:rFonts w:ascii="Arial" w:cs="Arial" w:eastAsia="Arial" w:hAnsi="Arial"/>
                <w:sz w:val="18"/>
                <w:szCs w:val="18"/>
                <w:color w:val="auto"/>
              </w:rPr>
              <w:t>Total assets acquired</w:t>
            </w: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34,182,000</w:t>
            </w:r>
          </w:p>
        </w:tc>
      </w:tr>
      <w:tr>
        <w:trPr>
          <w:trHeight w:val="27"/>
        </w:trPr>
        <w:tc>
          <w:tcPr>
            <w:tcW w:w="62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
        </w:trPr>
        <w:tc>
          <w:tcPr>
            <w:tcW w:w="6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6"/>
          <w:szCs w:val="16"/>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 The current portion of the contingent consideration liability is $2.4 million and the non-current portion is $6.3 million, as of December 31, 2019.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product revenues consisted of the following for the years ended December 31:</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Products: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Acetadote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3,824,449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4,284,111</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6,576,720</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Omeclamox-Pak</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837,829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623,297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1,761,868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Kristalose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12,895,120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12,055,625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11,455,805</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Vaprisol</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936,615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1,763,874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1,576,222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Caldolor</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5,222,281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5,001,997</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4,178,443</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Ethyol</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12,774,831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10,545,906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10,835,038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Totect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369,912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850,965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3,992,467</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Vibativ</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8,691,550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5,075,057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Total net product revenues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45,552,587</w:t>
            </w:r>
          </w:p>
        </w:tc>
        <w:tc>
          <w:tcPr>
            <w:tcW w:w="1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40,200,832</w:t>
            </w:r>
          </w:p>
        </w:tc>
        <w:tc>
          <w:tcPr>
            <w:tcW w:w="1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40,376,563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Revenues</w:t>
      </w:r>
    </w:p>
    <w:p>
      <w:pPr>
        <w:spacing w:after="0" w:line="13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2019, Cumberland executed a License and Distribution agreement with HongKong WinHealth Pharma Group Co. Limited (“WinHealth”) for our Caldolor and Acetadote brands in China and Hong Kong. In conjunction with these new arrangements, the Company terminated a previous License and Distribution agreement with Gloria Pharmaceuticals Co ("Gloria Pharmaceuticals") for the two brands. In addition, we also signed a new License and Distribution agreement with DB Pharm Korea Co., Ltd. (“DB Pharm”) for Vibativ in South Korea. As a result of these agreements, Cumberland recognized approximately $0.3 million of non-refundable up-front payments as other revenue in the consolidated statement of operations during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has entered into agreements, beginning in 2012, with international partners for commercialization of the Company's products. The international agreements provide that each of the partners are responsible for seeking regulatory approvals for the products, and following approvals, each partner will handle ongoing distribution and sales in the respective international territories. The Company maintains responsibility for the intellectual property and product formulations. Under the international agreements, the Company is entitled to receive non-refundable up-front payments at the time the agreements are entered into and payments upon the partners' achievement of defined regulatory approvals and sales milestones. The Company will recognize revenue for these achievements once it is probable that these consideration amounts are no longer constrained. The Company is also entitled to receive royalties on future sales of the products under the agreements. The international agreements provide for $1.0 million in non-refundable up-front payments, milestone payments of up to $2.2 million related to regulatory approvals and up to $4.8 million in payments related to product sales. From 2012 through December 31, 2019, the Company has recognized a cumulative $1.2 million in upfront payments as other revenue and has recognized $0.1 million in revenue related to the milestone payments associated with these international agreements.</w:t>
      </w:r>
    </w:p>
    <w:p>
      <w:pPr>
        <w:spacing w:after="0" w:line="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revenues during 2019, 2018 and 2017 also includes revenue generated by CET through grant funding from federal Small Business grant programs, and lease income generated by CET’s Life Sciences Center and contract services. The Life Sciences Center is a research center that provides scientists with access to flexible lab space and other resources to develop biomedical products. Grant revenue from SBIR/STTR programs totaled approximately $1.3 million, $0.1 million, and $0.2 million for the years ending December 31, 2019, 2018 and 2017,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inventories consisted of the following as of December 31:</w:t>
      </w:r>
    </w:p>
    <w:p>
      <w:pPr>
        <w:spacing w:after="0" w:line="185"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w:t>
            </w: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2"/>
        </w:trPr>
        <w:tc>
          <w:tcPr>
            <w:tcW w:w="6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19,345,723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18,378,450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416,468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937,006</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 net of reserve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5,204,321</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8,511,887</w:t>
            </w:r>
          </w:p>
        </w:tc>
      </w:tr>
      <w:tr>
        <w:trPr>
          <w:trHeight w:val="237"/>
        </w:trPr>
        <w:tc>
          <w:tcPr>
            <w:tcW w:w="606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24,966,513</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27,827,343</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non-current inventories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(15,554,992)</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(15,749,000)</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9,411,521</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12,078,343</w:t>
            </w: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 At December 31, 2019 and 2018, the Company had recognized and maintained cumulative charges for potential obsolescence and discontinuance losses of approximately $0.1 million and $0.3 million, respectively. At December 31, 2019 there were no cumulative obsolescence or discontinuance losses necessary.</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acquisition of certain product rights related to the Kristalose brand, the Company is responsible for the purchase of the active pharmaceutical ingredient ("API") for Kristalose and maintains the inventory at the third-party packagers. As the API is consumed in production, the value of the API is transferred from raw materials to finished goods. API for the Company's Vaprisol brand is also included in the raw materials inventory total at December 31, 2019 and 2018. Consigned inventory represents Authorized Generic inventory stored with Perrigo until shipment.</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part of the Vibativ acquisition, Cumberland acquired API and work in process inventories of $15.7 million that are classified as non-current inventories at December 31, 2018. At December 31, 2019, the Vibativ non-current inventory was $15.3 million. Although the Company did not have any finished goods included in the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at December 31, 2019, we had $0.8 million in Vibativ finished goods included at December 31, 2018. During 2019, Cumberland also obtained $0.3 million in non-current inventory for API related to its ifetroban clinical initiatives.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at December 31:</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Range of</w:t>
            </w:r>
          </w:p>
        </w:tc>
        <w:tc>
          <w:tcPr>
            <w:tcW w:w="420" w:type="dxa"/>
            <w:vAlign w:val="bottom"/>
          </w:tcPr>
          <w:p>
            <w:pPr>
              <w:spacing w:after="0"/>
              <w:rPr>
                <w:sz w:val="16"/>
                <w:szCs w:val="16"/>
                <w:color w:val="auto"/>
              </w:rPr>
            </w:pPr>
          </w:p>
        </w:tc>
        <w:tc>
          <w:tcPr>
            <w:tcW w:w="1380" w:type="dxa"/>
            <w:vAlign w:val="bottom"/>
            <w:vMerge w:val="restart"/>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vMerge w:val="restart"/>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useful lives</w:t>
            </w: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62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3 – 5 years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1,260,630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1,148,140</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Office equipment</w:t>
            </w:r>
          </w:p>
        </w:tc>
        <w:tc>
          <w:tcPr>
            <w:tcW w:w="2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 – 15 years</w:t>
            </w: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878,350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809,153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5 – 15 years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646,505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639,267</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3 – 15 years, or</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remaining lease term</w:t>
            </w:r>
          </w:p>
        </w:tc>
        <w:tc>
          <w:tcPr>
            <w:tcW w:w="4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1,356,640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1,299,363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property and</w:t>
            </w:r>
          </w:p>
        </w:tc>
        <w:tc>
          <w:tcPr>
            <w:tcW w:w="2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4,142,125</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3,895,923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gross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8"/>
                <w:szCs w:val="18"/>
                <w:color w:val="auto"/>
              </w:rPr>
              <w:t>(3,394,329)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8"/>
                <w:szCs w:val="18"/>
                <w:color w:val="auto"/>
              </w:rPr>
              <w:t>(3,124,710)</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amortization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property and</w:t>
            </w:r>
          </w:p>
        </w:tc>
        <w:tc>
          <w:tcPr>
            <w:tcW w:w="2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747,796</w:t>
            </w:r>
          </w:p>
        </w:tc>
        <w:tc>
          <w:tcPr>
            <w:tcW w:w="1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771,213</w:t>
            </w:r>
          </w:p>
        </w:tc>
        <w:tc>
          <w:tcPr>
            <w:tcW w:w="0" w:type="dxa"/>
            <w:vAlign w:val="bottom"/>
          </w:tcPr>
          <w:p>
            <w:pPr>
              <w:spacing w:after="0"/>
              <w:rPr>
                <w:sz w:val="1"/>
                <w:szCs w:val="1"/>
                <w:color w:val="auto"/>
              </w:rPr>
            </w:pPr>
          </w:p>
        </w:tc>
      </w:tr>
      <w:tr>
        <w:trPr>
          <w:trHeight w:val="222"/>
        </w:trPr>
        <w:tc>
          <w:tcPr>
            <w:tcW w:w="362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equipment, net</w:t>
            </w:r>
          </w:p>
        </w:tc>
        <w:tc>
          <w:tcPr>
            <w:tcW w:w="2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Depreciation expense, including amortization expense related to leasehold improvements, is included in general and administrative expense in the consolidated statements of operations. Depreciation expense was as follows for the years ended December 31:</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27"/>
        </w:trPr>
        <w:tc>
          <w:tcPr>
            <w:tcW w:w="3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42"/>
        </w:trPr>
        <w:tc>
          <w:tcPr>
            <w:tcW w:w="3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9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269,619</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213,237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211,532</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(7) Intangible Assets and Goodwill</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Intangible assets and Goodwill consisted of the following at December 31:</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8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8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0"/>
        </w:trPr>
        <w:tc>
          <w:tcPr>
            <w:tcW w:w="80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and license rights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37,400,742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36,573,941</w:t>
            </w:r>
          </w:p>
        </w:tc>
      </w:tr>
      <w:tr>
        <w:trPr>
          <w:trHeight w:val="243"/>
        </w:trPr>
        <w:tc>
          <w:tcPr>
            <w:tcW w:w="800" w:type="dxa"/>
            <w:vAlign w:val="bottom"/>
          </w:tcPr>
          <w:p>
            <w:pPr>
              <w:spacing w:after="0"/>
              <w:rPr>
                <w:sz w:val="21"/>
                <w:szCs w:val="21"/>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(11,499,141)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(8,405,188)</w:t>
            </w:r>
          </w:p>
        </w:tc>
      </w:tr>
      <w:tr>
        <w:trPr>
          <w:trHeight w:val="27"/>
        </w:trPr>
        <w:tc>
          <w:tcPr>
            <w:tcW w:w="80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0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product and license rights</w:t>
            </w: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25,901,601</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28,168,753</w:t>
            </w:r>
          </w:p>
        </w:tc>
      </w:tr>
      <w:tr>
        <w:trPr>
          <w:trHeight w:val="237"/>
        </w:trPr>
        <w:tc>
          <w:tcPr>
            <w:tcW w:w="8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Patents</w:t>
            </w: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9,882,511</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9,428,266</w:t>
            </w:r>
          </w:p>
        </w:tc>
      </w:tr>
      <w:tr>
        <w:trPr>
          <w:trHeight w:val="27"/>
        </w:trPr>
        <w:tc>
          <w:tcPr>
            <w:tcW w:w="8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00" w:type="dxa"/>
            <w:vAlign w:val="bottom"/>
          </w:tcPr>
          <w:p>
            <w:pPr>
              <w:spacing w:after="0"/>
              <w:rPr>
                <w:sz w:val="23"/>
                <w:szCs w:val="23"/>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(5,127,878)</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(4,087,273)</w:t>
            </w:r>
          </w:p>
        </w:tc>
      </w:tr>
      <w:tr>
        <w:trPr>
          <w:trHeight w:val="237"/>
        </w:trPr>
        <w:tc>
          <w:tcPr>
            <w:tcW w:w="800" w:type="dxa"/>
            <w:vAlign w:val="bottom"/>
          </w:tcPr>
          <w:p>
            <w:pPr>
              <w:spacing w:after="0"/>
              <w:rPr>
                <w:sz w:val="20"/>
                <w:szCs w:val="20"/>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Total patents</w:t>
            </w: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4,754,633</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5,340,993</w:t>
            </w:r>
          </w:p>
        </w:tc>
      </w:tr>
      <w:tr>
        <w:trPr>
          <w:trHeight w:val="27"/>
        </w:trPr>
        <w:tc>
          <w:tcPr>
            <w:tcW w:w="80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80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273,110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154,373</w:t>
            </w:r>
          </w:p>
        </w:tc>
      </w:tr>
      <w:tr>
        <w:trPr>
          <w:trHeight w:val="243"/>
        </w:trPr>
        <w:tc>
          <w:tcPr>
            <w:tcW w:w="800" w:type="dxa"/>
            <w:vAlign w:val="bottom"/>
          </w:tcPr>
          <w:p>
            <w:pPr>
              <w:spacing w:after="0"/>
              <w:rPr>
                <w:sz w:val="21"/>
                <w:szCs w:val="21"/>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(9,020)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(9,020)</w:t>
            </w:r>
          </w:p>
        </w:tc>
      </w:tr>
      <w:tr>
        <w:trPr>
          <w:trHeight w:val="27"/>
        </w:trPr>
        <w:tc>
          <w:tcPr>
            <w:tcW w:w="80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80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trademarks</w:t>
            </w: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264,090</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145,353</w:t>
            </w:r>
          </w:p>
        </w:tc>
      </w:tr>
      <w:tr>
        <w:trPr>
          <w:trHeight w:val="237"/>
        </w:trPr>
        <w:tc>
          <w:tcPr>
            <w:tcW w:w="800" w:type="dxa"/>
            <w:vAlign w:val="bottom"/>
          </w:tcPr>
          <w:p>
            <w:pPr>
              <w:spacing w:after="0"/>
              <w:rPr>
                <w:sz w:val="20"/>
                <w:szCs w:val="20"/>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Total intangible assets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30,920,324</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33,655,099</w:t>
            </w:r>
          </w:p>
        </w:tc>
      </w:tr>
      <w:tr>
        <w:trPr>
          <w:trHeight w:val="27"/>
        </w:trPr>
        <w:tc>
          <w:tcPr>
            <w:tcW w:w="8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43"/>
        </w:trPr>
        <w:tc>
          <w:tcPr>
            <w:tcW w:w="800" w:type="dxa"/>
            <w:vAlign w:val="bottom"/>
          </w:tcPr>
          <w:p>
            <w:pPr>
              <w:spacing w:after="0"/>
              <w:rPr>
                <w:sz w:val="21"/>
                <w:szCs w:val="21"/>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882,000</w:t>
            </w:r>
          </w:p>
        </w:tc>
        <w:tc>
          <w:tcPr>
            <w:tcW w:w="14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784,000</w:t>
            </w:r>
          </w:p>
        </w:tc>
      </w:tr>
      <w:tr>
        <w:trPr>
          <w:trHeight w:val="27"/>
        </w:trPr>
        <w:tc>
          <w:tcPr>
            <w:tcW w:w="8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8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2013, the Company entered into an agreement with Pernix to distribute and promote the branded prescription product Omeclamox-Pak. The $4.0 million upfront payment the Company paid to Pernix during October 2013 and the $2.3 million payments made to GEL during 2018 (discussed more fully in Note 3) are included in product and license rights and are being amortized through June 2032, the remaining expected useful life of the acquired asset.</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2014, the Company acquired the rights of the branded prescription product Vaprisol from Astellas. The intangible asset value is $3.0 million and is included in product and license rights. The asset is being amortized through February 2022, the remaining expected useful life of the acquired asset, which coincides with the life of the primary intellectual property asset.</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discussed in Note 3, in November 2016, the Company acquired the U.S. rights to Nordic Group B.V.’s injectable methotrexate product line as an asset purchase. The agreement requires the Company to provide unvested restricted shares of Cumberland common stock and make a series of payments tied to the products’ FDA approval, launch and achievement of certain sales milestones. The payments are being treated as consideration for the assets acquired and are being capitalized and amortized over the expected useful life of the acquired asset. To date, the intangible assets related to the product include the $100,000 deposit paid at closing, the 180,000 restricted shares valued at $0.9 million that vested upon the November 2019 FDA approval and the additional $1.0 million owed to Nordic during 2020, also based on the FDA approval.</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 3, during November 2018, the Company acquired Vibativ from Theravance. This resulted in amortizable intangible assets related to the product rights of $11.8 million and goodwill of $0.9 million. The intangible assets are being amortized through November 2028, the expected useful life of the acquired asset. The $0.1 million increase in goodwill during 2019 was a result of changes in the purchase price allocation during the measurement period.</w:t>
      </w:r>
    </w:p>
    <w:p>
      <w:pPr>
        <w:spacing w:after="0" w:line="10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During 2019 and 2018, the Company recorded an additional $0.7 million and $0.4 million, respectively, in intangible assets for patents, trademarks and capitalized patent costs, including amounts incurred in the protection of the Company's intellectual property. These costs will be amortized over the remaining expected useful life of the associated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jc w:val="center"/>
        <w:ind w:right="-10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related to product and license rights, trademarks and patents were as follows for the years ended December 31:</w:t>
      </w:r>
    </w:p>
    <w:p>
      <w:pPr>
        <w:spacing w:after="0" w:line="21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9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4,134,557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2,769,466</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2,436,222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amortization expense for the Company's current balance of intangible assets are as follows: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7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4,286,336</w:t>
            </w:r>
          </w:p>
        </w:tc>
      </w:tr>
      <w:tr>
        <w:trPr>
          <w:trHeight w:val="243"/>
        </w:trPr>
        <w:tc>
          <w:tcPr>
            <w:tcW w:w="6600" w:type="dxa"/>
            <w:vAlign w:val="bottom"/>
          </w:tcPr>
          <w:p>
            <w:pPr>
              <w:ind w:left="320"/>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4,084,702</w:t>
            </w:r>
          </w:p>
        </w:tc>
      </w:tr>
      <w:tr>
        <w:trPr>
          <w:trHeight w:val="27"/>
        </w:trPr>
        <w:tc>
          <w:tcPr>
            <w:tcW w:w="6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3,530,879</w:t>
            </w:r>
          </w:p>
        </w:tc>
      </w:tr>
      <w:tr>
        <w:trPr>
          <w:trHeight w:val="243"/>
        </w:trPr>
        <w:tc>
          <w:tcPr>
            <w:tcW w:w="6600" w:type="dxa"/>
            <w:vAlign w:val="bottom"/>
          </w:tcPr>
          <w:p>
            <w:pPr>
              <w:ind w:left="320"/>
              <w:spacing w:after="0"/>
              <w:rPr>
                <w:sz w:val="20"/>
                <w:szCs w:val="20"/>
                <w:color w:val="auto"/>
              </w:rPr>
            </w:pPr>
            <w:r>
              <w:rPr>
                <w:rFonts w:ascii="Arial" w:cs="Arial" w:eastAsia="Arial" w:hAnsi="Arial"/>
                <w:sz w:val="18"/>
                <w:szCs w:val="18"/>
                <w:color w:val="auto"/>
              </w:rPr>
              <w:t>2023</w:t>
            </w:r>
          </w:p>
        </w:tc>
        <w:tc>
          <w:tcPr>
            <w:tcW w:w="7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3,743,526</w:t>
            </w:r>
          </w:p>
        </w:tc>
      </w:tr>
      <w:tr>
        <w:trPr>
          <w:trHeight w:val="27"/>
        </w:trPr>
        <w:tc>
          <w:tcPr>
            <w:tcW w:w="6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2024 and thereafter</w:t>
            </w:r>
          </w:p>
        </w:tc>
        <w:tc>
          <w:tcPr>
            <w:tcW w:w="7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15,274,881</w:t>
            </w:r>
          </w:p>
        </w:tc>
      </w:tr>
      <w:tr>
        <w:trPr>
          <w:trHeight w:val="237"/>
        </w:trPr>
        <w:tc>
          <w:tcPr>
            <w:tcW w:w="66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30,920,324</w:t>
            </w:r>
          </w:p>
        </w:tc>
      </w:tr>
      <w:tr>
        <w:trPr>
          <w:trHeight w:val="27"/>
        </w:trPr>
        <w:tc>
          <w:tcPr>
            <w:tcW w:w="6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(8) Other Current and Other Long-term Liabilities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at December 31:</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24"/>
                <w:szCs w:val="24"/>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40" w:type="dxa"/>
            <w:vAlign w:val="bottom"/>
          </w:tcPr>
          <w:p>
            <w:pPr>
              <w:spacing w:after="0"/>
              <w:rPr>
                <w:sz w:val="6"/>
                <w:szCs w:val="6"/>
                <w:color w:val="auto"/>
              </w:rPr>
            </w:pPr>
          </w:p>
        </w:tc>
        <w:tc>
          <w:tcPr>
            <w:tcW w:w="5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5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Rebates, product returns, administrative fees</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4,825,657</w:t>
            </w:r>
          </w:p>
        </w:tc>
        <w:tc>
          <w:tcPr>
            <w:tcW w:w="5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5,635,972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service fees</w:t>
            </w: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520" w:type="dxa"/>
            <w:vAlign w:val="bottom"/>
            <w:gridSpan w:val="3"/>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Employee wages and benefits</w:t>
            </w:r>
          </w:p>
        </w:tc>
        <w:tc>
          <w:tcPr>
            <w:tcW w:w="40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1,295,905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1,263,426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payable</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1,085,400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Current portion of accrued contingent consideration</w:t>
            </w:r>
          </w:p>
        </w:tc>
        <w:tc>
          <w:tcPr>
            <w:tcW w:w="40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2,374,776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acquisition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40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829,047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434,405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payment for asset purchase</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991,973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1,001,724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0" w:type="dxa"/>
            <w:vAlign w:val="bottom"/>
          </w:tcPr>
          <w:p>
            <w:pPr>
              <w:spacing w:after="0"/>
              <w:rPr>
                <w:sz w:val="24"/>
                <w:szCs w:val="24"/>
                <w:color w:val="auto"/>
              </w:rPr>
            </w:pPr>
          </w:p>
        </w:tc>
        <w:tc>
          <w:tcPr>
            <w:tcW w:w="5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current liabilities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11,317,358</w:t>
            </w: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16,710,927</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4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63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40" w:type="dxa"/>
            <w:vAlign w:val="bottom"/>
          </w:tcPr>
          <w:p>
            <w:pPr>
              <w:spacing w:after="0"/>
              <w:rPr>
                <w:sz w:val="6"/>
                <w:szCs w:val="6"/>
                <w:color w:val="auto"/>
              </w:rPr>
            </w:pPr>
          </w:p>
        </w:tc>
        <w:tc>
          <w:tcPr>
            <w:tcW w:w="5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accrued contingent consideration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6,258,813</w:t>
            </w:r>
          </w:p>
        </w:tc>
        <w:tc>
          <w:tcPr>
            <w:tcW w:w="5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7,212,000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40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2,278,164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1,588,123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200,346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519,020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Total other long-term liabilities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8,737,323</w:t>
            </w:r>
          </w:p>
        </w:tc>
        <w:tc>
          <w:tcPr>
            <w:tcW w:w="80" w:type="dxa"/>
            <w:vAlign w:val="bottom"/>
          </w:tcPr>
          <w:p>
            <w:pPr>
              <w:spacing w:after="0"/>
              <w:rPr>
                <w:sz w:val="20"/>
                <w:szCs w:val="20"/>
                <w:color w:val="auto"/>
              </w:rPr>
            </w:pPr>
          </w:p>
        </w:tc>
        <w:tc>
          <w:tcPr>
            <w:tcW w:w="4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9,319,143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320" w:top="36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364" w:right="1359" w:bottom="1440" w:gutter="0" w:footer="0" w:header="0"/>
          <w:type w:val="continuous"/>
        </w:sectPr>
      </w:pPr>
    </w:p>
    <w:bookmarkStart w:id="105" w:name="page106"/>
    <w:bookmarkEnd w:id="105"/>
    <w:p>
      <w:pPr>
        <w:jc w:val="center"/>
        <w:ind w:right="-72"/>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(9) Debt</w:t>
      </w:r>
    </w:p>
    <w:p>
      <w:pPr>
        <w:spacing w:after="0" w:line="256" w:lineRule="exact"/>
        <w:rPr>
          <w:sz w:val="20"/>
          <w:szCs w:val="20"/>
          <w:color w:val="auto"/>
        </w:rPr>
      </w:pPr>
    </w:p>
    <w:p>
      <w:pPr>
        <w:jc w:val="both"/>
        <w:ind w:left="73" w:firstLine="324"/>
        <w:spacing w:after="0" w:line="276" w:lineRule="auto"/>
        <w:rPr>
          <w:sz w:val="20"/>
          <w:szCs w:val="20"/>
          <w:color w:val="auto"/>
        </w:rPr>
      </w:pPr>
      <w:r>
        <w:rPr>
          <w:rFonts w:ascii="Arial" w:cs="Arial" w:eastAsia="Arial" w:hAnsi="Arial"/>
          <w:sz w:val="16"/>
          <w:szCs w:val="16"/>
          <w:color w:val="auto"/>
        </w:rPr>
        <w:t>On May 10, 2019, the Company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including the definition of the Funded Debt Ratio and the compliance target of</w:t>
      </w:r>
    </w:p>
    <w:p>
      <w:pPr>
        <w:spacing w:after="0" w:line="1" w:lineRule="exact"/>
        <w:rPr>
          <w:sz w:val="20"/>
          <w:szCs w:val="20"/>
          <w:color w:val="auto"/>
        </w:rPr>
      </w:pPr>
    </w:p>
    <w:p>
      <w:pPr>
        <w:jc w:val="both"/>
        <w:ind w:left="73"/>
        <w:spacing w:after="0" w:line="268" w:lineRule="auto"/>
        <w:rPr>
          <w:sz w:val="20"/>
          <w:szCs w:val="20"/>
          <w:color w:val="auto"/>
        </w:rPr>
      </w:pPr>
      <w:r>
        <w:rPr>
          <w:rFonts w:ascii="Arial" w:cs="Arial" w:eastAsia="Arial" w:hAnsi="Arial"/>
          <w:sz w:val="18"/>
          <w:szCs w:val="18"/>
          <w:color w:val="auto"/>
        </w:rPr>
        <w:t>the Tangible Capital Ratio. Both Third Amendment modifications were related to the Vibativ transaction. Under the Pinnacle Agreement, Cumberland was initially subject to one financial covenant, the maintenance of a Funded Debt Ratio, as such term is defined in the agreement and determined on a quarterly basis. On August 14, 2018, the Company amended the Pinnacle Agreement ("First Amendment") to replace the single financial covenant with the maintenance of either the Funded Debt Ratio or a Tangible Capital Ratio, as defined in the First Amendment. The Company achieved compliance with the Tangible Capital Ratio financial covenant as of December 31, 2019.</w:t>
      </w:r>
    </w:p>
    <w:p>
      <w:pPr>
        <w:spacing w:after="0" w:line="193" w:lineRule="exact"/>
        <w:rPr>
          <w:sz w:val="20"/>
          <w:szCs w:val="20"/>
          <w:color w:val="auto"/>
        </w:rPr>
      </w:pPr>
    </w:p>
    <w:p>
      <w:pPr>
        <w:jc w:val="both"/>
        <w:ind w:left="73" w:firstLine="324"/>
        <w:spacing w:after="0" w:line="243" w:lineRule="auto"/>
        <w:rPr>
          <w:sz w:val="20"/>
          <w:szCs w:val="20"/>
          <w:color w:val="auto"/>
        </w:rPr>
      </w:pPr>
      <w:r>
        <w:rPr>
          <w:rFonts w:ascii="Arial" w:cs="Arial" w:eastAsia="Arial" w:hAnsi="Arial"/>
          <w:sz w:val="18"/>
          <w:szCs w:val="18"/>
          <w:color w:val="auto"/>
        </w:rPr>
        <w:t>The initial revolving line of credit under the Pinnacle Agreement was for up to an aggregate principal amount of $12.0 million with the ability to increase the principal amount available for borrowing up to $20.0 million, upon the satisfaction of certain conditions. On October 17, 2018, the Company entered into a second amendment (“Second Amendment”) which increased the maximum aggregate principal available for borrowing under the Pinnacle Agreement to $20.0 million.</w:t>
      </w:r>
    </w:p>
    <w:p>
      <w:pPr>
        <w:spacing w:after="0" w:line="107" w:lineRule="exact"/>
        <w:rPr>
          <w:sz w:val="20"/>
          <w:szCs w:val="20"/>
          <w:color w:val="auto"/>
        </w:rPr>
      </w:pPr>
    </w:p>
    <w:p>
      <w:pPr>
        <w:ind w:left="413"/>
        <w:spacing w:after="0"/>
        <w:rPr>
          <w:sz w:val="20"/>
          <w:szCs w:val="20"/>
          <w:color w:val="auto"/>
        </w:rPr>
      </w:pPr>
      <w:r>
        <w:rPr>
          <w:rFonts w:ascii="Arial" w:cs="Arial" w:eastAsia="Arial" w:hAnsi="Arial"/>
          <w:sz w:val="17"/>
          <w:szCs w:val="17"/>
          <w:color w:val="auto"/>
        </w:rPr>
        <w:t>The Company had $18.5 million in borrowings under the Pinnacle Agreement at December 31, 2019 and $20.0 million at December 31, 2018.</w:t>
      </w:r>
    </w:p>
    <w:p>
      <w:pPr>
        <w:spacing w:after="0" w:line="169" w:lineRule="exact"/>
        <w:rPr>
          <w:sz w:val="20"/>
          <w:szCs w:val="20"/>
          <w:color w:val="auto"/>
        </w:rPr>
      </w:pPr>
    </w:p>
    <w:p>
      <w:pPr>
        <w:jc w:val="both"/>
        <w:ind w:left="73" w:firstLine="324"/>
        <w:spacing w:after="0" w:line="259" w:lineRule="auto"/>
        <w:rPr>
          <w:sz w:val="20"/>
          <w:szCs w:val="20"/>
          <w:color w:val="auto"/>
        </w:rPr>
      </w:pPr>
      <w:r>
        <w:rPr>
          <w:rFonts w:ascii="Arial" w:cs="Arial" w:eastAsia="Arial" w:hAnsi="Arial"/>
          <w:sz w:val="18"/>
          <w:szCs w:val="18"/>
          <w:color w:val="auto"/>
        </w:rPr>
        <w:t>The interest rate on the Pinnacle Agreement is based on LIBOR plus an interest rate spread. There is no LIBOR minimum and the LIBOR pricing provides for an interest rate spread of 1.75% to 2.75% (representing an interest rate of 4.5% at December 31, 2019). In addition, a fee of 0.25% per year is charged on the unused line of credit. Interest and the unused line fee are payable quarterly. Borrowings under the line of credit are collateralized by substantially all of our assets.</w:t>
      </w:r>
    </w:p>
    <w:p>
      <w:pPr>
        <w:spacing w:after="0" w:line="115" w:lineRule="exact"/>
        <w:rPr>
          <w:sz w:val="20"/>
          <w:szCs w:val="20"/>
          <w:color w:val="auto"/>
        </w:rPr>
      </w:pPr>
    </w:p>
    <w:p>
      <w:pPr>
        <w:ind w:left="353" w:hanging="353"/>
        <w:spacing w:after="0"/>
        <w:tabs>
          <w:tab w:leader="none" w:pos="35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34" w:lineRule="exact"/>
        <w:rPr>
          <w:rFonts w:ascii="Arial" w:cs="Arial" w:eastAsia="Arial" w:hAnsi="Arial"/>
          <w:sz w:val="18"/>
          <w:szCs w:val="18"/>
          <w:b w:val="1"/>
          <w:bCs w:val="1"/>
          <w:color w:val="auto"/>
        </w:rPr>
      </w:pPr>
    </w:p>
    <w:p>
      <w:pPr>
        <w:ind w:left="653" w:hanging="248"/>
        <w:spacing w:after="0"/>
        <w:tabs>
          <w:tab w:leader="none" w:pos="653"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jc w:val="both"/>
        <w:ind w:left="73" w:firstLine="324"/>
        <w:spacing w:after="0" w:line="259" w:lineRule="auto"/>
        <w:rPr>
          <w:sz w:val="20"/>
          <w:szCs w:val="20"/>
          <w:color w:val="auto"/>
        </w:rPr>
      </w:pPr>
      <w:r>
        <w:rPr>
          <w:rFonts w:ascii="Arial" w:cs="Arial" w:eastAsia="Arial" w:hAnsi="Arial"/>
          <w:sz w:val="18"/>
          <w:szCs w:val="18"/>
          <w:color w:val="auto"/>
        </w:rPr>
        <w:t>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 Contemporaneously with the offering, each outstanding share of preferred stock was automatically converted into two million shares of common stock.</w:t>
      </w:r>
    </w:p>
    <w:p>
      <w:pPr>
        <w:spacing w:after="0" w:line="106" w:lineRule="exact"/>
        <w:rPr>
          <w:sz w:val="20"/>
          <w:szCs w:val="20"/>
          <w:color w:val="auto"/>
        </w:rPr>
      </w:pPr>
    </w:p>
    <w:p>
      <w:pPr>
        <w:ind w:left="413"/>
        <w:spacing w:after="0"/>
        <w:rPr>
          <w:sz w:val="20"/>
          <w:szCs w:val="20"/>
          <w:color w:val="auto"/>
        </w:rPr>
      </w:pPr>
      <w:r>
        <w:rPr>
          <w:rFonts w:ascii="Arial" w:cs="Arial" w:eastAsia="Arial" w:hAnsi="Arial"/>
          <w:sz w:val="18"/>
          <w:szCs w:val="18"/>
          <w:b w:val="1"/>
          <w:bCs w:val="1"/>
          <w:i w:val="1"/>
          <w:iCs w:val="1"/>
          <w:color w:val="auto"/>
        </w:rPr>
        <w:t>(b) Preferred Stock</w:t>
      </w:r>
    </w:p>
    <w:p>
      <w:pPr>
        <w:spacing w:after="0" w:line="131"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2019 and 2018, there was no preferred stock outstanding.</w:t>
      </w:r>
    </w:p>
    <w:p>
      <w:pPr>
        <w:spacing w:after="0" w:line="89" w:lineRule="exact"/>
        <w:rPr>
          <w:sz w:val="20"/>
          <w:szCs w:val="20"/>
          <w:color w:val="auto"/>
        </w:rPr>
      </w:pPr>
    </w:p>
    <w:p>
      <w:pPr>
        <w:ind w:left="413"/>
        <w:spacing w:after="0"/>
        <w:rPr>
          <w:sz w:val="20"/>
          <w:szCs w:val="20"/>
          <w:color w:val="auto"/>
        </w:rPr>
      </w:pPr>
      <w:r>
        <w:rPr>
          <w:rFonts w:ascii="Arial" w:cs="Arial" w:eastAsia="Arial" w:hAnsi="Arial"/>
          <w:sz w:val="18"/>
          <w:szCs w:val="18"/>
          <w:b w:val="1"/>
          <w:bCs w:val="1"/>
          <w:i w:val="1"/>
          <w:iCs w:val="1"/>
          <w:color w:val="auto"/>
        </w:rPr>
        <w:t>(c) Common Stock</w:t>
      </w:r>
    </w:p>
    <w:p>
      <w:pPr>
        <w:spacing w:after="0" w:line="144"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During 2019, 2018 and 2017, the Company issued 225,536 shares, 170,759 shares, and 146,275 shares of common stock, respectively, as a result of restricted shares vesting as well as other common share issuances. Cumberland issued 3,409 common shares under option exercise transactions during 2016. There were no option exercise transactions during 2019,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2018, the Company's Form S-3 or Shelf Registration associated with the sale of up to $100 million in corporate securities was declared effective. The Shelf Registration also included an At-the-Market ("ATM") feature enabling the Company to sell common shares at market prices, along with an agreement with B. Riley FBR to support such a placement of shares.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Warrants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2006, the Company signed a new line of credit agreement along with a term loan agreement with a financial institution. In conjunction with these agreements, the Company issued warrants to purchase up to 3,958 shares of common stock at $9.00 per share within 10 years of issuance. All of these warrants expired during 2017.</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amendment to the debt agreements in 2009, the Company issued warrants to purchase up to 7,500 shares of common stock at $17.00 per share that expired in July 2019. As of December 31, 2019, there were no outstanding warrants.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Share Repurchases</w:t>
      </w:r>
    </w:p>
    <w:p>
      <w:pPr>
        <w:spacing w:after="0" w:line="25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Company currently has a share repurchase program to repurchase up to $10 million of its common stock pursuant to Rule 10b-18 of the Securities Act. In January 2019, the Company's Board of Directors established the current $10 million repurchase program to replace the prior authorizations. The Company repurchased 623,478 shares, 443,041 shares and 547,376 shares of common stock for approximately $3.5 million, $2.9 million, and $3.7 million during the years ended December 31, 2019, 2018 and 2017, respectively. There remains $8.0 million available under the current repurchase program available for share repurchases at December 31, 2019.</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 Cumberland Emerging Technologies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April 2019, Cumberland Emerging Technologies ("CET"), our majority-owned subsidiary, entered into an agreement with WinHealth whereby WinHealth made a $1 million investment through the purchase of shares of CET stock. As part of the agreement, WinHealth obtained a Board position at CET and the first opportunity to license CET products for the Chinese market. In connection with WinHealth’s investment in CET, the Company also made an additional $1 million investment in CET. Cumberland purchased additional CET shares through contribution of $0.3 million in cash and a conversion of $0.7 million in intercompany loans payable. Upon completion of the additional investment by WinHealth and Cumberland, Gloria Pharmaceuticals agreed to return its shares in CET in exchange for consideration of $0.8 million. After the additional investment, the Company’s ownership in CET is 85%. As CET is a consolidated subsidiary, the Company reports the operating results of CET and allocates the noncontrolling interests to the non-majority partners.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 Cumberland Foundation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2017, the Company formed the Cumberland Pharma Foundation (the "Foundation") to serve as a vehicle to facilitate the ongoing philanthropic endeavors of Cumberland Pharmaceuticals Inc.</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Foundation was formed as a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2018, Cumberland provided a grant of 50,000 shares of the Company's common stock to the Foundation. The shares will address the ongoing financial needs of the organization, with most of the shares expected to be held for the opportunity to realize long term appreciation to support the Foundation’s future. The Foundation maintains separate financial statements and its ongoing operations will not impact the financial statements of Cumberland Pharmaceuticals. Initial annual grants by the Foundation have been and are expected to remain consistent with the historic level of contributions made by Cumberland Pharmaceuticals. During 2019, Cumberland Pharmaceuticals committed approximately $50,000 in cash contributions to be paid to the Foundation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248"/>
        <w:spacing w:after="0"/>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Nordic Group B.V.</w:t>
      </w:r>
    </w:p>
    <w:p>
      <w:pPr>
        <w:spacing w:after="0" w:line="144" w:lineRule="exact"/>
        <w:rPr>
          <w:sz w:val="20"/>
          <w:szCs w:val="20"/>
          <w:color w:val="auto"/>
        </w:rPr>
      </w:pPr>
    </w:p>
    <w:p>
      <w:pPr>
        <w:ind w:left="80" w:firstLine="324"/>
        <w:spacing w:after="0" w:line="308" w:lineRule="auto"/>
        <w:rPr>
          <w:sz w:val="20"/>
          <w:szCs w:val="20"/>
          <w:color w:val="auto"/>
        </w:rPr>
      </w:pPr>
      <w:r>
        <w:rPr>
          <w:rFonts w:ascii="Arial" w:cs="Arial" w:eastAsia="Arial" w:hAnsi="Arial"/>
          <w:sz w:val="17"/>
          <w:szCs w:val="17"/>
          <w:color w:val="auto"/>
        </w:rPr>
        <w:t>On November 27, 2019, Cumberland received approval from the FDA for the pre-filled syringe of the Methotrexate product. With this approval, Nordic's 180,000 shares of Cumberland's common stock became vested. The value of these shares at the date of approval was $0.9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(Loss) Per Share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computation of the numerator and the denominator used to calculate diluted earnings (loss) per share for the years ended</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December 31:</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0"/>
              <w:spacing w:after="0"/>
              <w:rPr>
                <w:sz w:val="20"/>
                <w:szCs w:val="20"/>
                <w:color w:val="auto"/>
              </w:rPr>
            </w:pPr>
            <w:r>
              <w:rPr>
                <w:rFonts w:ascii="Arial" w:cs="Arial" w:eastAsia="Arial" w:hAnsi="Arial"/>
                <w:sz w:val="18"/>
                <w:szCs w:val="18"/>
                <w:color w:val="auto"/>
              </w:rPr>
              <w:t>Net income (loss) attributable to common</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(3,537,759)</w:t>
            </w:r>
          </w:p>
        </w:tc>
        <w:tc>
          <w:tcPr>
            <w:tcW w:w="140" w:type="dxa"/>
            <w:vAlign w:val="bottom"/>
          </w:tcPr>
          <w:p>
            <w:pPr>
              <w:spacing w:after="0"/>
              <w:rPr>
                <w:sz w:val="19"/>
                <w:szCs w:val="19"/>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ind w:right="12"/>
              <w:spacing w:after="0"/>
              <w:rPr>
                <w:sz w:val="20"/>
                <w:szCs w:val="20"/>
                <w:color w:val="auto"/>
              </w:rPr>
            </w:pPr>
            <w:r>
              <w:rPr>
                <w:rFonts w:ascii="Arial" w:cs="Arial" w:eastAsia="Arial" w:hAnsi="Arial"/>
                <w:sz w:val="18"/>
                <w:szCs w:val="18"/>
                <w:color w:val="auto"/>
              </w:rPr>
              <w:t>(6,963,068)</w:t>
            </w:r>
          </w:p>
        </w:tc>
        <w:tc>
          <w:tcPr>
            <w:tcW w:w="140" w:type="dxa"/>
            <w:vAlign w:val="bottom"/>
          </w:tcPr>
          <w:p>
            <w:pPr>
              <w:spacing w:after="0"/>
              <w:rPr>
                <w:sz w:val="19"/>
                <w:szCs w:val="19"/>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ind w:right="12"/>
              <w:spacing w:after="0"/>
              <w:rPr>
                <w:sz w:val="20"/>
                <w:szCs w:val="20"/>
                <w:color w:val="auto"/>
              </w:rPr>
            </w:pPr>
            <w:r>
              <w:rPr>
                <w:rFonts w:ascii="Arial" w:cs="Arial" w:eastAsia="Arial" w:hAnsi="Arial"/>
                <w:sz w:val="18"/>
                <w:szCs w:val="18"/>
                <w:color w:val="auto"/>
              </w:rPr>
              <w:t>(7,978,633)</w:t>
            </w:r>
          </w:p>
        </w:tc>
        <w:tc>
          <w:tcPr>
            <w:tcW w:w="0" w:type="dxa"/>
            <w:vAlign w:val="bottom"/>
          </w:tcPr>
          <w:p>
            <w:pPr>
              <w:spacing w:after="0"/>
              <w:rPr>
                <w:sz w:val="1"/>
                <w:szCs w:val="1"/>
                <w:color w:val="auto"/>
              </w:rPr>
            </w:pPr>
          </w:p>
        </w:tc>
      </w:tr>
      <w:tr>
        <w:trPr>
          <w:trHeight w:val="235"/>
        </w:trPr>
        <w:tc>
          <w:tcPr>
            <w:tcW w:w="404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15,396,098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15,614,052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15,911,577</w:t>
            </w:r>
          </w:p>
        </w:tc>
        <w:tc>
          <w:tcPr>
            <w:tcW w:w="0" w:type="dxa"/>
            <w:vAlign w:val="bottom"/>
          </w:tcPr>
          <w:p>
            <w:pPr>
              <w:spacing w:after="0"/>
              <w:rPr>
                <w:sz w:val="1"/>
                <w:szCs w:val="1"/>
                <w:color w:val="auto"/>
              </w:rPr>
            </w:pPr>
          </w:p>
        </w:tc>
      </w:tr>
      <w:tr>
        <w:trPr>
          <w:trHeight w:val="229"/>
        </w:trPr>
        <w:tc>
          <w:tcPr>
            <w:tcW w:w="4040" w:type="dxa"/>
            <w:vAlign w:val="bottom"/>
          </w:tcPr>
          <w:p>
            <w:pPr>
              <w:ind w:left="200"/>
              <w:spacing w:after="0"/>
              <w:rPr>
                <w:sz w:val="20"/>
                <w:szCs w:val="20"/>
                <w:color w:val="auto"/>
              </w:rPr>
            </w:pPr>
            <w:r>
              <w:rPr>
                <w:rFonts w:ascii="Arial" w:cs="Arial" w:eastAsia="Arial" w:hAnsi="Arial"/>
                <w:sz w:val="18"/>
                <w:szCs w:val="18"/>
                <w:color w:val="auto"/>
              </w:rPr>
              <w:t>Dilutive effect of restricted stock and stock</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0"/>
              <w:spacing w:after="0"/>
              <w:rPr>
                <w:sz w:val="20"/>
                <w:szCs w:val="20"/>
                <w:color w:val="auto"/>
              </w:rPr>
            </w:pPr>
            <w:r>
              <w:rPr>
                <w:rFonts w:ascii="Arial" w:cs="Arial" w:eastAsia="Arial" w:hAnsi="Arial"/>
                <w:sz w:val="18"/>
                <w:szCs w:val="18"/>
                <w:color w:val="auto"/>
              </w:rPr>
              <w:t>options</w:t>
            </w:r>
          </w:p>
        </w:tc>
        <w:tc>
          <w:tcPr>
            <w:tcW w:w="3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 – diluted</w:t>
            </w: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15,396,098</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15,614,052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15,911,577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Company's anti-dilutive restricted shares and stock options outstanding were as follows for the years ended December 31:</w:t>
      </w:r>
    </w:p>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27"/>
        </w:trPr>
        <w:tc>
          <w:tcPr>
            <w:tcW w:w="4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42"/>
        </w:trPr>
        <w:tc>
          <w:tcPr>
            <w:tcW w:w="4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95"/>
        </w:trPr>
        <w:tc>
          <w:tcPr>
            <w:tcW w:w="5280" w:type="dxa"/>
            <w:vAlign w:val="bottom"/>
            <w:tcBorders>
              <w:bottom w:val="single" w:sz="8" w:color="CCEEFF"/>
            </w:tcBorders>
            <w:gridSpan w:val="2"/>
            <w:shd w:val="clear" w:color="auto" w:fill="CCEEFF"/>
          </w:tcPr>
          <w:p>
            <w:pPr>
              <w:jc w:val="right"/>
              <w:ind w:right="2960"/>
              <w:spacing w:after="0"/>
              <w:rPr>
                <w:sz w:val="20"/>
                <w:szCs w:val="20"/>
                <w:color w:val="auto"/>
              </w:rPr>
            </w:pPr>
            <w:r>
              <w:rPr>
                <w:rFonts w:ascii="Arial" w:cs="Arial" w:eastAsia="Arial" w:hAnsi="Arial"/>
                <w:sz w:val="18"/>
                <w:szCs w:val="18"/>
                <w:color w:val="auto"/>
                <w:w w:val="91"/>
              </w:rPr>
              <w:t>Anti-dilutive shares and options</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4,000</w:t>
            </w: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41,650</w:t>
            </w: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18,325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08" w:name="page109"/>
    <w:bookmarkEnd w:id="108"/>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net deferred tax assets at December 31 are as follows: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w:t>
            </w:r>
          </w:p>
        </w:tc>
      </w:tr>
      <w:tr>
        <w:trPr>
          <w:trHeight w:val="33"/>
        </w:trPr>
        <w:tc>
          <w:tcPr>
            <w:tcW w:w="64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6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Net operating loss and tax credits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16,964,685</w:t>
            </w:r>
          </w:p>
        </w:tc>
        <w:tc>
          <w:tcPr>
            <w:tcW w:w="1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16,410,403</w:t>
            </w:r>
          </w:p>
        </w:tc>
      </w:tr>
      <w:tr>
        <w:trPr>
          <w:trHeight w:val="27"/>
        </w:trPr>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and intangibles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227,072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236,318</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Allowance for accounts receivable</w:t>
            </w:r>
          </w:p>
        </w:tc>
        <w:tc>
          <w:tcPr>
            <w:tcW w:w="4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257,564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251,068</w:t>
            </w:r>
          </w:p>
        </w:tc>
      </w:tr>
      <w:tr>
        <w:trPr>
          <w:trHeight w:val="27"/>
        </w:trPr>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Reserve for expired product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469,466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558,484</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35,227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193,150</w:t>
            </w:r>
          </w:p>
        </w:tc>
      </w:tr>
      <w:tr>
        <w:trPr>
          <w:trHeight w:val="27"/>
        </w:trPr>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charges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845,765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910,577</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Cumulative compensation costs incurred on deductible equity awards</w:t>
            </w:r>
          </w:p>
        </w:tc>
        <w:tc>
          <w:tcPr>
            <w:tcW w:w="4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1,047,149</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884,049</w:t>
            </w:r>
          </w:p>
        </w:tc>
      </w:tr>
      <w:tr>
        <w:trPr>
          <w:trHeight w:val="27"/>
        </w:trPr>
        <w:tc>
          <w:tcPr>
            <w:tcW w:w="6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19,846,928</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19,444,049</w:t>
            </w:r>
          </w:p>
        </w:tc>
      </w:tr>
      <w:tr>
        <w:trPr>
          <w:trHeight w:val="162"/>
        </w:trPr>
        <w:tc>
          <w:tcPr>
            <w:tcW w:w="6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(1,313,965)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(1,974,787)</w:t>
            </w:r>
          </w:p>
        </w:tc>
      </w:tr>
      <w:tr>
        <w:trPr>
          <w:trHeight w:val="27"/>
        </w:trPr>
        <w:tc>
          <w:tcPr>
            <w:tcW w:w="6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deferred tax assets, before 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18,532,963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17,469,262</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Less: deferred tax asset valuation allowance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(18,511,161)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(17,382,052)</w:t>
            </w:r>
          </w:p>
        </w:tc>
      </w:tr>
      <w:tr>
        <w:trPr>
          <w:trHeight w:val="27"/>
        </w:trPr>
        <w:tc>
          <w:tcPr>
            <w:tcW w:w="6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6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21,802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87,210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amount and year of expiration of the Company's federal and state net operating loss carryforwards as of</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December 31, 2019:</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60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Years of expiration</w:t>
            </w:r>
          </w:p>
        </w:tc>
        <w:tc>
          <w:tcPr>
            <w:tcW w:w="360" w:type="dxa"/>
            <w:vAlign w:val="bottom"/>
          </w:tcPr>
          <w:p>
            <w:pPr>
              <w:spacing w:after="0"/>
              <w:rPr>
                <w:sz w:val="18"/>
                <w:szCs w:val="18"/>
                <w:color w:val="auto"/>
              </w:rPr>
            </w:pPr>
          </w:p>
        </w:tc>
        <w:tc>
          <w:tcPr>
            <w:tcW w:w="1580" w:type="dxa"/>
            <w:vAlign w:val="bottom"/>
            <w:gridSpan w:val="2"/>
          </w:tcPr>
          <w:p>
            <w:pPr>
              <w:ind w:left="280"/>
              <w:spacing w:after="0"/>
              <w:rPr>
                <w:sz w:val="20"/>
                <w:szCs w:val="20"/>
                <w:color w:val="auto"/>
              </w:rPr>
            </w:pPr>
            <w:r>
              <w:rPr>
                <w:rFonts w:ascii="Arial" w:cs="Arial" w:eastAsia="Arial" w:hAnsi="Arial"/>
                <w:sz w:val="16"/>
                <w:szCs w:val="16"/>
                <w:b w:val="1"/>
                <w:bCs w:val="1"/>
                <w:color w:val="auto"/>
              </w:rPr>
              <w:t>Federal</w:t>
            </w:r>
          </w:p>
        </w:tc>
        <w:tc>
          <w:tcPr>
            <w:tcW w:w="420" w:type="dxa"/>
            <w:vAlign w:val="bottom"/>
          </w:tcPr>
          <w:p>
            <w:pPr>
              <w:spacing w:after="0"/>
              <w:rPr>
                <w:sz w:val="18"/>
                <w:szCs w:val="18"/>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State</w:t>
            </w:r>
          </w:p>
        </w:tc>
        <w:tc>
          <w:tcPr>
            <w:tcW w:w="0" w:type="dxa"/>
            <w:vAlign w:val="bottom"/>
          </w:tcPr>
          <w:p>
            <w:pPr>
              <w:spacing w:after="0"/>
              <w:rPr>
                <w:sz w:val="1"/>
                <w:szCs w:val="1"/>
                <w:color w:val="auto"/>
              </w:rPr>
            </w:pPr>
          </w:p>
        </w:tc>
      </w:tr>
      <w:tr>
        <w:trPr>
          <w:trHeight w:val="33"/>
        </w:trPr>
        <w:tc>
          <w:tcPr>
            <w:tcW w:w="5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2021 - 2029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49,392,824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2030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44,153,819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461,280</w:t>
            </w:r>
          </w:p>
        </w:tc>
        <w:tc>
          <w:tcPr>
            <w:tcW w:w="0" w:type="dxa"/>
            <w:vAlign w:val="bottom"/>
          </w:tcPr>
          <w:p>
            <w:pPr>
              <w:spacing w:after="0"/>
              <w:rPr>
                <w:sz w:val="1"/>
                <w:szCs w:val="1"/>
                <w:color w:val="auto"/>
              </w:rPr>
            </w:pP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2031 - 2039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7,534,351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9,947,070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Indefinite Period</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5,493,258</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383,869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color w:val="auto"/>
              </w:rPr>
              <w:t>Total federal and state net operating loss carryforwards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gridSpan w:val="2"/>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57,181,428</w:t>
            </w:r>
          </w:p>
        </w:tc>
        <w:tc>
          <w:tcPr>
            <w:tcW w:w="1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60,198,158</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benefit includes the following components for the years ended December 31:</w:t>
      </w:r>
    </w:p>
    <w:p>
      <w:pPr>
        <w:spacing w:after="0" w:line="199"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4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65,408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State and other</w:t>
            </w:r>
          </w:p>
        </w:tc>
        <w:tc>
          <w:tcPr>
            <w:tcW w:w="10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79,316</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(16,636)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(59,243)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income tax (expense) benefit</w:t>
            </w:r>
          </w:p>
        </w:tc>
        <w:tc>
          <w:tcPr>
            <w:tcW w:w="10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144,724</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(16,636)</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(59,243)</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w:t>
            </w: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Federal</w:t>
            </w:r>
          </w:p>
        </w:tc>
        <w:tc>
          <w:tcPr>
            <w:tcW w:w="10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89"/>
              </w:rPr>
              <w:t>(65,408)</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(3,682,772)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0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(432,874)</w:t>
            </w:r>
          </w:p>
        </w:tc>
        <w:tc>
          <w:tcPr>
            <w:tcW w:w="0" w:type="dxa"/>
            <w:vAlign w:val="bottom"/>
          </w:tcPr>
          <w:p>
            <w:pPr>
              <w:spacing w:after="0"/>
              <w:rPr>
                <w:sz w:val="1"/>
                <w:szCs w:val="1"/>
                <w:color w:val="auto"/>
              </w:rPr>
            </w:pPr>
          </w:p>
        </w:tc>
      </w:tr>
      <w:tr>
        <w:trPr>
          <w:trHeight w:val="237"/>
        </w:trPr>
        <w:tc>
          <w:tcPr>
            <w:tcW w:w="4120" w:type="dxa"/>
            <w:vAlign w:val="bottom"/>
          </w:tcPr>
          <w:p>
            <w:pPr>
              <w:ind w:left="420"/>
              <w:spacing w:after="0"/>
              <w:rPr>
                <w:sz w:val="20"/>
                <w:szCs w:val="20"/>
                <w:color w:val="auto"/>
              </w:rPr>
            </w:pPr>
            <w:r>
              <w:rPr>
                <w:rFonts w:ascii="Arial" w:cs="Arial" w:eastAsia="Arial" w:hAnsi="Arial"/>
                <w:sz w:val="18"/>
                <w:szCs w:val="18"/>
                <w:color w:val="auto"/>
              </w:rPr>
              <w:t>Total deferred income tax (expense) benefit</w:t>
            </w:r>
          </w:p>
        </w:tc>
        <w:tc>
          <w:tcPr>
            <w:tcW w:w="10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(65,408)</w:t>
            </w:r>
          </w:p>
        </w:tc>
        <w:tc>
          <w:tcPr>
            <w:tcW w:w="1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(4,115,646)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income tax (expense) benefit</w:t>
            </w:r>
          </w:p>
        </w:tc>
        <w:tc>
          <w:tcPr>
            <w:tcW w:w="10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79,316</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(16,636)</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(4,174,889)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effective income tax rate for 2019, 2018 and 2017 reconciles with the federal statutory tax rate as follows:</w:t>
      </w: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5240" w:type="dxa"/>
            <w:vAlign w:val="bottom"/>
            <w:gridSpan w:val="2"/>
          </w:tcPr>
          <w:p>
            <w:pPr>
              <w:ind w:left="4780"/>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6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40" w:type="dxa"/>
            <w:vAlign w:val="bottom"/>
          </w:tcPr>
          <w:p>
            <w:pPr>
              <w:jc w:val="right"/>
              <w:ind w:right="671"/>
              <w:spacing w:after="0"/>
              <w:rPr>
                <w:sz w:val="20"/>
                <w:szCs w:val="20"/>
                <w:color w:val="auto"/>
              </w:rPr>
            </w:pPr>
            <w:r>
              <w:rPr>
                <w:rFonts w:ascii="Arial" w:cs="Arial" w:eastAsia="Arial" w:hAnsi="Arial"/>
                <w:sz w:val="16"/>
                <w:szCs w:val="16"/>
                <w:b w:val="1"/>
                <w:bCs w:val="1"/>
                <w:color w:val="auto"/>
              </w:rPr>
              <w:t>2017</w:t>
            </w:r>
          </w:p>
        </w:tc>
      </w:tr>
      <w:tr>
        <w:trPr>
          <w:trHeight w:val="33"/>
        </w:trPr>
        <w:tc>
          <w:tcPr>
            <w:tcW w:w="4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42"/>
        </w:trPr>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50"/>
        </w:trPr>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tax expense at statutory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State income tax expense (net of federal income tax</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 associated with general</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business credits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2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4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5240" w:type="dxa"/>
            <w:vAlign w:val="bottom"/>
            <w:gridSpan w:val="2"/>
          </w:tcPr>
          <w:p>
            <w:pPr>
              <w:spacing w:after="0"/>
              <w:rPr>
                <w:sz w:val="20"/>
                <w:szCs w:val="20"/>
                <w:color w:val="auto"/>
              </w:rPr>
            </w:pPr>
            <w:r>
              <w:rPr>
                <w:rFonts w:ascii="Arial" w:cs="Arial" w:eastAsia="Arial" w:hAnsi="Arial"/>
                <w:sz w:val="18"/>
                <w:szCs w:val="18"/>
                <w:color w:val="auto"/>
              </w:rPr>
              <w:t>Other permanent differences</w:t>
            </w: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Net income tax expense</w:t>
            </w: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4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2017, the Company determined that it was not more likely than not that its net deferred tax assets would be realized. As such, the Company’s income tax provision for the year ended December 31, 2017 reflected a full valuation allowance against net deferred tax assets with the exception of the deferred tax asset for alternative minimum tax (“AMT”) credit carryforwards discussed further below. The Company’s position is unchanged as of both December 31, 2018 and December 31, 2019.</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to 21%; (2) eliminating the corporate alternative minimum tax (“AMT”) and changing how AMT credits can be realized; (3) capital expensing; and (4) creating new limitations on deductible interest expense and executive compensation.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0" w:name="page111"/>
    <w:bookmarkEnd w:id="110"/>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In connection with our analysis of the impact of the Tax Act, we recorded a net tax benefit of $0.1 million in the period ended December 31, 2017. This net tax benefit consisted entirely of the release of the valuation allowance against AMT credits that will be realizable under the Tax Act in future periods.</w:t>
      </w:r>
    </w:p>
    <w:p>
      <w:pPr>
        <w:spacing w:after="0" w:line="103"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The Company expects it will continue to pay minimal taxes in future periods through the continued utilization of net operating loss carryforwards, as it is able to achieve taxable income through its operations.</w:t>
      </w:r>
    </w:p>
    <w:p>
      <w:pPr>
        <w:spacing w:after="0" w:line="103" w:lineRule="exact"/>
        <w:rPr>
          <w:sz w:val="20"/>
          <w:szCs w:val="20"/>
          <w:color w:val="auto"/>
        </w:rPr>
      </w:pPr>
    </w:p>
    <w:p>
      <w:pPr>
        <w:jc w:val="both"/>
        <w:ind w:left="80" w:firstLine="324"/>
        <w:spacing w:after="0" w:line="279" w:lineRule="auto"/>
        <w:rPr>
          <w:sz w:val="20"/>
          <w:szCs w:val="20"/>
          <w:color w:val="auto"/>
        </w:rPr>
      </w:pPr>
      <w:r>
        <w:rPr>
          <w:rFonts w:ascii="Arial" w:cs="Arial" w:eastAsia="Arial" w:hAnsi="Arial"/>
          <w:sz w:val="17"/>
          <w:szCs w:val="17"/>
          <w:color w:val="auto"/>
        </w:rPr>
        <w:t>The Company is no longer subject to U.S. federal tax examinations for tax years before 2016, and with few exceptions, the Company is not subject to examination by state tax authorities for tax years which ended before 2016. Loss carryforwards and credit carryforwards generated or utilized in years earlier than 2016 remain subject to examination and adjustment. During 2012, the 2009 federal tax return was examined by the Internal Revenue Service with no significant findings or adjustments. The Company has no unrecognized tax benefits in 2019, 2018 and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Plans</w:t>
      </w:r>
    </w:p>
    <w:p>
      <w:pPr>
        <w:spacing w:after="0" w:line="148" w:lineRule="exact"/>
        <w:rPr>
          <w:sz w:val="20"/>
          <w:szCs w:val="20"/>
          <w:color w:val="auto"/>
        </w:rPr>
      </w:pPr>
    </w:p>
    <w:p>
      <w:pPr>
        <w:jc w:val="both"/>
        <w:ind w:left="80" w:firstLine="324"/>
        <w:spacing w:after="0" w:line="273" w:lineRule="auto"/>
        <w:rPr>
          <w:sz w:val="20"/>
          <w:szCs w:val="20"/>
          <w:color w:val="auto"/>
        </w:rPr>
      </w:pPr>
      <w:r>
        <w:rPr>
          <w:rFonts w:ascii="Arial" w:cs="Arial" w:eastAsia="Arial" w:hAnsi="Arial"/>
          <w:sz w:val="17"/>
          <w:szCs w:val="17"/>
          <w:color w:val="auto"/>
        </w:rPr>
        <w:t>The Company has grants outstanding under three equity compensation plans, with two of the plans available for future grants of equity compensation awards to employees, consultants and directors. All of the equity plans were approved by shareholders. The 2007 Long-Term Incentive Compensation Plan (the "2007 Plan") and the 2007 Directors’ Incentive Plan (the "Directors’ Plan") superseded the 1999 Stock Option Plan. The 2007 Plan and the Directors’ Plan provide for the issuance of stock options, stock appreciation rights and restricted stock. Vesting is determined on a grant-by-grant basis in accordance with the terms of the plans and the related grant agreements. The Company has reserved 2.4 million shares of common stock for issuance under the 2007 Plan and 250,000 shares for issuance under the Directors’ Plan.</w:t>
      </w:r>
    </w:p>
    <w:p>
      <w:pPr>
        <w:spacing w:after="0" w:line="110" w:lineRule="exact"/>
        <w:rPr>
          <w:sz w:val="20"/>
          <w:szCs w:val="20"/>
          <w:color w:val="auto"/>
        </w:rPr>
      </w:pPr>
    </w:p>
    <w:p>
      <w:pPr>
        <w:jc w:val="both"/>
        <w:ind w:left="80" w:firstLine="324"/>
        <w:spacing w:after="0" w:line="342" w:lineRule="auto"/>
        <w:rPr>
          <w:sz w:val="20"/>
          <w:szCs w:val="20"/>
          <w:color w:val="auto"/>
        </w:rPr>
      </w:pPr>
      <w:r>
        <w:rPr>
          <w:rFonts w:ascii="Arial" w:cs="Arial" w:eastAsia="Arial" w:hAnsi="Arial"/>
          <w:sz w:val="16"/>
          <w:szCs w:val="16"/>
          <w:color w:val="auto"/>
        </w:rPr>
        <w:t>The exercise price of stock options is generally 100% of the fair market value of the underlying common stock on the grant date. The maximum contractual term of stock options is ten years from the date of grant, except for incentive stock options granted to 10% shareholders, which is five years.</w:t>
      </w:r>
    </w:p>
    <w:p>
      <w:pPr>
        <w:spacing w:after="0" w:line="56"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During 2011, the Company began issuing shares of restricted stock with no exercise price to employees and directors. Restricted stock issued to employees generally cliff-vests on the fourth anniversary of the date of grant. Restricted stock issued to directors vests on the one year anniversary of the date of grant.</w:t>
      </w:r>
    </w:p>
    <w:p>
      <w:pPr>
        <w:spacing w:after="0" w:line="103" w:lineRule="exact"/>
        <w:rPr>
          <w:sz w:val="20"/>
          <w:szCs w:val="20"/>
          <w:color w:val="auto"/>
        </w:rPr>
      </w:pPr>
    </w:p>
    <w:p>
      <w:pPr>
        <w:jc w:val="both"/>
        <w:ind w:left="80" w:right="20" w:firstLine="324"/>
        <w:spacing w:after="0" w:line="277" w:lineRule="auto"/>
        <w:rPr>
          <w:sz w:val="20"/>
          <w:szCs w:val="20"/>
          <w:color w:val="auto"/>
        </w:rPr>
      </w:pPr>
      <w:r>
        <w:rPr>
          <w:rFonts w:ascii="Arial" w:cs="Arial" w:eastAsia="Arial" w:hAnsi="Arial"/>
          <w:sz w:val="18"/>
          <w:szCs w:val="18"/>
          <w:color w:val="auto"/>
        </w:rPr>
        <w:t>Stock compensation expense is presented as a component of general and administrative expense in the consolidated statements of operations. Stock compensation expense consisted of the following for the years ended December 31:</w:t>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33"/>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2"/>
        </w:trPr>
        <w:tc>
          <w:tcPr>
            <w:tcW w:w="4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 - employees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1,481,016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1,244,606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1,032,094</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Share-based compensation - nonemployees</w:t>
            </w:r>
          </w:p>
        </w:tc>
        <w:tc>
          <w:tcPr>
            <w:tcW w:w="4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4,882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120,092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82,969</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Share-based compensation - foundation contribution</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372,500</w:t>
            </w:r>
          </w:p>
        </w:tc>
      </w:tr>
      <w:tr>
        <w:trPr>
          <w:trHeight w:val="237"/>
        </w:trPr>
        <w:tc>
          <w:tcPr>
            <w:tcW w:w="4120" w:type="dxa"/>
            <w:vAlign w:val="bottom"/>
          </w:tcPr>
          <w:p>
            <w:pPr>
              <w:ind w:left="200"/>
              <w:spacing w:after="0"/>
              <w:rPr>
                <w:sz w:val="20"/>
                <w:szCs w:val="20"/>
                <w:color w:val="auto"/>
              </w:rPr>
            </w:pPr>
            <w:r>
              <w:rPr>
                <w:rFonts w:ascii="Arial" w:cs="Arial" w:eastAsia="Arial" w:hAnsi="Arial"/>
                <w:sz w:val="18"/>
                <w:szCs w:val="18"/>
                <w:color w:val="auto"/>
              </w:rPr>
              <w:t>Total share-based compensation</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1,485,898</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1,364,698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1,487,563</w:t>
            </w: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At December 31, 2019, there was approximately $2.1 million of unrecognized compensation cost related to share-based payments, which is expected to be recognized over a weighted-average period of 2.5 years. This amount relates primarily to unrecognized compensation cost for employee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ectPr>
          <w:pgSz w:w="11900" w:h="16838" w:orient="portrait"/>
          <w:cols w:equalWidth="0" w:num="1">
            <w:col w:w="11240"/>
          </w:cols>
          <w:pgMar w:left="320" w:top="364" w:right="339" w:bottom="1440" w:gutter="0" w:footer="0" w:header="0"/>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2019 and 2018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exercise price per</w:t>
            </w:r>
          </w:p>
        </w:tc>
        <w:tc>
          <w:tcPr>
            <w:tcW w:w="0" w:type="dxa"/>
            <w:vAlign w:val="bottom"/>
          </w:tcPr>
          <w:p>
            <w:pPr>
              <w:spacing w:after="0"/>
              <w:rPr>
                <w:sz w:val="1"/>
                <w:szCs w:val="1"/>
                <w:color w:val="auto"/>
              </w:rPr>
            </w:pPr>
          </w:p>
        </w:tc>
      </w:tr>
      <w:tr>
        <w:trPr>
          <w:trHeight w:val="32"/>
        </w:trPr>
        <w:tc>
          <w:tcPr>
            <w:tcW w:w="36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line="20" w:lineRule="exact"/>
              <w:rPr>
                <w:sz w:val="1"/>
                <w:szCs w:val="1"/>
                <w:color w:val="auto"/>
              </w:rPr>
            </w:pPr>
          </w:p>
        </w:tc>
      </w:tr>
      <w:tr>
        <w:trPr>
          <w:trHeight w:val="229"/>
        </w:trPr>
        <w:tc>
          <w:tcPr>
            <w:tcW w:w="364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shares</w:t>
            </w: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640" w:type="dxa"/>
            <w:vAlign w:val="bottom"/>
          </w:tcPr>
          <w:p>
            <w:pPr>
              <w:spacing w:after="0"/>
              <w:rPr>
                <w:sz w:val="20"/>
                <w:szCs w:val="20"/>
                <w:color w:val="auto"/>
              </w:rPr>
            </w:pPr>
            <w:r>
              <w:rPr>
                <w:rFonts w:ascii="Arial" w:cs="Arial" w:eastAsia="Arial" w:hAnsi="Arial"/>
                <w:sz w:val="18"/>
                <w:szCs w:val="18"/>
                <w:color w:val="auto"/>
              </w:rPr>
              <w:t>Outstanding, December 31, 2017</w:t>
            </w: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24"/>
                <w:szCs w:val="24"/>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0"/>
        </w:trPr>
        <w:tc>
          <w:tcPr>
            <w:tcW w:w="36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200"/>
              <w:spacing w:after="0"/>
              <w:rPr>
                <w:sz w:val="20"/>
                <w:szCs w:val="20"/>
                <w:color w:val="auto"/>
              </w:rPr>
            </w:pPr>
            <w:r>
              <w:rPr>
                <w:rFonts w:ascii="Arial" w:cs="Arial" w:eastAsia="Arial" w:hAnsi="Arial"/>
                <w:sz w:val="18"/>
                <w:szCs w:val="18"/>
                <w:color w:val="auto"/>
              </w:rPr>
              <w:t>Options forfeited or expired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vMerge w:val="restart"/>
          </w:tcPr>
          <w:p>
            <w:pPr>
              <w:spacing w:after="0"/>
              <w:rPr>
                <w:sz w:val="20"/>
                <w:szCs w:val="20"/>
                <w:color w:val="auto"/>
              </w:rPr>
            </w:pPr>
            <w:r>
              <w:rPr>
                <w:rFonts w:ascii="Arial" w:cs="Arial" w:eastAsia="Arial" w:hAnsi="Arial"/>
                <w:sz w:val="18"/>
                <w:szCs w:val="18"/>
                <w:color w:val="auto"/>
              </w:rPr>
              <w:t>Outstanding, December 31, 2018</w:t>
            </w: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vMerge w:val="continue"/>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0"/>
        </w:trPr>
        <w:tc>
          <w:tcPr>
            <w:tcW w:w="36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tcPr>
          <w:p>
            <w:pPr>
              <w:ind w:left="200"/>
              <w:spacing w:after="0"/>
              <w:rPr>
                <w:sz w:val="20"/>
                <w:szCs w:val="20"/>
                <w:color w:val="auto"/>
              </w:rPr>
            </w:pPr>
            <w:r>
              <w:rPr>
                <w:rFonts w:ascii="Arial" w:cs="Arial" w:eastAsia="Arial" w:hAnsi="Arial"/>
                <w:sz w:val="18"/>
                <w:szCs w:val="18"/>
                <w:color w:val="auto"/>
              </w:rPr>
              <w:t>Options forfeited or expired</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-1362710</wp:posOffset>
            </wp:positionV>
            <wp:extent cx="642048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64204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642048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64204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6420485"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64204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642048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64204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5"/>
                <w:szCs w:val="15"/>
                <w:color w:val="auto"/>
              </w:rPr>
            </w:pPr>
          </w:p>
        </w:tc>
        <w:tc>
          <w:tcPr>
            <w:tcW w:w="12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16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remaining</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0"/>
              </w:rPr>
              <w:t>contractual</w:t>
            </w:r>
          </w:p>
        </w:tc>
        <w:tc>
          <w:tcPr>
            <w:tcW w:w="220" w:type="dxa"/>
            <w:vAlign w:val="bottom"/>
          </w:tcPr>
          <w:p>
            <w:pPr>
              <w:spacing w:after="0"/>
              <w:rPr>
                <w:sz w:val="15"/>
                <w:szCs w:val="15"/>
                <w:color w:val="auto"/>
              </w:rPr>
            </w:pPr>
          </w:p>
        </w:tc>
        <w:tc>
          <w:tcPr>
            <w:tcW w:w="12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29"/>
        </w:trPr>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 (years)</w:t>
            </w: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385"/>
        </w:trPr>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18"/>
          <w:szCs w:val="18"/>
          <w:color w:val="auto"/>
        </w:rPr>
        <w:t>0.9</w:t>
      </w:r>
      <w:r>
        <w:rPr>
          <w:sz w:val="20"/>
          <w:szCs w:val="20"/>
          <w:color w:val="auto"/>
        </w:rPr>
        <w:tab/>
      </w:r>
      <w:r>
        <w:rPr>
          <w:rFonts w:ascii="Arial" w:cs="Arial" w:eastAsia="Arial" w:hAnsi="Arial"/>
          <w:sz w:val="18"/>
          <w:szCs w:val="18"/>
          <w:color w:val="auto"/>
        </w:rPr>
        <w:t>—</w:t>
      </w:r>
    </w:p>
    <w:p>
      <w:pPr>
        <w:spacing w:after="0" w:line="840" w:lineRule="exact"/>
        <w:rPr>
          <w:sz w:val="20"/>
          <w:szCs w:val="20"/>
          <w:color w:val="auto"/>
        </w:rPr>
      </w:pPr>
    </w:p>
    <w:p>
      <w:pPr>
        <w:sectPr>
          <w:pgSz w:w="11900" w:h="16838" w:orient="portrait"/>
          <w:cols w:equalWidth="0" w:num="2">
            <w:col w:w="6900" w:space="120"/>
            <w:col w:w="42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30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560" w:type="dxa"/>
            <w:vAlign w:val="bottom"/>
            <w:tcBorders>
              <w:top w:val="single" w:sz="8" w:color="auto"/>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2019</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60" w:type="dxa"/>
            <w:vAlign w:val="bottom"/>
            <w:vMerge w:val="continue"/>
          </w:tcPr>
          <w:p>
            <w:pPr>
              <w:spacing w:after="0"/>
              <w:rPr>
                <w:sz w:val="18"/>
                <w:szCs w:val="18"/>
                <w:color w:val="auto"/>
              </w:rPr>
            </w:pPr>
          </w:p>
        </w:tc>
        <w:tc>
          <w:tcPr>
            <w:tcW w:w="17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did not grant any stock options and there were no options exercised during 2019, 2018 and 2017. Information related to the stock option plans during 2019, 2018 and 2017 was as follows: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9"/>
              </w:rPr>
              <w:t>2018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6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Intrinsic value of options exercised</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4120" w:type="dxa"/>
            <w:vAlign w:val="bottom"/>
            <w:gridSpan w:val="2"/>
          </w:tcPr>
          <w:p>
            <w:pPr>
              <w:spacing w:after="0" w:line="176" w:lineRule="exact"/>
              <w:rPr>
                <w:sz w:val="20"/>
                <w:szCs w:val="20"/>
                <w:color w:val="auto"/>
              </w:rPr>
            </w:pPr>
            <w:r>
              <w:rPr>
                <w:rFonts w:ascii="Arial" w:cs="Arial" w:eastAsia="Arial" w:hAnsi="Arial"/>
                <w:sz w:val="18"/>
                <w:szCs w:val="18"/>
                <w:color w:val="auto"/>
              </w:rPr>
              <w:t>Weighted-average fair value of</w:t>
            </w:r>
          </w:p>
        </w:tc>
        <w:tc>
          <w:tcPr>
            <w:tcW w:w="960" w:type="dxa"/>
            <w:vAlign w:val="bottom"/>
            <w:vMerge w:val="restart"/>
          </w:tcPr>
          <w:p>
            <w:pPr>
              <w:jc w:val="right"/>
              <w:ind w:right="773"/>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53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5"/>
                <w:szCs w:val="15"/>
                <w:color w:val="auto"/>
              </w:rPr>
            </w:pPr>
          </w:p>
        </w:tc>
        <w:tc>
          <w:tcPr>
            <w:tcW w:w="96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Restricted Stock Awards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Restricted stock activity was as follows: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220"/>
              <w:spacing w:after="0"/>
              <w:rPr>
                <w:sz w:val="20"/>
                <w:szCs w:val="20"/>
                <w:color w:val="auto"/>
              </w:rPr>
            </w:pPr>
            <w:r>
              <w:rPr>
                <w:rFonts w:ascii="Arial" w:cs="Arial" w:eastAsia="Arial" w:hAnsi="Arial"/>
                <w:sz w:val="16"/>
                <w:szCs w:val="16"/>
                <w:b w:val="1"/>
                <w:bCs w:val="1"/>
                <w:color w:val="auto"/>
                <w:w w:val="98"/>
              </w:rPr>
              <w:t>Weighted-</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vMerge w:val="restart"/>
          </w:tcPr>
          <w:p>
            <w:pPr>
              <w:jc w:val="right"/>
              <w:ind w:right="45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left="96"/>
              <w:spacing w:after="0" w:line="162" w:lineRule="exact"/>
              <w:rPr>
                <w:sz w:val="20"/>
                <w:szCs w:val="20"/>
                <w:color w:val="auto"/>
              </w:rPr>
            </w:pPr>
            <w:r>
              <w:rPr>
                <w:rFonts w:ascii="Arial" w:cs="Arial" w:eastAsia="Arial" w:hAnsi="Arial"/>
                <w:sz w:val="16"/>
                <w:szCs w:val="16"/>
                <w:b w:val="1"/>
                <w:bCs w:val="1"/>
                <w:color w:val="auto"/>
                <w:w w:val="89"/>
              </w:rPr>
              <w:t>average</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ind w:left="220"/>
              <w:spacing w:after="0" w:line="162" w:lineRule="exact"/>
              <w:rPr>
                <w:sz w:val="20"/>
                <w:szCs w:val="20"/>
                <w:color w:val="auto"/>
              </w:rPr>
            </w:pPr>
            <w:r>
              <w:rPr>
                <w:rFonts w:ascii="Arial" w:cs="Arial" w:eastAsia="Arial" w:hAnsi="Arial"/>
                <w:sz w:val="16"/>
                <w:szCs w:val="16"/>
                <w:b w:val="1"/>
                <w:bCs w:val="1"/>
                <w:color w:val="auto"/>
                <w:w w:val="97"/>
              </w:rPr>
              <w:t>grant-date</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6"/>
                <w:szCs w:val="16"/>
                <w:b w:val="1"/>
                <w:bCs w:val="1"/>
                <w:color w:val="auto"/>
              </w:rPr>
              <w:t>of shares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6"/>
                <w:szCs w:val="16"/>
                <w:b w:val="1"/>
                <w:bCs w:val="1"/>
                <w:color w:val="auto"/>
                <w:w w:val="93"/>
              </w:rPr>
              <w:t>fair value</w:t>
            </w:r>
          </w:p>
        </w:tc>
        <w:tc>
          <w:tcPr>
            <w:tcW w:w="5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767,845</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Shares granted</w:t>
            </w: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261,680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Shares vested</w:t>
            </w: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(170,759)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Shares forfeited</w:t>
            </w: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833,741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Shares granted</w:t>
            </w: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229,669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5.95</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Shares vested</w:t>
            </w: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(225,536)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Shares forfeited</w:t>
            </w: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814,949</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2" w:name="page113"/>
    <w:bookmarkEnd w:id="112"/>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The fair value of restricted stock granted was based on the closing market price of the Company’s common stock on the date of grant. The restricted stock grants are included in the diluted weighted shares outstanding computation until they cliff-vest. Once vested they are included in the basic weighted shares outstanding computation.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62" w:lineRule="exact"/>
        <w:rPr>
          <w:sz w:val="20"/>
          <w:szCs w:val="20"/>
          <w:color w:val="auto"/>
        </w:rPr>
      </w:pPr>
    </w:p>
    <w:p>
      <w:pPr>
        <w:jc w:val="both"/>
        <w:ind w:left="80" w:firstLine="324"/>
        <w:spacing w:after="0" w:line="296" w:lineRule="auto"/>
        <w:rPr>
          <w:sz w:val="20"/>
          <w:szCs w:val="20"/>
          <w:color w:val="auto"/>
        </w:rPr>
      </w:pPr>
      <w:r>
        <w:rPr>
          <w:rFonts w:ascii="Arial" w:cs="Arial" w:eastAsia="Arial" w:hAnsi="Arial"/>
          <w:sz w:val="16"/>
          <w:szCs w:val="16"/>
          <w:color w:val="auto"/>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2019, 2018 and 2017, the Company contributed approximately $50,000 in each year to the Plan as an employer match of participant contributions.</w:t>
      </w:r>
    </w:p>
    <w:p>
      <w:pPr>
        <w:spacing w:after="0" w:line="94" w:lineRule="exact"/>
        <w:rPr>
          <w:sz w:val="20"/>
          <w:szCs w:val="20"/>
          <w:color w:val="auto"/>
        </w:rPr>
      </w:pPr>
    </w:p>
    <w:p>
      <w:pPr>
        <w:jc w:val="both"/>
        <w:ind w:left="80" w:firstLine="324"/>
        <w:spacing w:after="0" w:line="257" w:lineRule="auto"/>
        <w:rPr>
          <w:sz w:val="20"/>
          <w:szCs w:val="20"/>
          <w:color w:val="auto"/>
        </w:rPr>
      </w:pPr>
      <w:r>
        <w:rPr>
          <w:rFonts w:ascii="Arial" w:cs="Arial" w:eastAsia="Arial" w:hAnsi="Arial"/>
          <w:sz w:val="18"/>
          <w:szCs w:val="18"/>
          <w:color w:val="auto"/>
        </w:rPr>
        <w:t>In 2012 and 2013, the Company established non-qualified unfunded deferred compensation plans that allow participants to defer receipt of a portion of their compensation. The liability under the plans, reflected in other long term liabilities in the consolidated balance sheet, was $2.3 million and $1.6 million as of December 31, 2019 and 2018, respectively. The Company had assets consisting of company-owned life insurance contracts generally designated to pay benefits of the deferred compensation plans reflected in other assets in the consolidated balance sheet of $3.1 million and $2.3 million as of December 31, 2019 and 2018,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62"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The Company is obligated under long-term real estate leases for corporate office space that was extended during the third quarter of 2015. Prior to this extension, the lease would have expired in October 2016, the lease is now set to expire in October 2022. In addition, the research lab space at CET, under an agreement amended in July 2012, is leased through April 2023, with an option to extend the lease through April 2028. The Company also subleases a portion of the space under these leases.</w:t>
      </w:r>
    </w:p>
    <w:p>
      <w:pPr>
        <w:spacing w:after="0" w:line="119" w:lineRule="exact"/>
        <w:rPr>
          <w:sz w:val="20"/>
          <w:szCs w:val="20"/>
          <w:color w:val="auto"/>
        </w:rPr>
      </w:pPr>
    </w:p>
    <w:p>
      <w:pPr>
        <w:jc w:val="both"/>
        <w:ind w:left="80" w:right="20" w:firstLine="324"/>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as follows for the years ended December 31:</w:t>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4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2"/>
        </w:trPr>
        <w:tc>
          <w:tcPr>
            <w:tcW w:w="4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9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1,246,143</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1,136,610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1,074,437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9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688,020</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662,358</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573,494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In March 2016, the FASB issued ASU 2016-02. ASU 2016-02’s core principle is to increase transparency and comparability among organizations by recognizing lease assets and liabilities on the balance sheet and disclosing key information. The Company adopted ASU 2016-02 under the alternative transition method (the effective date approach). It allowed the Company to initially apply the new lease guidance at the adoption date (rather than at the beginning of the earliest period presented). Prior periods have not been adjusted.</w:t>
      </w:r>
    </w:p>
    <w:p>
      <w:pPr>
        <w:spacing w:after="0" w:line="106" w:lineRule="exact"/>
        <w:rPr>
          <w:sz w:val="20"/>
          <w:szCs w:val="20"/>
          <w:color w:val="auto"/>
        </w:rPr>
      </w:pPr>
    </w:p>
    <w:p>
      <w:pPr>
        <w:jc w:val="both"/>
        <w:ind w:left="80" w:firstLine="324"/>
        <w:spacing w:after="0" w:line="279" w:lineRule="auto"/>
        <w:rPr>
          <w:sz w:val="20"/>
          <w:szCs w:val="20"/>
          <w:color w:val="auto"/>
        </w:rPr>
      </w:pPr>
      <w:r>
        <w:rPr>
          <w:rFonts w:ascii="Arial" w:cs="Arial" w:eastAsia="Arial" w:hAnsi="Arial"/>
          <w:sz w:val="17"/>
          <w:szCs w:val="17"/>
          <w:color w:val="auto"/>
        </w:rPr>
        <w:t>The primary effect of adopting ASU 2016-02 to the Company was to record right-of-use assets and obligations for the leases currently classified as operating leases. The Company’s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Cumberland Emerging Technologies (“CET”),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majority-owned subsidiary, where it operates the CET Life Sciences Center. This lease currently expires in April 2023. The Company did not have any leases classified as finance leases at January 1, 2019 or December 31, 2019. The new lease accounting standard did not have a significant impact on the Company's Condensed Consolidated Statements of Operations and Comprehensive Income (Loss) for any period presented.</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elected the package of practical expedients offered in the transition guidance which allows management not to reassess lease identification, lease classification and initial direct costs at the adoption date.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operating leases resulted in initial ROU assets of $3.6 million and lease liabilities of $3.8 million as of January 1, 2019 for non-cancelable operating leases with original lease terms in excess of one year.</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remaining lease term is 3.4 years and the weighted-average incremental borrowing rate used to discount the present value of the remaining lease payments is 7.42%.</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 Position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the Company recorded the following on the Condensed Consolidated Balance Sheet:</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780" w:type="dxa"/>
            <w:vAlign w:val="bottom"/>
            <w:gridSpan w:val="2"/>
          </w:tcPr>
          <w:p>
            <w:pPr>
              <w:ind w:left="1020"/>
              <w:spacing w:after="0"/>
              <w:rPr>
                <w:sz w:val="20"/>
                <w:szCs w:val="20"/>
                <w:color w:val="auto"/>
              </w:rPr>
            </w:pPr>
            <w:r>
              <w:rPr>
                <w:rFonts w:ascii="Arial" w:cs="Arial" w:eastAsia="Arial" w:hAnsi="Arial"/>
                <w:sz w:val="18"/>
                <w:szCs w:val="18"/>
                <w:b w:val="1"/>
                <w:bCs w:val="1"/>
                <w:color w:val="auto"/>
              </w:rPr>
              <w:t>Right-of-Use Assets</w:t>
            </w:r>
          </w:p>
        </w:tc>
        <w:tc>
          <w:tcPr>
            <w:tcW w:w="4980" w:type="dxa"/>
            <w:vAlign w:val="bottom"/>
            <w:gridSpan w:val="2"/>
          </w:tcPr>
          <w:p>
            <w:pPr>
              <w:ind w:left="1280"/>
              <w:spacing w:after="0"/>
              <w:rPr>
                <w:sz w:val="20"/>
                <w:szCs w:val="20"/>
                <w:color w:val="auto"/>
              </w:rPr>
            </w:pPr>
            <w:r>
              <w:rPr>
                <w:rFonts w:ascii="Arial" w:cs="Arial" w:eastAsia="Arial" w:hAnsi="Arial"/>
                <w:sz w:val="18"/>
                <w:szCs w:val="18"/>
                <w:b w:val="1"/>
                <w:bCs w:val="1"/>
                <w:color w:val="auto"/>
              </w:rPr>
              <w:t>Balance Sheet Classification</w:t>
            </w:r>
          </w:p>
        </w:tc>
        <w:tc>
          <w:tcPr>
            <w:tcW w:w="260" w:type="dxa"/>
            <w:vAlign w:val="bottom"/>
          </w:tcPr>
          <w:p>
            <w:pPr>
              <w:spacing w:after="0"/>
              <w:rPr>
                <w:sz w:val="20"/>
                <w:szCs w:val="20"/>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December 31, 2019</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2,960,569</w:t>
            </w:r>
          </w:p>
        </w:tc>
      </w:tr>
      <w:tr>
        <w:trPr>
          <w:trHeight w:val="237"/>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2,960,569</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790"/>
        </w:trPr>
        <w:tc>
          <w:tcPr>
            <w:tcW w:w="3780" w:type="dxa"/>
            <w:vAlign w:val="bottom"/>
            <w:gridSpan w:val="2"/>
          </w:tcPr>
          <w:p>
            <w:pPr>
              <w:ind w:left="1140"/>
              <w:spacing w:after="0"/>
              <w:rPr>
                <w:sz w:val="20"/>
                <w:szCs w:val="20"/>
                <w:color w:val="auto"/>
              </w:rPr>
            </w:pPr>
            <w:r>
              <w:rPr>
                <w:rFonts w:ascii="Arial" w:cs="Arial" w:eastAsia="Arial" w:hAnsi="Arial"/>
                <w:sz w:val="18"/>
                <w:szCs w:val="18"/>
                <w:b w:val="1"/>
                <w:bCs w:val="1"/>
                <w:color w:val="auto"/>
              </w:rPr>
              <w:t>Lease Liabilities</w:t>
            </w:r>
          </w:p>
        </w:tc>
        <w:tc>
          <w:tcPr>
            <w:tcW w:w="4980" w:type="dxa"/>
            <w:vAlign w:val="bottom"/>
            <w:gridSpan w:val="2"/>
          </w:tcPr>
          <w:p>
            <w:pPr>
              <w:ind w:left="1280"/>
              <w:spacing w:after="0"/>
              <w:rPr>
                <w:sz w:val="20"/>
                <w:szCs w:val="20"/>
                <w:color w:val="auto"/>
              </w:rPr>
            </w:pPr>
            <w:r>
              <w:rPr>
                <w:rFonts w:ascii="Arial" w:cs="Arial" w:eastAsia="Arial" w:hAnsi="Arial"/>
                <w:sz w:val="18"/>
                <w:szCs w:val="18"/>
                <w:b w:val="1"/>
                <w:bCs w:val="1"/>
                <w:color w:val="auto"/>
              </w:rPr>
              <w:t>Balance Sheet Classification</w:t>
            </w:r>
          </w:p>
        </w:tc>
        <w:tc>
          <w:tcPr>
            <w:tcW w:w="260" w:type="dxa"/>
            <w:vAlign w:val="bottom"/>
          </w:tcPr>
          <w:p>
            <w:pPr>
              <w:spacing w:after="0"/>
              <w:rPr>
                <w:sz w:val="24"/>
                <w:szCs w:val="24"/>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December 31, 2019</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920,431</w:t>
            </w:r>
          </w:p>
        </w:tc>
      </w:tr>
      <w:tr>
        <w:trPr>
          <w:trHeight w:val="27"/>
        </w:trPr>
        <w:tc>
          <w:tcPr>
            <w:tcW w:w="378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2,076,472</w:t>
            </w:r>
          </w:p>
        </w:tc>
      </w:tr>
      <w:tr>
        <w:trPr>
          <w:trHeight w:val="27"/>
        </w:trPr>
        <w:tc>
          <w:tcPr>
            <w:tcW w:w="3780" w:type="dxa"/>
            <w:vAlign w:val="bottom"/>
            <w:tcBorders>
              <w:bottom w:val="single" w:sz="8" w:color="CCEEFF"/>
            </w:tcBorders>
            <w:gridSpan w:val="2"/>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7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2,996,903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4" w:name="page115"/>
    <w:bookmarkEnd w:id="114"/>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Cumulative future minimum sublease income under non-cancelable operating subleases totals approximately $0.7 million and will be paid through the leases ending in October 2022 and April 2023. Future minimum lease payments under non-cancelable operating leases (with initial or remaining lease terms in excess of one year) are as follows:</w:t>
      </w:r>
    </w:p>
    <w:p>
      <w:pPr>
        <w:spacing w:after="0" w:line="157" w:lineRule="exact"/>
        <w:rPr>
          <w:sz w:val="20"/>
          <w:szCs w:val="20"/>
          <w:color w:val="auto"/>
        </w:rPr>
      </w:pPr>
    </w:p>
    <w:tbl>
      <w:tblPr>
        <w:tblLayout w:type="fixed"/>
        <w:tblInd w:w="228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As of December 31, 2019:</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400" w:type="dxa"/>
            <w:vAlign w:val="bottom"/>
          </w:tcPr>
          <w:p>
            <w:pPr>
              <w:ind w:left="320"/>
              <w:spacing w:after="0"/>
              <w:rPr>
                <w:sz w:val="20"/>
                <w:szCs w:val="20"/>
                <w:color w:val="auto"/>
              </w:rPr>
            </w:pPr>
            <w:r>
              <w:rPr>
                <w:rFonts w:ascii="Arial" w:cs="Arial" w:eastAsia="Arial" w:hAnsi="Arial"/>
                <w:sz w:val="18"/>
                <w:szCs w:val="18"/>
                <w:color w:val="auto"/>
              </w:rPr>
              <w:t>2020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1,120,066</w:t>
            </w:r>
          </w:p>
        </w:tc>
      </w:tr>
      <w:tr>
        <w:trPr>
          <w:trHeight w:val="27"/>
        </w:trPr>
        <w:tc>
          <w:tcPr>
            <w:tcW w:w="5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1,144,889</w:t>
            </w:r>
          </w:p>
        </w:tc>
      </w:tr>
      <w:tr>
        <w:trPr>
          <w:trHeight w:val="243"/>
        </w:trPr>
        <w:tc>
          <w:tcPr>
            <w:tcW w:w="5400" w:type="dxa"/>
            <w:vAlign w:val="bottom"/>
          </w:tcPr>
          <w:p>
            <w:pPr>
              <w:ind w:left="3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1,019,313</w:t>
            </w:r>
          </w:p>
        </w:tc>
      </w:tr>
      <w:tr>
        <w:trPr>
          <w:trHeight w:val="27"/>
        </w:trPr>
        <w:tc>
          <w:tcPr>
            <w:tcW w:w="5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92,478</w:t>
            </w:r>
          </w:p>
        </w:tc>
      </w:tr>
      <w:tr>
        <w:trPr>
          <w:trHeight w:val="243"/>
        </w:trPr>
        <w:tc>
          <w:tcPr>
            <w:tcW w:w="5400" w:type="dxa"/>
            <w:vAlign w:val="bottom"/>
          </w:tcPr>
          <w:p>
            <w:pPr>
              <w:ind w:left="320"/>
              <w:spacing w:after="0"/>
              <w:rPr>
                <w:sz w:val="20"/>
                <w:szCs w:val="20"/>
                <w:color w:val="auto"/>
              </w:rPr>
            </w:pPr>
            <w:r>
              <w:rPr>
                <w:rFonts w:ascii="Arial" w:cs="Arial" w:eastAsia="Arial" w:hAnsi="Arial"/>
                <w:sz w:val="18"/>
                <w:szCs w:val="18"/>
                <w:color w:val="auto"/>
              </w:rPr>
              <w:t>After 2023</w:t>
            </w:r>
          </w:p>
        </w:tc>
        <w:tc>
          <w:tcPr>
            <w:tcW w:w="5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future minimum lease payments</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3,376,746</w:t>
            </w:r>
          </w:p>
        </w:tc>
      </w:tr>
      <w:tr>
        <w:trPr>
          <w:trHeight w:val="243"/>
        </w:trPr>
        <w:tc>
          <w:tcPr>
            <w:tcW w:w="5400" w:type="dxa"/>
            <w:vAlign w:val="bottom"/>
          </w:tcPr>
          <w:p>
            <w:pPr>
              <w:ind w:left="320"/>
              <w:spacing w:after="0"/>
              <w:rPr>
                <w:sz w:val="20"/>
                <w:szCs w:val="20"/>
                <w:color w:val="auto"/>
              </w:rPr>
            </w:pPr>
            <w:r>
              <w:rPr>
                <w:rFonts w:ascii="Arial" w:cs="Arial" w:eastAsia="Arial" w:hAnsi="Arial"/>
                <w:sz w:val="18"/>
                <w:szCs w:val="18"/>
                <w:color w:val="auto"/>
              </w:rPr>
              <w:t>Less Interest</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(379,843)</w:t>
            </w:r>
          </w:p>
        </w:tc>
      </w:tr>
      <w:tr>
        <w:trPr>
          <w:trHeight w:val="27"/>
        </w:trPr>
        <w:tc>
          <w:tcPr>
            <w:tcW w:w="5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5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Present value of lease liabilities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2,996,903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future minimum lease commitments, under Topic 840, predecessor to Topic 842, are as follows:</w:t>
      </w:r>
    </w:p>
    <w:p>
      <w:pPr>
        <w:spacing w:after="0" w:line="212"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5560" w:type="dxa"/>
            <w:vAlign w:val="bottom"/>
          </w:tcPr>
          <w:p>
            <w:pPr>
              <w:ind w:left="2760"/>
              <w:spacing w:after="0"/>
              <w:rPr>
                <w:sz w:val="20"/>
                <w:szCs w:val="20"/>
                <w:color w:val="auto"/>
              </w:rPr>
            </w:pPr>
            <w:r>
              <w:rPr>
                <w:rFonts w:ascii="Arial" w:cs="Arial" w:eastAsia="Arial" w:hAnsi="Arial"/>
                <w:sz w:val="18"/>
                <w:szCs w:val="18"/>
                <w:color w:val="auto"/>
              </w:rPr>
              <w:t>As of December 31, 2018:</w:t>
            </w: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959,902</w:t>
            </w:r>
          </w:p>
        </w:tc>
      </w:tr>
      <w:tr>
        <w:trPr>
          <w:trHeight w:val="243"/>
        </w:trPr>
        <w:tc>
          <w:tcPr>
            <w:tcW w:w="5560" w:type="dxa"/>
            <w:vAlign w:val="bottom"/>
          </w:tcPr>
          <w:p>
            <w:pPr>
              <w:ind w:left="32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980,720</w:t>
            </w:r>
          </w:p>
        </w:tc>
      </w:tr>
      <w:tr>
        <w:trPr>
          <w:trHeight w:val="27"/>
        </w:trPr>
        <w:tc>
          <w:tcPr>
            <w:tcW w:w="5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1,001,603</w:t>
            </w:r>
          </w:p>
        </w:tc>
      </w:tr>
      <w:tr>
        <w:trPr>
          <w:trHeight w:val="243"/>
        </w:trPr>
        <w:tc>
          <w:tcPr>
            <w:tcW w:w="5560" w:type="dxa"/>
            <w:vAlign w:val="bottom"/>
          </w:tcPr>
          <w:p>
            <w:pPr>
              <w:ind w:left="3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871,969</w:t>
            </w:r>
          </w:p>
        </w:tc>
      </w:tr>
      <w:tr>
        <w:trPr>
          <w:trHeight w:val="27"/>
        </w:trPr>
        <w:tc>
          <w:tcPr>
            <w:tcW w:w="5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44,508</w:t>
            </w:r>
          </w:p>
        </w:tc>
      </w:tr>
      <w:tr>
        <w:trPr>
          <w:trHeight w:val="243"/>
        </w:trPr>
        <w:tc>
          <w:tcPr>
            <w:tcW w:w="5560" w:type="dxa"/>
            <w:vAlign w:val="bottom"/>
          </w:tcPr>
          <w:p>
            <w:pPr>
              <w:ind w:left="320"/>
              <w:spacing w:after="0"/>
              <w:rPr>
                <w:sz w:val="20"/>
                <w:szCs w:val="20"/>
                <w:color w:val="auto"/>
              </w:rPr>
            </w:pPr>
            <w:r>
              <w:rPr>
                <w:rFonts w:ascii="Arial" w:cs="Arial" w:eastAsia="Arial" w:hAnsi="Arial"/>
                <w:sz w:val="18"/>
                <w:szCs w:val="18"/>
                <w:color w:val="auto"/>
              </w:rPr>
              <w:t>After 2023</w:t>
            </w:r>
          </w:p>
        </w:tc>
        <w:tc>
          <w:tcPr>
            <w:tcW w:w="5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future minimum lease payments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3,858,702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162" w:lineRule="exact"/>
        <w:rPr>
          <w:sz w:val="20"/>
          <w:szCs w:val="20"/>
          <w:color w:val="auto"/>
        </w:rPr>
      </w:pPr>
    </w:p>
    <w:p>
      <w:pPr>
        <w:jc w:val="both"/>
        <w:ind w:left="80" w:firstLine="324"/>
        <w:spacing w:after="0" w:line="311" w:lineRule="auto"/>
        <w:rPr>
          <w:sz w:val="20"/>
          <w:szCs w:val="20"/>
          <w:color w:val="auto"/>
        </w:rPr>
      </w:pPr>
      <w:r>
        <w:rPr>
          <w:rFonts w:ascii="Arial" w:cs="Arial" w:eastAsia="Arial" w:hAnsi="Arial"/>
          <w:sz w:val="16"/>
          <w:szCs w:val="16"/>
          <w:color w:val="auto"/>
        </w:rPr>
        <w:t>The Company owns marketable securities that are solely classified as trading securities as of December 31, 2019. All of these securities had a maturity date of less than ninety days and classified as cash and cash equivalents at December 31, 2019. There were no transfers of assets between levels within the fair value hierarchy. The following table summarizes the fair value of these marketable securities by level within the fair value hierarchy:</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3"/>
              </w:rPr>
              <w:t>December 31, 2019</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notes and bonds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5,034,955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5,034,955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SBA loan pools - variable rate</w:t>
            </w:r>
          </w:p>
        </w:tc>
        <w:tc>
          <w:tcPr>
            <w:tcW w:w="9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2,504,551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2,504,551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cash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751,173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751,173</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9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2,119,607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2,119,607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fair value of marketable</w:t>
            </w:r>
          </w:p>
        </w:tc>
        <w:tc>
          <w:tcPr>
            <w:tcW w:w="900" w:type="dxa"/>
            <w:vAlign w:val="bottom"/>
            <w:vMerge w:val="restart"/>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2,119,607</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2,119,607</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5,034,955</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3,255,724</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8,290,679</w:t>
            </w:r>
          </w:p>
        </w:tc>
        <w:tc>
          <w:tcPr>
            <w:tcW w:w="0" w:type="dxa"/>
            <w:vAlign w:val="bottom"/>
          </w:tcPr>
          <w:p>
            <w:pPr>
              <w:spacing w:after="0"/>
              <w:rPr>
                <w:sz w:val="1"/>
                <w:szCs w:val="1"/>
                <w:color w:val="auto"/>
              </w:rPr>
            </w:pPr>
          </w:p>
        </w:tc>
      </w:tr>
      <w:tr>
        <w:trPr>
          <w:trHeight w:val="25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900" w:type="dxa"/>
            <w:vAlign w:val="bottom"/>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The fair values of all other financial instruments outstanding as of December 31, 2019 and 2018 approximate their carrying values. There were no changes to the valuation techniques for the Level 2 marketable securities during 2019 or 2018.</w:t>
      </w:r>
    </w:p>
    <w:p>
      <w:pPr>
        <w:sectPr>
          <w:pgSz w:w="11900" w:h="16838" w:orient="portrait"/>
          <w:cols w:equalWidth="0" w:num="1">
            <w:col w:w="11320"/>
          </w:cols>
          <w:pgMar w:left="24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97790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type w:val="continuous"/>
        </w:sectPr>
      </w:pPr>
    </w:p>
    <w:bookmarkStart w:id="115" w:name="page116"/>
    <w:bookmarkEnd w:id="115"/>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Market Concentrations</w:t>
      </w:r>
    </w:p>
    <w:p>
      <w:pPr>
        <w:spacing w:after="0" w:line="148"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The Company is focused on the acquisition, development and commercialization of branded prescription products. 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spacing w:after="0" w:line="119" w:lineRule="exact"/>
        <w:rPr>
          <w:sz w:val="20"/>
          <w:szCs w:val="20"/>
          <w:color w:val="auto"/>
        </w:rPr>
      </w:pPr>
    </w:p>
    <w:p>
      <w:pPr>
        <w:ind w:left="80" w:right="20" w:firstLine="324"/>
        <w:spacing w:after="0" w:line="277" w:lineRule="auto"/>
        <w:rPr>
          <w:sz w:val="20"/>
          <w:szCs w:val="20"/>
          <w:color w:val="auto"/>
        </w:rPr>
      </w:pPr>
      <w:r>
        <w:rPr>
          <w:rFonts w:ascii="Arial" w:cs="Arial" w:eastAsia="Arial" w:hAnsi="Arial"/>
          <w:sz w:val="18"/>
          <w:szCs w:val="18"/>
          <w:color w:val="auto"/>
        </w:rPr>
        <w:t>The Company’s primary customers are wholesale pharmaceutical distributors in the U.S. Total revenues by customer for each customer representing 10% or more of consolidated revenues are summarized below for the years ended December 31:</w:t>
      </w:r>
    </w:p>
    <w:p>
      <w:pPr>
        <w:spacing w:after="0" w:line="157"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7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33"/>
        </w:trPr>
        <w:tc>
          <w:tcPr>
            <w:tcW w:w="34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42"/>
        </w:trPr>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5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1</w:t>
            </w:r>
          </w:p>
        </w:tc>
        <w:tc>
          <w:tcPr>
            <w:tcW w:w="17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rPr>
              <w:t>25%</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Customer 2</w:t>
            </w: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1560" w:type="dxa"/>
            <w:vAlign w:val="bottom"/>
          </w:tcPr>
          <w:p>
            <w:pPr>
              <w:jc w:val="right"/>
              <w:ind w:right="57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1580" w:type="dxa"/>
            <w:vAlign w:val="bottom"/>
          </w:tcPr>
          <w:p>
            <w:pPr>
              <w:jc w:val="right"/>
              <w:ind w:right="612"/>
              <w:spacing w:after="0"/>
              <w:rPr>
                <w:sz w:val="20"/>
                <w:szCs w:val="20"/>
                <w:color w:val="auto"/>
              </w:rPr>
            </w:pPr>
            <w:r>
              <w:rPr>
                <w:rFonts w:ascii="Arial" w:cs="Arial" w:eastAsia="Arial" w:hAnsi="Arial"/>
                <w:sz w:val="18"/>
                <w:szCs w:val="18"/>
                <w:color w:val="auto"/>
              </w:rPr>
              <w:t>22%</w:t>
            </w:r>
          </w:p>
        </w:tc>
      </w:tr>
      <w:tr>
        <w:trPr>
          <w:trHeight w:val="27"/>
        </w:trPr>
        <w:tc>
          <w:tcPr>
            <w:tcW w:w="3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3</w:t>
            </w:r>
          </w:p>
        </w:tc>
        <w:tc>
          <w:tcPr>
            <w:tcW w:w="17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rPr>
              <w:t>25%</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Customer 4</w:t>
            </w: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1560" w:type="dxa"/>
            <w:vAlign w:val="bottom"/>
          </w:tcPr>
          <w:p>
            <w:pPr>
              <w:jc w:val="right"/>
              <w:ind w:right="59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580" w:type="dxa"/>
            <w:vAlign w:val="bottom"/>
          </w:tcPr>
          <w:p>
            <w:pPr>
              <w:jc w:val="right"/>
              <w:ind w:right="592"/>
              <w:spacing w:after="0"/>
              <w:rPr>
                <w:sz w:val="20"/>
                <w:szCs w:val="20"/>
                <w:color w:val="auto"/>
              </w:rPr>
            </w:pPr>
            <w:r>
              <w:rPr>
                <w:rFonts w:ascii="Arial" w:cs="Arial" w:eastAsia="Arial" w:hAnsi="Arial"/>
                <w:sz w:val="18"/>
                <w:szCs w:val="18"/>
                <w:color w:val="auto"/>
              </w:rPr>
              <w:t>*%</w:t>
            </w:r>
          </w:p>
        </w:tc>
      </w:tr>
      <w:tr>
        <w:trPr>
          <w:trHeight w:val="257"/>
        </w:trPr>
        <w:tc>
          <w:tcPr>
            <w:tcW w:w="3480" w:type="dxa"/>
            <w:vAlign w:val="bottom"/>
          </w:tcPr>
          <w:p>
            <w:pPr>
              <w:spacing w:after="0"/>
              <w:rPr>
                <w:sz w:val="20"/>
                <w:szCs w:val="20"/>
                <w:color w:val="auto"/>
              </w:rPr>
            </w:pPr>
            <w:r>
              <w:rPr>
                <w:rFonts w:ascii="Arial" w:cs="Arial" w:eastAsia="Arial" w:hAnsi="Arial"/>
                <w:sz w:val="18"/>
                <w:szCs w:val="18"/>
                <w:i w:val="1"/>
                <w:iCs w:val="1"/>
                <w:color w:val="auto"/>
              </w:rPr>
              <w:t>*: less than 10% of total</w:t>
            </w:r>
          </w:p>
        </w:tc>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bl>
    <w:p>
      <w:pPr>
        <w:spacing w:after="0" w:line="364"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The Company’s accounts receivable, net of allowances, due from the customers representing 10% or more of consolidated revenue was 72% and 78% at December 31, 2019 and 2018,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Manufacturing and Supply Agreements</w:t>
      </w:r>
    </w:p>
    <w:p>
      <w:pPr>
        <w:spacing w:after="0" w:line="162" w:lineRule="exact"/>
        <w:rPr>
          <w:sz w:val="20"/>
          <w:szCs w:val="20"/>
          <w:color w:val="auto"/>
        </w:rPr>
      </w:pPr>
    </w:p>
    <w:p>
      <w:pPr>
        <w:jc w:val="both"/>
        <w:ind w:left="80" w:firstLine="324"/>
        <w:spacing w:after="0" w:line="301" w:lineRule="auto"/>
        <w:rPr>
          <w:sz w:val="20"/>
          <w:szCs w:val="20"/>
          <w:color w:val="auto"/>
        </w:rPr>
      </w:pPr>
      <w:r>
        <w:rPr>
          <w:rFonts w:ascii="Arial" w:cs="Arial" w:eastAsia="Arial" w:hAnsi="Arial"/>
          <w:sz w:val="16"/>
          <w:szCs w:val="16"/>
          <w:color w:val="auto"/>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 suppliers could cause a delay in manufacturing or shipment of finished goods and possible loss of sales, which could adversely affect operating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Employment Agreements</w:t>
      </w:r>
    </w:p>
    <w:p>
      <w:pPr>
        <w:spacing w:after="0" w:line="162" w:lineRule="exact"/>
        <w:rPr>
          <w:sz w:val="20"/>
          <w:szCs w:val="20"/>
          <w:color w:val="auto"/>
        </w:rPr>
      </w:pPr>
    </w:p>
    <w:p>
      <w:pPr>
        <w:jc w:val="both"/>
        <w:ind w:left="80" w:right="20" w:firstLine="324"/>
        <w:spacing w:after="0" w:line="308" w:lineRule="auto"/>
        <w:rPr>
          <w:sz w:val="20"/>
          <w:szCs w:val="20"/>
          <w:color w:val="auto"/>
        </w:rPr>
      </w:pPr>
      <w:r>
        <w:rPr>
          <w:rFonts w:ascii="Arial" w:cs="Arial" w:eastAsia="Arial" w:hAnsi="Arial"/>
          <w:sz w:val="17"/>
          <w:szCs w:val="17"/>
          <w:color w:val="auto"/>
        </w:rPr>
        <w:t>The Company has entered into employment agreements with all its full-time employees. Each employment agreement provides for a salary for services performed, a potential annual bonus and, if applicable, a grant of restricted common shares pursuant to a restricted stock agreement.</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(20) Discontinued Operations</w:t>
      </w:r>
    </w:p>
    <w:p>
      <w:pPr>
        <w:spacing w:after="0" w:line="162" w:lineRule="exact"/>
        <w:rPr>
          <w:sz w:val="20"/>
          <w:szCs w:val="20"/>
          <w:color w:val="auto"/>
        </w:rPr>
      </w:pPr>
    </w:p>
    <w:p>
      <w:pPr>
        <w:jc w:val="both"/>
        <w:ind w:left="80" w:firstLine="324"/>
        <w:spacing w:after="0" w:line="311" w:lineRule="auto"/>
        <w:rPr>
          <w:sz w:val="20"/>
          <w:szCs w:val="20"/>
          <w:color w:val="auto"/>
        </w:rPr>
      </w:pPr>
      <w:r>
        <w:rPr>
          <w:rFonts w:ascii="Arial" w:cs="Arial" w:eastAsia="Arial" w:hAnsi="Arial"/>
          <w:sz w:val="16"/>
          <w:szCs w:val="16"/>
          <w:color w:val="auto"/>
        </w:rPr>
        <w:t>In 2016, Cumberland entered into an agreement with Clinigen Group Plc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 Ethyol and Totect are collectively referred to herein as the "Products."</w:t>
      </w:r>
    </w:p>
    <w:p>
      <w:pPr>
        <w:spacing w:after="0" w:line="68" w:lineRule="exact"/>
        <w:rPr>
          <w:sz w:val="20"/>
          <w:szCs w:val="20"/>
          <w:color w:val="auto"/>
        </w:rPr>
      </w:pPr>
    </w:p>
    <w:p>
      <w:pPr>
        <w:jc w:val="both"/>
        <w:ind w:left="80" w:firstLine="324"/>
        <w:spacing w:after="0" w:line="255" w:lineRule="auto"/>
        <w:rPr>
          <w:sz w:val="20"/>
          <w:szCs w:val="20"/>
          <w:color w:val="auto"/>
        </w:rPr>
      </w:pPr>
      <w:r>
        <w:rPr>
          <w:rFonts w:ascii="Arial" w:cs="Arial" w:eastAsia="Arial" w:hAnsi="Arial"/>
          <w:sz w:val="18"/>
          <w:szCs w:val="18"/>
          <w:color w:val="auto"/>
        </w:rPr>
        <w:t>Early in 2019, Cumberland announced a strategic review the Company's brands, capabilities, and international partners. This review followed an accelerated business development initiative, which resulted in a series of transactions. Because of that progress, Cumberland felt that it was prudent to take a fresh look at our product portfolio, partners, and organization to ensure proper focus and capabilities. In May 2019 following the strategic review, Cumberland entered into an agreement with Clinigen to return the exclusive rights to the Products (the "Agreement"). The Agreement provided for a conclusion of the Company's arrangements with Clinigen effective September 30, 2019. Under the terms of the Agreement, Cumberland will no longer distribute the Products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6" w:name="page117"/>
    <w:bookmarkEnd w:id="116"/>
    <w:p>
      <w:pPr>
        <w:jc w:val="center"/>
        <w:ind w:right="-72"/>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73"/>
        <w:spacing w:after="0" w:line="277" w:lineRule="auto"/>
        <w:rPr>
          <w:sz w:val="20"/>
          <w:szCs w:val="20"/>
          <w:color w:val="auto"/>
        </w:rPr>
      </w:pPr>
      <w:r>
        <w:rPr>
          <w:rFonts w:ascii="Arial" w:cs="Arial" w:eastAsia="Arial" w:hAnsi="Arial"/>
          <w:sz w:val="18"/>
          <w:szCs w:val="18"/>
          <w:color w:val="auto"/>
        </w:rPr>
        <w:t>transition date and will receive $5 million in financial consideration from Clinigen, paid over a two-year period. Cumberland agreed not to sell competing products during the same two-year period.</w:t>
      </w:r>
    </w:p>
    <w:p>
      <w:pPr>
        <w:spacing w:after="0" w:line="89" w:lineRule="exact"/>
        <w:rPr>
          <w:sz w:val="20"/>
          <w:szCs w:val="20"/>
          <w:color w:val="auto"/>
        </w:rPr>
      </w:pPr>
    </w:p>
    <w:p>
      <w:pPr>
        <w:jc w:val="both"/>
        <w:ind w:left="73" w:firstLine="324"/>
        <w:spacing w:after="0" w:line="286" w:lineRule="auto"/>
        <w:rPr>
          <w:sz w:val="20"/>
          <w:szCs w:val="20"/>
          <w:color w:val="auto"/>
        </w:rPr>
      </w:pPr>
      <w:r>
        <w:rPr>
          <w:rFonts w:ascii="Arial" w:cs="Arial" w:eastAsia="Arial" w:hAnsi="Arial"/>
          <w:sz w:val="17"/>
          <w:szCs w:val="17"/>
          <w:color w:val="auto"/>
        </w:rPr>
        <w:t>In September 2019, Clinigen and Cumberland completed an amendment to the Agreement, whereby the transition date was changed to late December 2019. Under the final terms of the amended Agreement, the Company returned the Product rights to Clinigen on December 31, 2019. Except for the Products' inventory as of December 31, 2019, no other operating assets and no liabilities were transferred to Clinigen.</w:t>
      </w:r>
    </w:p>
    <w:p>
      <w:pPr>
        <w:spacing w:after="0" w:line="98" w:lineRule="exact"/>
        <w:rPr>
          <w:sz w:val="20"/>
          <w:szCs w:val="20"/>
          <w:color w:val="auto"/>
        </w:rPr>
      </w:pPr>
    </w:p>
    <w:p>
      <w:pPr>
        <w:jc w:val="both"/>
        <w:ind w:left="73" w:firstLine="324"/>
        <w:spacing w:after="0" w:line="259" w:lineRule="auto"/>
        <w:rPr>
          <w:sz w:val="20"/>
          <w:szCs w:val="20"/>
          <w:color w:val="auto"/>
        </w:rPr>
      </w:pPr>
      <w:r>
        <w:rPr>
          <w:rFonts w:ascii="Arial" w:cs="Arial" w:eastAsia="Arial" w:hAnsi="Arial"/>
          <w:sz w:val="18"/>
          <w:szCs w:val="18"/>
          <w:color w:val="auto"/>
        </w:rPr>
        <w:t>The exit from the Ethyol and Totect Products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358" w:lineRule="exact"/>
        <w:rPr>
          <w:sz w:val="20"/>
          <w:szCs w:val="20"/>
          <w:color w:val="auto"/>
        </w:rPr>
      </w:pPr>
    </w:p>
    <w:p>
      <w:pPr>
        <w:ind w:left="413" w:right="8420" w:hanging="413"/>
        <w:spacing w:after="0" w:line="441" w:lineRule="auto"/>
        <w:tabs>
          <w:tab w:leader="none" w:pos="353"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Commitments</w:t>
      </w:r>
    </w:p>
    <w:p>
      <w:pPr>
        <w:spacing w:after="0" w:line="1"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In connection with the acquisition of certain Kristalose assets during 2011, the Company was required to make quarterly payments based on a percentage of Kristalose net sales through November 2018. The payments were treated as consideration for the assets acquired and were capitalized. They are being amortized over the remaining expected useful life of the acquired asset, currently through 2026.</w:t>
      </w:r>
    </w:p>
    <w:p>
      <w:pPr>
        <w:spacing w:after="0" w:line="116" w:lineRule="exact"/>
        <w:rPr>
          <w:sz w:val="20"/>
          <w:szCs w:val="20"/>
          <w:color w:val="auto"/>
        </w:rPr>
      </w:pPr>
    </w:p>
    <w:p>
      <w:pPr>
        <w:ind w:left="413"/>
        <w:spacing w:after="0"/>
        <w:rPr>
          <w:sz w:val="20"/>
          <w:szCs w:val="20"/>
          <w:color w:val="auto"/>
        </w:rPr>
      </w:pPr>
      <w:r>
        <w:rPr>
          <w:rFonts w:ascii="Arial" w:cs="Arial" w:eastAsia="Arial" w:hAnsi="Arial"/>
          <w:sz w:val="17"/>
          <w:szCs w:val="17"/>
          <w:color w:val="auto"/>
        </w:rPr>
        <w:t>In connection with its licensing agreements for Caldolor, the Company is required to pay royalties based on net sales over the life of the product.</w:t>
      </w:r>
    </w:p>
    <w:p>
      <w:pPr>
        <w:spacing w:after="0" w:line="35" w:lineRule="exact"/>
        <w:rPr>
          <w:sz w:val="20"/>
          <w:szCs w:val="20"/>
          <w:color w:val="auto"/>
        </w:rPr>
      </w:pPr>
    </w:p>
    <w:p>
      <w:pPr>
        <w:ind w:left="73"/>
        <w:spacing w:after="0"/>
        <w:rPr>
          <w:sz w:val="20"/>
          <w:szCs w:val="20"/>
          <w:color w:val="auto"/>
        </w:rPr>
      </w:pPr>
      <w:r>
        <w:rPr>
          <w:rFonts w:ascii="Arial" w:cs="Arial" w:eastAsia="Arial" w:hAnsi="Arial"/>
          <w:sz w:val="18"/>
          <w:szCs w:val="18"/>
          <w:color w:val="auto"/>
        </w:rPr>
        <w:t>Royalty expense is recognized as a component of selling and marketing expense in the period that revenue is recognized.</w:t>
      </w:r>
    </w:p>
    <w:p>
      <w:pPr>
        <w:spacing w:after="0" w:line="130"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In connection with its licensing agreements for Ethyol and Totect, the Company was required to pay royalties based on net sales. The royalty expense was recognized as a component of selling and marketing expense in the period the associated revenue was recognized through the end of the licensing period, December 31, 2019.</w:t>
      </w:r>
    </w:p>
    <w:p>
      <w:pPr>
        <w:spacing w:after="0" w:line="116" w:lineRule="exact"/>
        <w:rPr>
          <w:sz w:val="20"/>
          <w:szCs w:val="20"/>
          <w:color w:val="auto"/>
        </w:rPr>
      </w:pPr>
    </w:p>
    <w:p>
      <w:pPr>
        <w:jc w:val="both"/>
        <w:ind w:left="73" w:firstLine="324"/>
        <w:spacing w:after="0" w:line="263" w:lineRule="auto"/>
        <w:rPr>
          <w:sz w:val="20"/>
          <w:szCs w:val="20"/>
          <w:color w:val="auto"/>
        </w:rPr>
      </w:pPr>
      <w:r>
        <w:rPr>
          <w:rFonts w:ascii="Arial" w:cs="Arial" w:eastAsia="Arial" w:hAnsi="Arial"/>
          <w:sz w:val="18"/>
          <w:szCs w:val="18"/>
          <w:color w:val="auto"/>
        </w:rPr>
        <w:t>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w:t>
      </w:r>
    </w:p>
    <w:p>
      <w:pPr>
        <w:spacing w:after="0" w:line="116" w:lineRule="exact"/>
        <w:rPr>
          <w:sz w:val="20"/>
          <w:szCs w:val="20"/>
          <w:color w:val="auto"/>
        </w:rPr>
      </w:pPr>
    </w:p>
    <w:p>
      <w:pPr>
        <w:ind w:left="733"/>
        <w:spacing w:after="0"/>
        <w:rPr>
          <w:sz w:val="20"/>
          <w:szCs w:val="20"/>
          <w:color w:val="auto"/>
        </w:rPr>
      </w:pPr>
      <w:r>
        <w:rPr>
          <w:rFonts w:ascii="Arial" w:cs="Arial" w:eastAsia="Arial" w:hAnsi="Arial"/>
          <w:sz w:val="18"/>
          <w:szCs w:val="18"/>
          <w:b w:val="1"/>
          <w:bCs w:val="1"/>
          <w:i w:val="1"/>
          <w:iCs w:val="1"/>
          <w:color w:val="auto"/>
        </w:rPr>
        <w:t>Legal Matters</w:t>
      </w:r>
    </w:p>
    <w:p>
      <w:pPr>
        <w:spacing w:after="0" w:line="144" w:lineRule="exact"/>
        <w:rPr>
          <w:sz w:val="20"/>
          <w:szCs w:val="20"/>
          <w:color w:val="auto"/>
        </w:rPr>
      </w:pPr>
    </w:p>
    <w:p>
      <w:pPr>
        <w:jc w:val="both"/>
        <w:ind w:left="73" w:firstLine="324"/>
        <w:spacing w:after="0" w:line="301" w:lineRule="auto"/>
        <w:rPr>
          <w:sz w:val="20"/>
          <w:szCs w:val="20"/>
          <w:color w:val="auto"/>
        </w:rPr>
      </w:pPr>
      <w:r>
        <w:rPr>
          <w:rFonts w:ascii="Arial" w:cs="Arial" w:eastAsia="Arial" w:hAnsi="Arial"/>
          <w:sz w:val="16"/>
          <w:szCs w:val="16"/>
          <w:color w:val="auto"/>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90" w:lineRule="exact"/>
        <w:rPr>
          <w:sz w:val="20"/>
          <w:szCs w:val="20"/>
          <w:color w:val="auto"/>
        </w:rPr>
      </w:pPr>
    </w:p>
    <w:p>
      <w:pPr>
        <w:jc w:val="both"/>
        <w:ind w:left="73" w:firstLine="324"/>
        <w:spacing w:after="0" w:line="277" w:lineRule="auto"/>
        <w:rPr>
          <w:sz w:val="20"/>
          <w:szCs w:val="20"/>
          <w:color w:val="auto"/>
        </w:rPr>
      </w:pPr>
      <w:r>
        <w:rPr>
          <w:rFonts w:ascii="Arial" w:cs="Arial" w:eastAsia="Arial" w:hAnsi="Arial"/>
          <w:sz w:val="18"/>
          <w:szCs w:val="18"/>
          <w:color w:val="auto"/>
        </w:rPr>
        <w:t>Since 2012, Cumberland has to continued to vigorously defend and protect its Acetadote product and related intellectual property rights including the use of all its legal options.</w:t>
      </w:r>
    </w:p>
    <w:p>
      <w:pPr>
        <w:spacing w:after="0" w:line="103" w:lineRule="exact"/>
        <w:rPr>
          <w:sz w:val="20"/>
          <w:szCs w:val="20"/>
          <w:color w:val="auto"/>
        </w:rPr>
      </w:pPr>
    </w:p>
    <w:p>
      <w:pPr>
        <w:jc w:val="both"/>
        <w:ind w:left="73" w:firstLine="324"/>
        <w:spacing w:after="0" w:line="342" w:lineRule="auto"/>
        <w:rPr>
          <w:sz w:val="20"/>
          <w:szCs w:val="20"/>
          <w:color w:val="auto"/>
        </w:rPr>
      </w:pPr>
      <w:r>
        <w:rPr>
          <w:rFonts w:ascii="Arial" w:cs="Arial" w:eastAsia="Arial" w:hAnsi="Arial"/>
          <w:sz w:val="16"/>
          <w:szCs w:val="16"/>
          <w:color w:val="auto"/>
        </w:rPr>
        <w:t>The Company is a party to various other legal proceedings in the ordinary course of its business. In the opinion of management, the liability associated with these matters, will not have a material adverse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Information (Unaudited)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unaudited operating results for each fiscal quarter of 2019 and 2018:</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First</w:t>
            </w:r>
          </w:p>
        </w:tc>
        <w:tc>
          <w:tcPr>
            <w:tcW w:w="22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Second</w:t>
            </w:r>
          </w:p>
        </w:tc>
        <w:tc>
          <w:tcPr>
            <w:tcW w:w="22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Third</w:t>
            </w:r>
          </w:p>
        </w:tc>
        <w:tc>
          <w:tcPr>
            <w:tcW w:w="22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Fourth</w:t>
            </w:r>
          </w:p>
        </w:tc>
        <w:tc>
          <w:tcPr>
            <w:tcW w:w="280" w:type="dxa"/>
            <w:vAlign w:val="bottom"/>
          </w:tcPr>
          <w:p>
            <w:pPr>
              <w:spacing w:after="0"/>
              <w:rPr>
                <w:sz w:val="16"/>
                <w:szCs w:val="16"/>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11,902,747</w:t>
            </w:r>
          </w:p>
        </w:tc>
        <w:tc>
          <w:tcPr>
            <w:tcW w:w="1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11,580,600</w:t>
            </w:r>
          </w:p>
        </w:tc>
        <w:tc>
          <w:tcPr>
            <w:tcW w:w="1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10,371,918</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13,678,372</w:t>
            </w:r>
          </w:p>
        </w:tc>
        <w:tc>
          <w:tcPr>
            <w:tcW w:w="14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47,533,637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(176,796)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(601,715)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(1,847,085)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(997,409)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(3,623,005)</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common shareholders</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(73,878)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(549,507)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(1,953,668)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(960,706)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(3,537,759)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Earnings (loss) per share attributable to</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common shareholders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8,587,605</w:t>
            </w:r>
          </w:p>
        </w:tc>
        <w:tc>
          <w:tcPr>
            <w:tcW w:w="1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10,163,724</w:t>
            </w:r>
          </w:p>
        </w:tc>
        <w:tc>
          <w:tcPr>
            <w:tcW w:w="1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8,492,530</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13,497,906</w:t>
            </w:r>
          </w:p>
        </w:tc>
        <w:tc>
          <w:tcPr>
            <w:tcW w:w="14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40,741,765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(2,452,222)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(868,978)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(1,806,883)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(2,262,689)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(7,390,772)</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common shareholders</w:t>
            </w:r>
          </w:p>
        </w:tc>
        <w:tc>
          <w:tcPr>
            <w:tcW w:w="2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(2,379,239)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(720,688)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(1,643,044)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(2,220,097)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(6,963,068)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Earnings (loss) per share attributable to</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common shareholders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14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820" w:hanging="327"/>
        <w:spacing w:after="0" w:line="275" w:lineRule="auto"/>
        <w:tabs>
          <w:tab w:leader="none" w:pos="731"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Due to the nature of interim earnings per share calculations, the sum of the quarterly earnings (loss) per share amounts may not equal the reported earnings (loss) per share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8" w:name="page119"/>
    <w:bookmarkEnd w:id="118"/>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135" w:lineRule="exact"/>
        <w:rPr>
          <w:sz w:val="20"/>
          <w:szCs w:val="20"/>
          <w:color w:val="auto"/>
        </w:rPr>
      </w:pPr>
    </w:p>
    <w:p>
      <w:pPr>
        <w:jc w:val="both"/>
        <w:ind w:left="80" w:firstLine="324"/>
        <w:spacing w:after="0" w:line="275"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global pandemic, which continues to spread throughout the United States and around the world. As of March 20, 2020, the Company is aware of changes in its business as a result of COVID-19 but uncertain of the impacts of those changes on its consolidated statements of position, operations or cash flows. Management believes any disruption, when and if experienced, could be temporary; however, there is uncertainty around when any disruption might occur, the duration and hence the potential impact. As a result, we are unable to estimate the potential impact on our business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9" w:name="page120"/>
    <w:bookmarkEnd w:id="119"/>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4"/>
                <w:szCs w:val="24"/>
                <w:color w:val="auto"/>
              </w:rPr>
            </w:pPr>
          </w:p>
        </w:tc>
        <w:tc>
          <w:tcPr>
            <w:tcW w:w="6400" w:type="dxa"/>
            <w:vAlign w:val="bottom"/>
            <w:gridSpan w:val="13"/>
          </w:tcPr>
          <w:p>
            <w:pPr>
              <w:jc w:val="center"/>
              <w:ind w:right="851"/>
              <w:spacing w:after="0"/>
              <w:rPr>
                <w:sz w:val="20"/>
                <w:szCs w:val="20"/>
                <w:color w:val="auto"/>
              </w:rPr>
            </w:pPr>
            <w:r>
              <w:rPr>
                <w:rFonts w:ascii="Arial" w:cs="Arial" w:eastAsia="Arial" w:hAnsi="Arial"/>
                <w:sz w:val="18"/>
                <w:szCs w:val="18"/>
                <w:b w:val="1"/>
                <w:bCs w:val="1"/>
                <w:color w:val="auto"/>
              </w:rPr>
              <w:t>CUMBERLAND PHARMACEUTICALS INC. AND SUBSIDIARIES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40" w:type="dxa"/>
            <w:vAlign w:val="bottom"/>
            <w:gridSpan w:val="8"/>
          </w:tcPr>
          <w:p>
            <w:pPr>
              <w:jc w:val="center"/>
              <w:ind w:right="920"/>
              <w:spacing w:after="0"/>
              <w:rPr>
                <w:sz w:val="20"/>
                <w:szCs w:val="20"/>
                <w:color w:val="auto"/>
              </w:rPr>
            </w:pPr>
            <w:r>
              <w:rPr>
                <w:rFonts w:ascii="Arial" w:cs="Arial" w:eastAsia="Arial" w:hAnsi="Arial"/>
                <w:sz w:val="18"/>
                <w:szCs w:val="18"/>
                <w:color w:val="auto"/>
                <w:w w:val="92"/>
              </w:rPr>
              <w:t>Valuation and Qualifying Accounts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9"/>
          </w:tcPr>
          <w:p>
            <w:pPr>
              <w:jc w:val="center"/>
              <w:ind w:left="93"/>
              <w:spacing w:after="0"/>
              <w:rPr>
                <w:sz w:val="20"/>
                <w:szCs w:val="20"/>
                <w:color w:val="auto"/>
              </w:rPr>
            </w:pPr>
            <w:r>
              <w:rPr>
                <w:rFonts w:ascii="Arial" w:cs="Arial" w:eastAsia="Arial" w:hAnsi="Arial"/>
                <w:sz w:val="18"/>
                <w:szCs w:val="18"/>
                <w:color w:val="auto"/>
                <w:w w:val="88"/>
              </w:rPr>
              <w:t>Years ended December 31, 2019, 2018 and 2017</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2"/>
              </w:rPr>
              <w:t>Charged to</w:t>
            </w:r>
          </w:p>
        </w:tc>
        <w:tc>
          <w:tcPr>
            <w:tcW w:w="180" w:type="dxa"/>
            <w:vAlign w:val="bottom"/>
          </w:tcPr>
          <w:p>
            <w:pPr>
              <w:spacing w:after="0"/>
              <w:rPr>
                <w:sz w:val="22"/>
                <w:szCs w:val="22"/>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Charged to</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2900" w:type="dxa"/>
            <w:vAlign w:val="bottom"/>
            <w:vMerge w:val="restart"/>
          </w:tcPr>
          <w:p>
            <w:pPr>
              <w:ind w:left="106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660"/>
              <w:spacing w:after="0" w:line="162" w:lineRule="exact"/>
              <w:rPr>
                <w:sz w:val="20"/>
                <w:szCs w:val="20"/>
                <w:color w:val="auto"/>
              </w:rPr>
            </w:pPr>
            <w:r>
              <w:rPr>
                <w:rFonts w:ascii="Arial" w:cs="Arial" w:eastAsia="Arial" w:hAnsi="Arial"/>
                <w:sz w:val="16"/>
                <w:szCs w:val="16"/>
                <w:b w:val="1"/>
                <w:bCs w:val="1"/>
                <w:color w:val="auto"/>
                <w:w w:val="85"/>
              </w:rPr>
              <w:t>costs and</w:t>
            </w:r>
          </w:p>
        </w:tc>
        <w:tc>
          <w:tcPr>
            <w:tcW w:w="180" w:type="dxa"/>
            <w:vAlign w:val="bottom"/>
          </w:tcPr>
          <w:p>
            <w:pPr>
              <w:spacing w:after="0"/>
              <w:rPr>
                <w:sz w:val="14"/>
                <w:szCs w:val="14"/>
                <w:color w:val="auto"/>
              </w:rPr>
            </w:pPr>
          </w:p>
        </w:tc>
        <w:tc>
          <w:tcPr>
            <w:tcW w:w="134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89"/>
              </w:rPr>
              <w:t>other</w:t>
            </w:r>
          </w:p>
        </w:tc>
        <w:tc>
          <w:tcPr>
            <w:tcW w:w="220" w:type="dxa"/>
            <w:vAlign w:val="bottom"/>
          </w:tcPr>
          <w:p>
            <w:pPr>
              <w:spacing w:after="0"/>
              <w:rPr>
                <w:sz w:val="14"/>
                <w:szCs w:val="14"/>
                <w:color w:val="auto"/>
              </w:rPr>
            </w:pPr>
          </w:p>
        </w:tc>
        <w:tc>
          <w:tcPr>
            <w:tcW w:w="122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Deductions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82"/>
              </w:rPr>
              <w:t>expenses</w:t>
            </w: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5"/>
              </w:rPr>
              <w:t>accounts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end of period</w:t>
            </w:r>
          </w:p>
        </w:tc>
        <w:tc>
          <w:tcPr>
            <w:tcW w:w="0" w:type="dxa"/>
            <w:vAlign w:val="bottom"/>
          </w:tcPr>
          <w:p>
            <w:pPr>
              <w:spacing w:after="0"/>
              <w:rPr>
                <w:sz w:val="1"/>
                <w:szCs w:val="1"/>
                <w:color w:val="auto"/>
              </w:rPr>
            </w:pPr>
          </w:p>
        </w:tc>
      </w:tr>
      <w:tr>
        <w:trPr>
          <w:trHeight w:val="145"/>
        </w:trPr>
        <w:tc>
          <w:tcPr>
            <w:tcW w:w="2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Allowance for uncollectible amounts,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discounts, chargebacks, and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credits issued for damaged products:</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40"/>
              <w:spacing w:after="0" w:line="176" w:lineRule="exact"/>
              <w:rPr>
                <w:sz w:val="20"/>
                <w:szCs w:val="20"/>
                <w:color w:val="auto"/>
              </w:rPr>
            </w:pPr>
            <w:r>
              <w:rPr>
                <w:rFonts w:ascii="Arial" w:cs="Arial" w:eastAsia="Arial" w:hAnsi="Arial"/>
                <w:sz w:val="18"/>
                <w:szCs w:val="18"/>
                <w:color w:val="auto"/>
              </w:rPr>
              <w:t>For the years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jc w:val="right"/>
              <w:ind w:right="2011"/>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449,859</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5,066,526</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(5,008,851)</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507,534</w:t>
            </w:r>
          </w:p>
        </w:tc>
        <w:tc>
          <w:tcPr>
            <w:tcW w:w="0" w:type="dxa"/>
            <w:vAlign w:val="bottom"/>
          </w:tcPr>
          <w:p>
            <w:pPr>
              <w:spacing w:after="0"/>
              <w:rPr>
                <w:sz w:val="1"/>
                <w:szCs w:val="1"/>
                <w:color w:val="auto"/>
              </w:rPr>
            </w:pPr>
          </w:p>
        </w:tc>
      </w:tr>
      <w:tr>
        <w:trPr>
          <w:trHeight w:val="243"/>
        </w:trPr>
        <w:tc>
          <w:tcPr>
            <w:tcW w:w="2900" w:type="dxa"/>
            <w:vAlign w:val="bottom"/>
          </w:tcPr>
          <w:p>
            <w:pPr>
              <w:jc w:val="right"/>
              <w:ind w:right="2011"/>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5,932,248</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(5,446,442)</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993,340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jc w:val="right"/>
              <w:ind w:right="2011"/>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7,010,141</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(7,195,470)</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808,011</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Valuation allowance for deferred tax</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40"/>
              <w:spacing w:after="0" w:line="176" w:lineRule="exact"/>
              <w:rPr>
                <w:sz w:val="20"/>
                <w:szCs w:val="20"/>
                <w:color w:val="auto"/>
              </w:rPr>
            </w:pPr>
            <w:r>
              <w:rPr>
                <w:rFonts w:ascii="Arial" w:cs="Arial" w:eastAsia="Arial" w:hAnsi="Arial"/>
                <w:sz w:val="18"/>
                <w:szCs w:val="18"/>
                <w:color w:val="auto"/>
              </w:rPr>
              <w:t>For the years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jc w:val="right"/>
              <w:ind w:right="2011"/>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388,500</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(665,039)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15,908,774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15,632,235</w:t>
            </w:r>
          </w:p>
        </w:tc>
        <w:tc>
          <w:tcPr>
            <w:tcW w:w="0" w:type="dxa"/>
            <w:vAlign w:val="bottom"/>
          </w:tcPr>
          <w:p>
            <w:pPr>
              <w:spacing w:after="0"/>
              <w:rPr>
                <w:sz w:val="1"/>
                <w:szCs w:val="1"/>
                <w:color w:val="auto"/>
              </w:rPr>
            </w:pPr>
          </w:p>
        </w:tc>
      </w:tr>
      <w:tr>
        <w:trPr>
          <w:trHeight w:val="243"/>
        </w:trPr>
        <w:tc>
          <w:tcPr>
            <w:tcW w:w="2900" w:type="dxa"/>
            <w:vAlign w:val="bottom"/>
          </w:tcPr>
          <w:p>
            <w:pPr>
              <w:jc w:val="right"/>
              <w:ind w:right="2011"/>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15,632,235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1,749,817</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17,382,052</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00" w:type="dxa"/>
            <w:vAlign w:val="bottom"/>
            <w:shd w:val="clear" w:color="auto" w:fill="CCEEFF"/>
          </w:tcPr>
          <w:p>
            <w:pPr>
              <w:jc w:val="right"/>
              <w:ind w:right="2011"/>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17,382,052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1,129,109</w:t>
            </w: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18,511,161</w:t>
            </w:r>
          </w:p>
        </w:tc>
        <w:tc>
          <w:tcPr>
            <w:tcW w:w="0" w:type="dxa"/>
            <w:vAlign w:val="bottom"/>
          </w:tcPr>
          <w:p>
            <w:pPr>
              <w:spacing w:after="0"/>
              <w:rPr>
                <w:sz w:val="1"/>
                <w:szCs w:val="1"/>
                <w:color w:val="auto"/>
              </w:rPr>
            </w:pPr>
          </w:p>
        </w:tc>
      </w:tr>
      <w:tr>
        <w:trPr>
          <w:trHeight w:val="27"/>
        </w:trPr>
        <w:tc>
          <w:tcPr>
            <w:tcW w:w="2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Composed of actual returns and credits for chargebacks and cash discounts.</w:t>
      </w:r>
    </w:p>
    <w:p>
      <w:pPr>
        <w:spacing w:after="0" w:line="153" w:lineRule="exact"/>
        <w:rPr>
          <w:rFonts w:ascii="Arial" w:cs="Arial" w:eastAsia="Arial" w:hAnsi="Arial"/>
          <w:sz w:val="16"/>
          <w:szCs w:val="16"/>
          <w:color w:val="auto"/>
        </w:rPr>
      </w:pPr>
    </w:p>
    <w:p>
      <w:pPr>
        <w:ind w:right="160" w:firstLine="8"/>
        <w:spacing w:after="0" w:line="275" w:lineRule="auto"/>
        <w:tabs>
          <w:tab w:leader="none" w:pos="22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 includes $4,202,854 related to increase in the valuation allowance during the year, net of $4,867,893 related to the revaluation of deferred income tax balances for new rates under the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March 16,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A.J. Kazimi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Re: Employment of A.J. Kazimi as Chief Executive Officer by Cumberland Pharmaceuticals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A.J.:</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Effective January 1, 2020,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47" w:lineRule="exact"/>
        <w:rPr>
          <w:sz w:val="20"/>
          <w:szCs w:val="20"/>
          <w:color w:val="auto"/>
        </w:rPr>
      </w:pPr>
    </w:p>
    <w:p>
      <w:pPr>
        <w:jc w:val="both"/>
        <w:ind w:firstLine="8"/>
        <w:spacing w:after="0" w:line="261" w:lineRule="auto"/>
        <w:tabs>
          <w:tab w:leader="none" w:pos="285"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five hundred eighty-nine thousand five hundred dollars ($589,500.00), payable in arrears in equal monthly installments on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calendar month of 2020.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6" w:lineRule="exact"/>
        <w:rPr>
          <w:rFonts w:ascii="Arial" w:cs="Arial" w:eastAsia="Arial" w:hAnsi="Arial"/>
          <w:sz w:val="20"/>
          <w:szCs w:val="20"/>
          <w:color w:val="auto"/>
        </w:rPr>
      </w:pPr>
    </w:p>
    <w:p>
      <w:pPr>
        <w:jc w:val="both"/>
        <w:ind w:firstLine="8"/>
        <w:spacing w:after="0" w:line="253" w:lineRule="auto"/>
        <w:tabs>
          <w:tab w:leader="none" w:pos="297" w:val="left"/>
        </w:tabs>
        <w:numPr>
          <w:ilvl w:val="0"/>
          <w:numId w:val="40"/>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2" w:lineRule="exact"/>
        <w:rPr>
          <w:rFonts w:ascii="Arial" w:cs="Arial" w:eastAsia="Arial" w:hAnsi="Arial"/>
          <w:sz w:val="22"/>
          <w:szCs w:val="22"/>
          <w:color w:val="auto"/>
        </w:rPr>
      </w:pPr>
    </w:p>
    <w:p>
      <w:pPr>
        <w:jc w:val="both"/>
        <w:ind w:firstLine="8"/>
        <w:spacing w:after="0" w:line="265" w:lineRule="auto"/>
        <w:tabs>
          <w:tab w:leader="none" w:pos="285" w:val="left"/>
        </w:tabs>
        <w:numPr>
          <w:ilvl w:val="0"/>
          <w:numId w:val="40"/>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ectPr>
          <w:pgSz w:w="11900" w:h="16838" w:orient="portrait"/>
          <w:cols w:equalWidth="0" w:num="1">
            <w:col w:w="11240"/>
          </w:cols>
          <w:pgMar w:left="320" w:top="1428" w:right="339" w:bottom="1440" w:gutter="0" w:footer="0" w:header="0"/>
        </w:sectPr>
      </w:pPr>
    </w:p>
    <w:bookmarkStart w:id="121" w:name="page122"/>
    <w:bookmarkEnd w:id="121"/>
    <w:p>
      <w:pPr>
        <w:jc w:val="both"/>
        <w:ind w:left="-8" w:firstLine="8"/>
        <w:spacing w:after="0" w:line="265" w:lineRule="auto"/>
        <w:tabs>
          <w:tab w:leader="none" w:pos="289" w:val="left"/>
        </w:tabs>
        <w:numPr>
          <w:ilvl w:val="0"/>
          <w:numId w:val="41"/>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restricted stock agreement (RSA). Such shares will be subject to the RSA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2" w:lineRule="exact"/>
        <w:rPr>
          <w:rFonts w:ascii="Arial" w:cs="Arial" w:eastAsia="Arial" w:hAnsi="Arial"/>
          <w:sz w:val="21"/>
          <w:szCs w:val="21"/>
          <w:color w:val="auto"/>
        </w:rPr>
      </w:pPr>
    </w:p>
    <w:p>
      <w:pPr>
        <w:ind w:left="-8" w:firstLine="8"/>
        <w:spacing w:after="0" w:line="263" w:lineRule="auto"/>
        <w:tabs>
          <w:tab w:leader="none" w:pos="277"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2" w:lineRule="exact"/>
        <w:rPr>
          <w:sz w:val="20"/>
          <w:szCs w:val="20"/>
          <w:color w:val="auto"/>
        </w:rPr>
      </w:pPr>
    </w:p>
    <w:p>
      <w:pPr>
        <w:jc w:val="both"/>
        <w:ind w:left="-8" w:firstLine="8"/>
        <w:spacing w:after="0" w:line="248" w:lineRule="auto"/>
        <w:tabs>
          <w:tab w:leader="none" w:pos="289"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8" w:lineRule="exact"/>
        <w:rPr>
          <w:rFonts w:ascii="Arial" w:cs="Arial" w:eastAsia="Arial" w:hAnsi="Arial"/>
          <w:sz w:val="22"/>
          <w:szCs w:val="22"/>
          <w:color w:val="auto"/>
        </w:rPr>
      </w:pPr>
    </w:p>
    <w:p>
      <w:pPr>
        <w:jc w:val="both"/>
        <w:ind w:left="-8" w:firstLine="8"/>
        <w:spacing w:after="0" w:line="265" w:lineRule="auto"/>
        <w:tabs>
          <w:tab w:leader="none" w:pos="19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2" w:lineRule="exact"/>
        <w:rPr>
          <w:rFonts w:ascii="Arial" w:cs="Arial" w:eastAsia="Arial" w:hAnsi="Arial"/>
          <w:sz w:val="21"/>
          <w:szCs w:val="21"/>
          <w:color w:val="auto"/>
        </w:rPr>
      </w:pPr>
    </w:p>
    <w:p>
      <w:pPr>
        <w:jc w:val="both"/>
        <w:ind w:left="-8" w:firstLine="8"/>
        <w:spacing w:after="0" w:line="259" w:lineRule="auto"/>
        <w:tabs>
          <w:tab w:leader="none" w:pos="19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06" w:lineRule="exact"/>
        <w:rPr>
          <w:rFonts w:ascii="Arial" w:cs="Arial" w:eastAsia="Arial" w:hAnsi="Arial"/>
          <w:sz w:val="21"/>
          <w:szCs w:val="21"/>
          <w:color w:val="auto"/>
        </w:rPr>
      </w:pPr>
    </w:p>
    <w:p>
      <w:pPr>
        <w:jc w:val="both"/>
        <w:ind w:left="-8" w:firstLine="8"/>
        <w:spacing w:after="0" w:line="259" w:lineRule="auto"/>
        <w:tabs>
          <w:tab w:leader="none" w:pos="212"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w:t>
      </w:r>
    </w:p>
    <w:p>
      <w:pPr>
        <w:sectPr>
          <w:pgSz w:w="11900" w:h="16838" w:orient="portrait"/>
          <w:cols w:equalWidth="0" w:num="1">
            <w:col w:w="11232"/>
          </w:cols>
          <w:pgMar w:left="328" w:top="1428" w:right="3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1"/>
          <w:szCs w:val="21"/>
          <w:color w:val="auto"/>
        </w:rPr>
        <w:t>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202" w:lineRule="exact"/>
        <w:rPr>
          <w:sz w:val="20"/>
          <w:szCs w:val="20"/>
          <w:color w:val="auto"/>
        </w:rPr>
      </w:pPr>
    </w:p>
    <w:p>
      <w:pPr>
        <w:jc w:val="both"/>
        <w:ind w:firstLine="8"/>
        <w:spacing w:after="0" w:line="297" w:lineRule="auto"/>
        <w:tabs>
          <w:tab w:leader="none" w:pos="22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3" w:lineRule="exact"/>
        <w:rPr>
          <w:rFonts w:ascii="Arial" w:cs="Arial" w:eastAsia="Arial" w:hAnsi="Arial"/>
          <w:sz w:val="19"/>
          <w:szCs w:val="19"/>
          <w:color w:val="auto"/>
        </w:rPr>
      </w:pPr>
    </w:p>
    <w:p>
      <w:pPr>
        <w:jc w:val="both"/>
        <w:ind w:firstLine="8"/>
        <w:spacing w:after="0" w:line="250" w:lineRule="auto"/>
        <w:tabs>
          <w:tab w:leader="none" w:pos="207"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4" w:lineRule="exact"/>
        <w:rPr>
          <w:rFonts w:ascii="Arial" w:cs="Arial" w:eastAsia="Arial" w:hAnsi="Arial"/>
          <w:sz w:val="22"/>
          <w:szCs w:val="22"/>
          <w:color w:val="auto"/>
        </w:rPr>
      </w:pPr>
    </w:p>
    <w:p>
      <w:pPr>
        <w:jc w:val="both"/>
        <w:ind w:firstLine="8"/>
        <w:spacing w:after="0" w:line="285" w:lineRule="auto"/>
        <w:tabs>
          <w:tab w:leader="none" w:pos="207"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w:t>
      </w:r>
    </w:p>
    <w:p>
      <w:pPr>
        <w:sectPr>
          <w:pgSz w:w="11900" w:h="16838" w:orient="portrait"/>
          <w:cols w:equalWidth="0" w:num="1">
            <w:col w:w="11240"/>
          </w:cols>
          <w:pgMar w:left="320" w:top="1428" w:right="339" w:bottom="1440" w:gutter="0" w:footer="0" w:header="0"/>
        </w:sectPr>
      </w:pPr>
    </w:p>
    <w:bookmarkStart w:id="123" w:name="page124"/>
    <w:bookmarkEnd w:id="123"/>
    <w:p>
      <w:pPr>
        <w:spacing w:after="0" w:line="263" w:lineRule="auto"/>
        <w:rPr>
          <w:sz w:val="20"/>
          <w:szCs w:val="20"/>
          <w:color w:val="auto"/>
        </w:rPr>
      </w:pPr>
      <w:r>
        <w:rPr>
          <w:rFonts w:ascii="Arial" w:cs="Arial" w:eastAsia="Arial" w:hAnsi="Arial"/>
          <w:sz w:val="22"/>
          <w:szCs w:val="22"/>
          <w:color w:val="auto"/>
        </w:rPr>
        <w:t>fiduciary duty, misappropriation, or theft of confidential information. The term “Affiliate” shall mean the Company and any entity controlling, controlled by, or under common control with the Company.</w:t>
      </w:r>
    </w:p>
    <w:p>
      <w:pPr>
        <w:spacing w:after="0" w:line="202" w:lineRule="exact"/>
        <w:rPr>
          <w:sz w:val="20"/>
          <w:szCs w:val="20"/>
          <w:color w:val="auto"/>
        </w:rPr>
      </w:pPr>
    </w:p>
    <w:p>
      <w:pPr>
        <w:jc w:val="both"/>
        <w:ind w:firstLine="8"/>
        <w:spacing w:after="0" w:line="302" w:lineRule="auto"/>
        <w:tabs>
          <w:tab w:leader="none" w:pos="22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20" w:hanging="312"/>
        <w:spacing w:after="0"/>
        <w:tabs>
          <w:tab w:leader="none" w:pos="32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47" w:lineRule="exact"/>
        <w:rPr>
          <w:sz w:val="20"/>
          <w:szCs w:val="20"/>
          <w:color w:val="auto"/>
        </w:rPr>
      </w:pPr>
    </w:p>
    <w:p>
      <w:pPr>
        <w:jc w:val="both"/>
        <w:ind w:firstLine="8"/>
        <w:spacing w:after="0" w:line="294" w:lineRule="auto"/>
        <w:tabs>
          <w:tab w:leader="none" w:pos="298" w:val="left"/>
        </w:tabs>
        <w:numPr>
          <w:ilvl w:val="0"/>
          <w:numId w:val="45"/>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6" w:lineRule="exact"/>
        <w:rPr>
          <w:rFonts w:ascii="Arial" w:cs="Arial" w:eastAsia="Arial" w:hAnsi="Arial"/>
          <w:sz w:val="19"/>
          <w:szCs w:val="19"/>
          <w:color w:val="auto"/>
        </w:rPr>
      </w:pPr>
    </w:p>
    <w:p>
      <w:pPr>
        <w:ind w:firstLine="8"/>
        <w:spacing w:after="0" w:line="263" w:lineRule="auto"/>
        <w:tabs>
          <w:tab w:leader="none" w:pos="310" w:val="left"/>
        </w:tabs>
        <w:numPr>
          <w:ilvl w:val="0"/>
          <w:numId w:val="45"/>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65" w:lineRule="auto"/>
        <w:tabs>
          <w:tab w:leader="none" w:pos="307"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Return of Documents</w:t>
      </w:r>
      <w:r>
        <w:rPr>
          <w:rFonts w:ascii="Arial" w:cs="Arial" w:eastAsia="Arial" w:hAnsi="Arial"/>
          <w:sz w:val="21"/>
          <w:szCs w:val="21"/>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02" w:lineRule="exact"/>
        <w:rPr>
          <w:rFonts w:ascii="Arial" w:cs="Arial" w:eastAsia="Arial" w:hAnsi="Arial"/>
          <w:sz w:val="21"/>
          <w:szCs w:val="21"/>
          <w:color w:val="auto"/>
        </w:rPr>
      </w:pPr>
    </w:p>
    <w:p>
      <w:pPr>
        <w:jc w:val="both"/>
        <w:ind w:firstLine="8"/>
        <w:spacing w:after="0" w:line="246" w:lineRule="auto"/>
        <w:tabs>
          <w:tab w:leader="none" w:pos="32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23" w:lineRule="exact"/>
        <w:rPr>
          <w:rFonts w:ascii="Arial" w:cs="Arial" w:eastAsia="Arial" w:hAnsi="Arial"/>
          <w:sz w:val="22"/>
          <w:szCs w:val="22"/>
          <w:color w:val="auto"/>
        </w:rPr>
      </w:pPr>
    </w:p>
    <w:p>
      <w:pPr>
        <w:jc w:val="both"/>
        <w:ind w:firstLine="8"/>
        <w:spacing w:after="0" w:line="271" w:lineRule="auto"/>
        <w:tabs>
          <w:tab w:leader="none" w:pos="315"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Best Efforts and Conflicts of Interest</w:t>
      </w:r>
      <w:r>
        <w:rPr>
          <w:rFonts w:ascii="Arial" w:cs="Arial" w:eastAsia="Arial" w:hAnsi="Arial"/>
          <w:sz w:val="21"/>
          <w:szCs w:val="21"/>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w:t>
      </w:r>
    </w:p>
    <w:p>
      <w:pPr>
        <w:sectPr>
          <w:pgSz w:w="11900" w:h="16838" w:orient="portrait"/>
          <w:cols w:equalWidth="0" w:num="1">
            <w:col w:w="11240"/>
          </w:cols>
          <w:pgMar w:left="320" w:top="1428" w:right="339" w:bottom="1440" w:gutter="0" w:footer="0" w:header="0"/>
        </w:sectPr>
      </w:pPr>
    </w:p>
    <w:bookmarkStart w:id="124" w:name="page125"/>
    <w:bookmarkEnd w:id="124"/>
    <w:p>
      <w:pPr>
        <w:jc w:val="both"/>
        <w:spacing w:after="0" w:line="247" w:lineRule="auto"/>
        <w:rPr>
          <w:sz w:val="20"/>
          <w:szCs w:val="20"/>
          <w:color w:val="auto"/>
        </w:rPr>
      </w:pPr>
      <w:r>
        <w:rPr>
          <w:rFonts w:ascii="Arial" w:cs="Arial" w:eastAsia="Arial" w:hAnsi="Arial"/>
          <w:sz w:val="22"/>
          <w:szCs w:val="22"/>
          <w:color w:val="auto"/>
        </w:rPr>
        <w:t>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20" w:lineRule="exact"/>
        <w:rPr>
          <w:sz w:val="20"/>
          <w:szCs w:val="20"/>
          <w:color w:val="auto"/>
        </w:rPr>
      </w:pPr>
    </w:p>
    <w:p>
      <w:pPr>
        <w:jc w:val="both"/>
        <w:ind w:firstLine="8"/>
        <w:spacing w:after="0" w:line="288" w:lineRule="auto"/>
        <w:tabs>
          <w:tab w:leader="none" w:pos="33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ind w:right="20" w:firstLine="8"/>
        <w:spacing w:after="0" w:line="269" w:lineRule="auto"/>
        <w:tabs>
          <w:tab w:leader="none" w:pos="315"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96" w:lineRule="exact"/>
        <w:rPr>
          <w:rFonts w:ascii="Arial" w:cs="Arial" w:eastAsia="Arial" w:hAnsi="Arial"/>
          <w:sz w:val="21"/>
          <w:szCs w:val="21"/>
          <w:color w:val="auto"/>
        </w:rPr>
      </w:pPr>
    </w:p>
    <w:p>
      <w:pPr>
        <w:ind w:firstLine="8"/>
        <w:spacing w:after="0" w:line="287" w:lineRule="auto"/>
        <w:tabs>
          <w:tab w:leader="none" w:pos="328"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line="253" w:lineRule="auto"/>
        <w:tabs>
          <w:tab w:leader="none" w:pos="31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2" w:lineRule="exact"/>
        <w:rPr>
          <w:rFonts w:ascii="Arial" w:cs="Arial" w:eastAsia="Arial" w:hAnsi="Arial"/>
          <w:sz w:val="22"/>
          <w:szCs w:val="22"/>
          <w:color w:val="auto"/>
        </w:rPr>
      </w:pPr>
    </w:p>
    <w:p>
      <w:pPr>
        <w:jc w:val="both"/>
        <w:ind w:firstLine="8"/>
        <w:spacing w:after="0" w:line="253" w:lineRule="auto"/>
        <w:tabs>
          <w:tab w:leader="none" w:pos="35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2" w:lineRule="exact"/>
        <w:rPr>
          <w:rFonts w:ascii="Arial" w:cs="Arial" w:eastAsia="Arial" w:hAnsi="Arial"/>
          <w:sz w:val="22"/>
          <w:szCs w:val="22"/>
          <w:color w:val="auto"/>
        </w:rPr>
      </w:pPr>
    </w:p>
    <w:p>
      <w:pPr>
        <w:jc w:val="both"/>
        <w:ind w:firstLine="8"/>
        <w:spacing w:after="0" w:line="253" w:lineRule="auto"/>
        <w:tabs>
          <w:tab w:leader="none" w:pos="31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2" w:lineRule="exact"/>
        <w:rPr>
          <w:rFonts w:ascii="Arial" w:cs="Arial" w:eastAsia="Arial" w:hAnsi="Arial"/>
          <w:sz w:val="22"/>
          <w:szCs w:val="22"/>
          <w:color w:val="auto"/>
        </w:rPr>
      </w:pPr>
    </w:p>
    <w:p>
      <w:pPr>
        <w:ind w:firstLine="8"/>
        <w:spacing w:after="0" w:line="263" w:lineRule="auto"/>
        <w:tabs>
          <w:tab w:leader="none" w:pos="35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5520" w:hanging="166"/>
        <w:spacing w:after="0"/>
        <w:tabs>
          <w:tab w:leader="none" w:pos="55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28" w:right="339" w:bottom="1440" w:gutter="0" w:footer="0" w:header="0"/>
        </w:sectPr>
      </w:pPr>
    </w:p>
    <w:bookmarkStart w:id="125" w:name="page126"/>
    <w:bookmarkEnd w:id="125"/>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21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321" w:lineRule="exact"/>
        <w:rPr>
          <w:sz w:val="20"/>
          <w:szCs w:val="20"/>
          <w:color w:val="auto"/>
        </w:rPr>
      </w:pPr>
    </w:p>
    <w:p>
      <w:pPr>
        <w:jc w:val="center"/>
        <w:ind w:right="340"/>
        <w:spacing w:after="0"/>
        <w:rPr>
          <w:sz w:val="20"/>
          <w:szCs w:val="20"/>
          <w:color w:val="auto"/>
        </w:rPr>
      </w:pPr>
      <w:r>
        <w:rPr>
          <w:rFonts w:ascii="Arial" w:cs="Arial" w:eastAsia="Arial" w:hAnsi="Arial"/>
          <w:sz w:val="18"/>
          <w:szCs w:val="18"/>
          <w:i w:val="1"/>
          <w:iCs w:val="1"/>
          <w:color w:val="auto"/>
        </w:rPr>
        <w:t>/s/ Jean W. Marstiller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4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 Jean W. Marstiller</w:t>
      </w:r>
    </w:p>
    <w:p>
      <w:pPr>
        <w:spacing w:after="0" w:line="5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16th of March, 2020:</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62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3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A.J. Kazimi</w:t>
      </w:r>
    </w:p>
    <w:p>
      <w:pPr>
        <w:sectPr>
          <w:pgSz w:w="11900" w:h="16838" w:orient="portrait"/>
          <w:cols w:equalWidth="0" w:num="1">
            <w:col w:w="11240"/>
          </w:cols>
          <w:pgMar w:left="320" w:top="142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March 16,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Martin E. Cearnal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660" w:right="20" w:hanging="647"/>
        <w:spacing w:after="0" w:line="263" w:lineRule="auto"/>
        <w:rPr>
          <w:sz w:val="20"/>
          <w:szCs w:val="20"/>
          <w:color w:val="auto"/>
        </w:rPr>
      </w:pPr>
      <w:r>
        <w:rPr>
          <w:rFonts w:ascii="Arial" w:cs="Arial" w:eastAsia="Arial" w:hAnsi="Arial"/>
          <w:sz w:val="22"/>
          <w:szCs w:val="22"/>
          <w:color w:val="auto"/>
        </w:rPr>
        <w:t>Re: Employment of Martin E. Cearnal as Executive Vice President, Chief Commercial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Martin:</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Effective January 1, 2020, this letter agreement (the “Agreement”) will evidence the terms and conditions under which you will be employed by Cumberland Pharmaceuticals Inc. (the “Company”) In consideration of your appointment as Executive Vice President, Chief Commercial Officer of the Company, and other good and valuable consideration, the receipt and sufficiency of which is hereby acknowledged, the parties agree as follows: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47" w:lineRule="exact"/>
        <w:rPr>
          <w:sz w:val="20"/>
          <w:szCs w:val="20"/>
          <w:color w:val="auto"/>
        </w:rPr>
      </w:pPr>
    </w:p>
    <w:p>
      <w:pPr>
        <w:jc w:val="both"/>
        <w:ind w:firstLine="8"/>
        <w:spacing w:after="0" w:line="261" w:lineRule="auto"/>
        <w:tabs>
          <w:tab w:leader="none" w:pos="285"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three hundred twenty-five thousand dollars ($325,000.00), payable in arrears in equal monthly installments on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calendar month of 2020.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6" w:lineRule="exact"/>
        <w:rPr>
          <w:rFonts w:ascii="Arial" w:cs="Arial" w:eastAsia="Arial" w:hAnsi="Arial"/>
          <w:sz w:val="20"/>
          <w:szCs w:val="20"/>
          <w:color w:val="auto"/>
        </w:rPr>
      </w:pPr>
    </w:p>
    <w:p>
      <w:pPr>
        <w:jc w:val="both"/>
        <w:ind w:firstLine="8"/>
        <w:spacing w:after="0" w:line="253" w:lineRule="auto"/>
        <w:tabs>
          <w:tab w:leader="none" w:pos="297" w:val="left"/>
        </w:tabs>
        <w:numPr>
          <w:ilvl w:val="0"/>
          <w:numId w:val="49"/>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2" w:lineRule="exact"/>
        <w:rPr>
          <w:rFonts w:ascii="Arial" w:cs="Arial" w:eastAsia="Arial" w:hAnsi="Arial"/>
          <w:sz w:val="22"/>
          <w:szCs w:val="22"/>
          <w:color w:val="auto"/>
        </w:rPr>
      </w:pPr>
    </w:p>
    <w:p>
      <w:pPr>
        <w:jc w:val="both"/>
        <w:ind w:firstLine="8"/>
        <w:spacing w:after="0" w:line="265" w:lineRule="auto"/>
        <w:tabs>
          <w:tab w:leader="none" w:pos="285" w:val="left"/>
        </w:tabs>
        <w:numPr>
          <w:ilvl w:val="0"/>
          <w:numId w:val="49"/>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ectPr>
          <w:pgSz w:w="11900" w:h="16838" w:orient="portrait"/>
          <w:cols w:equalWidth="0" w:num="1">
            <w:col w:w="11240"/>
          </w:cols>
          <w:pgMar w:left="320" w:top="1428" w:right="339" w:bottom="1440" w:gutter="0" w:footer="0" w:header="0"/>
        </w:sectPr>
      </w:pPr>
    </w:p>
    <w:bookmarkStart w:id="127" w:name="page128"/>
    <w:bookmarkEnd w:id="127"/>
    <w:p>
      <w:pPr>
        <w:jc w:val="both"/>
        <w:ind w:left="-8" w:firstLine="8"/>
        <w:spacing w:after="0" w:line="265" w:lineRule="auto"/>
        <w:tabs>
          <w:tab w:leader="none" w:pos="289" w:val="left"/>
        </w:tabs>
        <w:numPr>
          <w:ilvl w:val="0"/>
          <w:numId w:val="50"/>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restricted stock agreement (RSA). Such shares will be subject to the RSA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2" w:lineRule="exact"/>
        <w:rPr>
          <w:rFonts w:ascii="Arial" w:cs="Arial" w:eastAsia="Arial" w:hAnsi="Arial"/>
          <w:sz w:val="21"/>
          <w:szCs w:val="21"/>
          <w:color w:val="auto"/>
        </w:rPr>
      </w:pPr>
    </w:p>
    <w:p>
      <w:pPr>
        <w:ind w:left="-8" w:firstLine="8"/>
        <w:spacing w:after="0" w:line="263" w:lineRule="auto"/>
        <w:tabs>
          <w:tab w:leader="none" w:pos="2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1" w:lineRule="exact"/>
        <w:rPr>
          <w:rFonts w:ascii="Arial" w:cs="Arial" w:eastAsia="Arial" w:hAnsi="Arial"/>
          <w:sz w:val="22"/>
          <w:szCs w:val="22"/>
          <w:color w:val="auto"/>
        </w:rPr>
      </w:pPr>
    </w:p>
    <w:p>
      <w:pPr>
        <w:jc w:val="both"/>
        <w:ind w:left="652" w:firstLine="68"/>
        <w:spacing w:after="0" w:line="248" w:lineRule="auto"/>
        <w:tabs>
          <w:tab w:leader="none" w:pos="1291" w:val="left"/>
        </w:tabs>
        <w:numPr>
          <w:ilvl w:val="1"/>
          <w:numId w:val="50"/>
        </w:numPr>
        <w:rPr>
          <w:rFonts w:ascii="Arial" w:cs="Arial" w:eastAsia="Arial" w:hAnsi="Arial"/>
          <w:sz w:val="18"/>
          <w:szCs w:val="18"/>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9" w:lineRule="exact"/>
        <w:rPr>
          <w:sz w:val="20"/>
          <w:szCs w:val="20"/>
          <w:color w:val="auto"/>
        </w:rPr>
      </w:pPr>
    </w:p>
    <w:p>
      <w:pPr>
        <w:jc w:val="both"/>
        <w:ind w:left="-8" w:firstLine="8"/>
        <w:spacing w:after="0" w:line="265" w:lineRule="auto"/>
        <w:tabs>
          <w:tab w:leader="none" w:pos="19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2" w:lineRule="exact"/>
        <w:rPr>
          <w:rFonts w:ascii="Arial" w:cs="Arial" w:eastAsia="Arial" w:hAnsi="Arial"/>
          <w:sz w:val="21"/>
          <w:szCs w:val="21"/>
          <w:color w:val="auto"/>
        </w:rPr>
      </w:pPr>
    </w:p>
    <w:p>
      <w:pPr>
        <w:jc w:val="both"/>
        <w:ind w:left="-8" w:firstLine="8"/>
        <w:spacing w:after="0" w:line="259" w:lineRule="auto"/>
        <w:tabs>
          <w:tab w:leader="none" w:pos="19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06" w:lineRule="exact"/>
        <w:rPr>
          <w:rFonts w:ascii="Arial" w:cs="Arial" w:eastAsia="Arial" w:hAnsi="Arial"/>
          <w:sz w:val="21"/>
          <w:szCs w:val="21"/>
          <w:color w:val="auto"/>
        </w:rPr>
      </w:pPr>
    </w:p>
    <w:p>
      <w:pPr>
        <w:jc w:val="both"/>
        <w:ind w:left="-8" w:firstLine="8"/>
        <w:spacing w:after="0" w:line="292" w:lineRule="auto"/>
        <w:tabs>
          <w:tab w:leader="none" w:pos="21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Discoveries and Improvements</w:t>
      </w:r>
      <w:r>
        <w:rPr>
          <w:rFonts w:ascii="Arial" w:cs="Arial" w:eastAsia="Arial" w:hAnsi="Arial"/>
          <w:sz w:val="19"/>
          <w:szCs w:val="19"/>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w:t>
      </w:r>
    </w:p>
    <w:p>
      <w:pPr>
        <w:sectPr>
          <w:pgSz w:w="11900" w:h="16838" w:orient="portrait"/>
          <w:cols w:equalWidth="0" w:num="1">
            <w:col w:w="11232"/>
          </w:cols>
          <w:pgMar w:left="328" w:top="1428" w:right="339" w:bottom="1440" w:gutter="0" w:footer="0" w:header="0"/>
        </w:sectPr>
      </w:pPr>
    </w:p>
    <w:bookmarkStart w:id="128" w:name="page129"/>
    <w:bookmarkEnd w:id="128"/>
    <w:p>
      <w:pPr>
        <w:jc w:val="both"/>
        <w:spacing w:after="0" w:line="247" w:lineRule="auto"/>
        <w:rPr>
          <w:sz w:val="20"/>
          <w:szCs w:val="20"/>
          <w:color w:val="auto"/>
        </w:rPr>
      </w:pPr>
      <w:r>
        <w:rPr>
          <w:rFonts w:ascii="Arial" w:cs="Arial" w:eastAsia="Arial" w:hAnsi="Arial"/>
          <w:sz w:val="22"/>
          <w:szCs w:val="22"/>
          <w:color w:val="auto"/>
        </w:rPr>
        <w:t>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220" w:lineRule="exact"/>
        <w:rPr>
          <w:sz w:val="20"/>
          <w:szCs w:val="20"/>
          <w:color w:val="auto"/>
        </w:rPr>
      </w:pPr>
    </w:p>
    <w:p>
      <w:pPr>
        <w:jc w:val="both"/>
        <w:ind w:firstLine="8"/>
        <w:spacing w:after="0" w:line="297" w:lineRule="auto"/>
        <w:tabs>
          <w:tab w:leader="none" w:pos="22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3" w:lineRule="exact"/>
        <w:rPr>
          <w:rFonts w:ascii="Arial" w:cs="Arial" w:eastAsia="Arial" w:hAnsi="Arial"/>
          <w:sz w:val="19"/>
          <w:szCs w:val="19"/>
          <w:color w:val="auto"/>
        </w:rPr>
      </w:pPr>
    </w:p>
    <w:p>
      <w:pPr>
        <w:jc w:val="both"/>
        <w:ind w:firstLine="8"/>
        <w:spacing w:after="0" w:line="250" w:lineRule="auto"/>
        <w:tabs>
          <w:tab w:leader="none" w:pos="207"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4" w:lineRule="exact"/>
        <w:rPr>
          <w:rFonts w:ascii="Arial" w:cs="Arial" w:eastAsia="Arial" w:hAnsi="Arial"/>
          <w:sz w:val="22"/>
          <w:szCs w:val="22"/>
          <w:color w:val="auto"/>
        </w:rPr>
      </w:pPr>
    </w:p>
    <w:p>
      <w:pPr>
        <w:jc w:val="both"/>
        <w:ind w:firstLine="8"/>
        <w:spacing w:after="0" w:line="285" w:lineRule="auto"/>
        <w:tabs>
          <w:tab w:leader="none" w:pos="207"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w:t>
      </w:r>
    </w:p>
    <w:p>
      <w:pPr>
        <w:sectPr>
          <w:pgSz w:w="11900" w:h="16838" w:orient="portrait"/>
          <w:cols w:equalWidth="0" w:num="1">
            <w:col w:w="11240"/>
          </w:cols>
          <w:pgMar w:left="320" w:top="1428" w:right="339" w:bottom="1440" w:gutter="0" w:footer="0" w:header="0"/>
        </w:sectPr>
      </w:pPr>
    </w:p>
    <w:bookmarkStart w:id="129" w:name="page130"/>
    <w:bookmarkEnd w:id="129"/>
    <w:p>
      <w:pPr>
        <w:jc w:val="both"/>
        <w:spacing w:after="0" w:line="253" w:lineRule="auto"/>
        <w:rPr>
          <w:sz w:val="20"/>
          <w:szCs w:val="20"/>
          <w:color w:val="auto"/>
        </w:rPr>
      </w:pPr>
      <w:r>
        <w:rPr>
          <w:rFonts w:ascii="Arial" w:cs="Arial" w:eastAsia="Arial" w:hAnsi="Arial"/>
          <w:sz w:val="22"/>
          <w:szCs w:val="22"/>
          <w:color w:val="auto"/>
        </w:rPr>
        <w:t>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12" w:lineRule="exact"/>
        <w:rPr>
          <w:sz w:val="20"/>
          <w:szCs w:val="20"/>
          <w:color w:val="auto"/>
        </w:rPr>
      </w:pPr>
    </w:p>
    <w:p>
      <w:pPr>
        <w:jc w:val="both"/>
        <w:ind w:firstLine="8"/>
        <w:spacing w:after="0" w:line="302" w:lineRule="auto"/>
        <w:tabs>
          <w:tab w:leader="none" w:pos="22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20" w:hanging="312"/>
        <w:spacing w:after="0"/>
        <w:tabs>
          <w:tab w:leader="none" w:pos="32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47" w:lineRule="exact"/>
        <w:rPr>
          <w:sz w:val="20"/>
          <w:szCs w:val="20"/>
          <w:color w:val="auto"/>
        </w:rPr>
      </w:pPr>
    </w:p>
    <w:p>
      <w:pPr>
        <w:jc w:val="both"/>
        <w:ind w:firstLine="8"/>
        <w:spacing w:after="0" w:line="294" w:lineRule="auto"/>
        <w:tabs>
          <w:tab w:leader="none" w:pos="298" w:val="left"/>
        </w:tabs>
        <w:numPr>
          <w:ilvl w:val="0"/>
          <w:numId w:val="54"/>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6" w:lineRule="exact"/>
        <w:rPr>
          <w:rFonts w:ascii="Arial" w:cs="Arial" w:eastAsia="Arial" w:hAnsi="Arial"/>
          <w:sz w:val="19"/>
          <w:szCs w:val="19"/>
          <w:color w:val="auto"/>
        </w:rPr>
      </w:pPr>
    </w:p>
    <w:p>
      <w:pPr>
        <w:ind w:firstLine="8"/>
        <w:spacing w:after="0" w:line="263" w:lineRule="auto"/>
        <w:tabs>
          <w:tab w:leader="none" w:pos="310" w:val="left"/>
        </w:tabs>
        <w:numPr>
          <w:ilvl w:val="0"/>
          <w:numId w:val="54"/>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65" w:lineRule="auto"/>
        <w:tabs>
          <w:tab w:leader="none" w:pos="307"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Return of Documents</w:t>
      </w:r>
      <w:r>
        <w:rPr>
          <w:rFonts w:ascii="Arial" w:cs="Arial" w:eastAsia="Arial" w:hAnsi="Arial"/>
          <w:sz w:val="21"/>
          <w:szCs w:val="21"/>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02" w:lineRule="exact"/>
        <w:rPr>
          <w:rFonts w:ascii="Arial" w:cs="Arial" w:eastAsia="Arial" w:hAnsi="Arial"/>
          <w:sz w:val="21"/>
          <w:szCs w:val="21"/>
          <w:color w:val="auto"/>
        </w:rPr>
      </w:pPr>
    </w:p>
    <w:p>
      <w:pPr>
        <w:jc w:val="both"/>
        <w:ind w:firstLine="8"/>
        <w:spacing w:after="0" w:line="246" w:lineRule="auto"/>
        <w:tabs>
          <w:tab w:leader="none" w:pos="32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23" w:lineRule="exact"/>
        <w:rPr>
          <w:rFonts w:ascii="Arial" w:cs="Arial" w:eastAsia="Arial" w:hAnsi="Arial"/>
          <w:sz w:val="22"/>
          <w:szCs w:val="22"/>
          <w:color w:val="auto"/>
        </w:rPr>
      </w:pPr>
    </w:p>
    <w:p>
      <w:pPr>
        <w:jc w:val="both"/>
        <w:ind w:firstLine="8"/>
        <w:spacing w:after="0" w:line="253" w:lineRule="auto"/>
        <w:tabs>
          <w:tab w:leader="none" w:pos="31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Best Efforts and Conflicts of Interest</w:t>
      </w:r>
      <w:r>
        <w:rPr>
          <w:rFonts w:ascii="Arial" w:cs="Arial" w:eastAsia="Arial" w:hAnsi="Arial"/>
          <w:sz w:val="22"/>
          <w:szCs w:val="22"/>
          <w:color w:val="auto"/>
        </w:rPr>
        <w:t>: You are hired with the understanding that Cumberland is your sole employer and you will provide a full-time work effort. You agree to devote your entire professional and business-related time and best efforts t\o the services</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61" w:lineRule="auto"/>
        <w:rPr>
          <w:sz w:val="20"/>
          <w:szCs w:val="20"/>
          <w:color w:val="auto"/>
        </w:rPr>
      </w:pPr>
      <w:r>
        <w:rPr>
          <w:rFonts w:ascii="Arial" w:cs="Arial" w:eastAsia="Arial" w:hAnsi="Arial"/>
          <w:sz w:val="21"/>
          <w:szCs w:val="21"/>
          <w:color w:val="auto"/>
        </w:rPr>
        <w:t>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06" w:lineRule="exact"/>
        <w:rPr>
          <w:sz w:val="20"/>
          <w:szCs w:val="20"/>
          <w:color w:val="auto"/>
        </w:rPr>
      </w:pPr>
    </w:p>
    <w:p>
      <w:pPr>
        <w:jc w:val="both"/>
        <w:ind w:firstLine="8"/>
        <w:spacing w:after="0" w:line="288" w:lineRule="auto"/>
        <w:tabs>
          <w:tab w:leader="none" w:pos="33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ind w:right="20" w:firstLine="8"/>
        <w:spacing w:after="0" w:line="269" w:lineRule="auto"/>
        <w:tabs>
          <w:tab w:leader="none" w:pos="315"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96" w:lineRule="exact"/>
        <w:rPr>
          <w:rFonts w:ascii="Arial" w:cs="Arial" w:eastAsia="Arial" w:hAnsi="Arial"/>
          <w:sz w:val="21"/>
          <w:szCs w:val="21"/>
          <w:color w:val="auto"/>
        </w:rPr>
      </w:pPr>
    </w:p>
    <w:p>
      <w:pPr>
        <w:ind w:firstLine="8"/>
        <w:spacing w:after="0" w:line="287" w:lineRule="auto"/>
        <w:tabs>
          <w:tab w:leader="none" w:pos="32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line="253" w:lineRule="auto"/>
        <w:tabs>
          <w:tab w:leader="none" w:pos="31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2" w:lineRule="exact"/>
        <w:rPr>
          <w:rFonts w:ascii="Arial" w:cs="Arial" w:eastAsia="Arial" w:hAnsi="Arial"/>
          <w:sz w:val="22"/>
          <w:szCs w:val="22"/>
          <w:color w:val="auto"/>
        </w:rPr>
      </w:pPr>
    </w:p>
    <w:p>
      <w:pPr>
        <w:jc w:val="both"/>
        <w:ind w:firstLine="8"/>
        <w:spacing w:after="0" w:line="253" w:lineRule="auto"/>
        <w:tabs>
          <w:tab w:leader="none" w:pos="35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2" w:lineRule="exact"/>
        <w:rPr>
          <w:rFonts w:ascii="Arial" w:cs="Arial" w:eastAsia="Arial" w:hAnsi="Arial"/>
          <w:sz w:val="22"/>
          <w:szCs w:val="22"/>
          <w:color w:val="auto"/>
        </w:rPr>
      </w:pPr>
    </w:p>
    <w:p>
      <w:pPr>
        <w:jc w:val="both"/>
        <w:ind w:firstLine="8"/>
        <w:spacing w:after="0" w:line="253" w:lineRule="auto"/>
        <w:tabs>
          <w:tab w:leader="none" w:pos="31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2" w:lineRule="exact"/>
        <w:rPr>
          <w:rFonts w:ascii="Arial" w:cs="Arial" w:eastAsia="Arial" w:hAnsi="Arial"/>
          <w:sz w:val="22"/>
          <w:szCs w:val="22"/>
          <w:color w:val="auto"/>
        </w:rPr>
      </w:pPr>
    </w:p>
    <w:p>
      <w:pPr>
        <w:ind w:firstLine="8"/>
        <w:spacing w:after="0" w:line="263" w:lineRule="auto"/>
        <w:tabs>
          <w:tab w:leader="none" w:pos="35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3" w:lineRule="exact"/>
        <w:rPr>
          <w:rFonts w:ascii="Arial" w:cs="Arial" w:eastAsia="Arial" w:hAnsi="Arial"/>
          <w:sz w:val="22"/>
          <w:szCs w:val="22"/>
          <w:color w:val="auto"/>
        </w:rPr>
      </w:pPr>
    </w:p>
    <w:p>
      <w:pPr>
        <w:ind w:left="5520" w:hanging="166"/>
        <w:spacing w:after="0"/>
        <w:tabs>
          <w:tab w:leader="none" w:pos="5520" w:val="left"/>
        </w:tabs>
        <w:numPr>
          <w:ilvl w:val="1"/>
          <w:numId w:val="57"/>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28" w:right="339" w:bottom="1440" w:gutter="0" w:footer="0" w:header="0"/>
        </w:sectPr>
      </w:pPr>
    </w:p>
    <w:bookmarkStart w:id="131" w:name="page132"/>
    <w:bookmarkEnd w:id="131"/>
    <w:p>
      <w:pPr>
        <w:spacing w:after="0"/>
        <w:tabs>
          <w:tab w:leader="none" w:pos="5520" w:val="left"/>
        </w:tabs>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21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4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 A.J. Kazimi</w:t>
      </w:r>
    </w:p>
    <w:p>
      <w:pPr>
        <w:spacing w:after="0" w:line="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16th of March, 2020:</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Martin E. Cearnal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62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3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Martin E. Cearnal</w:t>
      </w:r>
    </w:p>
    <w:p>
      <w:pPr>
        <w:sectPr>
          <w:pgSz w:w="11900" w:h="16838" w:orient="portrait"/>
          <w:cols w:equalWidth="0" w:num="1">
            <w:col w:w="11240"/>
          </w:cols>
          <w:pgMar w:left="320" w:top="142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March 16,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Leo Pavliv</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Re: Employment of Leo Pavliv as Executive Vice President, Operations and Chief Development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Leo,</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Effective January 1, 2020, this letter agreement (the “Agreement”) will evidence the terms and conditions under which you will be employed by Cumberland Pharmaceuticals Inc. (the “Company”) In consideration of your appointment as Executive Vice President, Operations and Chief Development Officer of the Company, and other good and valuable consideration, the receipt and sufficiency of which is hereby acknowledged, the parties agree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47" w:lineRule="exact"/>
        <w:rPr>
          <w:sz w:val="20"/>
          <w:szCs w:val="20"/>
          <w:color w:val="auto"/>
        </w:rPr>
      </w:pPr>
    </w:p>
    <w:p>
      <w:pPr>
        <w:jc w:val="both"/>
        <w:ind w:firstLine="8"/>
        <w:spacing w:after="0" w:line="261" w:lineRule="auto"/>
        <w:tabs>
          <w:tab w:leader="none" w:pos="285"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four hundred twenty-two thousand dollars ($422,000.00), payable in arrears in equal monthly installments on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calendar month of 2020.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6" w:lineRule="exact"/>
        <w:rPr>
          <w:rFonts w:ascii="Arial" w:cs="Arial" w:eastAsia="Arial" w:hAnsi="Arial"/>
          <w:sz w:val="20"/>
          <w:szCs w:val="20"/>
          <w:color w:val="auto"/>
        </w:rPr>
      </w:pPr>
    </w:p>
    <w:p>
      <w:pPr>
        <w:jc w:val="both"/>
        <w:ind w:firstLine="8"/>
        <w:spacing w:after="0" w:line="253" w:lineRule="auto"/>
        <w:tabs>
          <w:tab w:leader="none" w:pos="297" w:val="left"/>
        </w:tabs>
        <w:numPr>
          <w:ilvl w:val="0"/>
          <w:numId w:val="58"/>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2" w:lineRule="exact"/>
        <w:rPr>
          <w:rFonts w:ascii="Arial" w:cs="Arial" w:eastAsia="Arial" w:hAnsi="Arial"/>
          <w:sz w:val="22"/>
          <w:szCs w:val="22"/>
          <w:color w:val="auto"/>
        </w:rPr>
      </w:pPr>
    </w:p>
    <w:p>
      <w:pPr>
        <w:jc w:val="both"/>
        <w:ind w:right="20" w:firstLine="8"/>
        <w:spacing w:after="0" w:line="253" w:lineRule="auto"/>
        <w:tabs>
          <w:tab w:leader="none" w:pos="285" w:val="left"/>
        </w:tabs>
        <w:numPr>
          <w:ilvl w:val="0"/>
          <w:numId w:val="58"/>
        </w:numPr>
        <w:rPr>
          <w:rFonts w:ascii="Arial" w:cs="Arial" w:eastAsia="Arial" w:hAnsi="Arial"/>
          <w:sz w:val="22"/>
          <w:szCs w:val="22"/>
          <w:color w:val="auto"/>
        </w:rPr>
      </w:pPr>
      <w:r>
        <w:rPr>
          <w:rFonts w:ascii="Arial" w:cs="Arial" w:eastAsia="Arial" w:hAnsi="Arial"/>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w:t>
      </w:r>
    </w:p>
    <w:p>
      <w:pPr>
        <w:sectPr>
          <w:pgSz w:w="11900" w:h="16838" w:orient="portrait"/>
          <w:cols w:equalWidth="0" w:num="1">
            <w:col w:w="11240"/>
          </w:cols>
          <w:pgMar w:left="320" w:top="1427" w:right="3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22"/>
          <w:szCs w:val="22"/>
          <w:color w:val="auto"/>
        </w:rPr>
        <w:t>and will be subject to the terms of the applicable bonus program, the terms of which program may be modified from year to year in the sole discretion of the Company’s Board of Directors.</w:t>
      </w:r>
    </w:p>
    <w:p>
      <w:pPr>
        <w:spacing w:after="0" w:line="202" w:lineRule="exact"/>
        <w:rPr>
          <w:sz w:val="20"/>
          <w:szCs w:val="20"/>
          <w:color w:val="auto"/>
        </w:rPr>
      </w:pPr>
    </w:p>
    <w:p>
      <w:pPr>
        <w:jc w:val="both"/>
        <w:ind w:firstLine="8"/>
        <w:spacing w:after="0" w:line="265" w:lineRule="auto"/>
        <w:tabs>
          <w:tab w:leader="none" w:pos="297" w:val="left"/>
        </w:tabs>
        <w:numPr>
          <w:ilvl w:val="0"/>
          <w:numId w:val="59"/>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restricted stock agreement (RSA). Such shares will be subject to the RSA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2" w:lineRule="exact"/>
        <w:rPr>
          <w:rFonts w:ascii="Arial" w:cs="Arial" w:eastAsia="Arial" w:hAnsi="Arial"/>
          <w:sz w:val="21"/>
          <w:szCs w:val="21"/>
          <w:color w:val="auto"/>
        </w:rPr>
      </w:pPr>
    </w:p>
    <w:p>
      <w:pPr>
        <w:ind w:firstLine="8"/>
        <w:spacing w:after="0" w:line="263" w:lineRule="auto"/>
        <w:tabs>
          <w:tab w:leader="none" w:pos="285"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2" w:lineRule="exact"/>
        <w:rPr>
          <w:sz w:val="20"/>
          <w:szCs w:val="20"/>
          <w:color w:val="auto"/>
        </w:rPr>
      </w:pPr>
    </w:p>
    <w:p>
      <w:pPr>
        <w:jc w:val="both"/>
        <w:ind w:firstLine="8"/>
        <w:spacing w:after="0" w:line="248" w:lineRule="auto"/>
        <w:tabs>
          <w:tab w:leader="none" w:pos="29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8" w:lineRule="exact"/>
        <w:rPr>
          <w:rFonts w:ascii="Arial" w:cs="Arial" w:eastAsia="Arial" w:hAnsi="Arial"/>
          <w:sz w:val="22"/>
          <w:szCs w:val="22"/>
          <w:color w:val="auto"/>
        </w:rPr>
      </w:pPr>
    </w:p>
    <w:p>
      <w:pPr>
        <w:jc w:val="both"/>
        <w:ind w:firstLine="8"/>
        <w:spacing w:after="0" w:line="265" w:lineRule="auto"/>
        <w:tabs>
          <w:tab w:leader="none" w:pos="207"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2" w:lineRule="exact"/>
        <w:rPr>
          <w:rFonts w:ascii="Arial" w:cs="Arial" w:eastAsia="Arial" w:hAnsi="Arial"/>
          <w:sz w:val="21"/>
          <w:szCs w:val="21"/>
          <w:color w:val="auto"/>
        </w:rPr>
      </w:pPr>
    </w:p>
    <w:p>
      <w:pPr>
        <w:jc w:val="both"/>
        <w:ind w:firstLine="8"/>
        <w:spacing w:after="0" w:line="259" w:lineRule="auto"/>
        <w:tabs>
          <w:tab w:leader="none" w:pos="207"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06" w:lineRule="exact"/>
        <w:rPr>
          <w:rFonts w:ascii="Arial" w:cs="Arial" w:eastAsia="Arial" w:hAnsi="Arial"/>
          <w:sz w:val="21"/>
          <w:szCs w:val="21"/>
          <w:color w:val="auto"/>
        </w:rPr>
      </w:pPr>
    </w:p>
    <w:p>
      <w:pPr>
        <w:jc w:val="both"/>
        <w:ind w:firstLine="8"/>
        <w:spacing w:after="0" w:line="247" w:lineRule="auto"/>
        <w:tabs>
          <w:tab w:leader="none" w:pos="22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Discoveries and Improvements</w:t>
      </w:r>
      <w:r>
        <w:rPr>
          <w:rFonts w:ascii="Arial" w:cs="Arial" w:eastAsia="Arial" w:hAnsi="Arial"/>
          <w:sz w:val="22"/>
          <w:szCs w:val="22"/>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292" w:lineRule="auto"/>
        <w:rPr>
          <w:sz w:val="20"/>
          <w:szCs w:val="20"/>
          <w:color w:val="auto"/>
        </w:rPr>
      </w:pPr>
      <w:r>
        <w:rPr>
          <w:rFonts w:ascii="Arial" w:cs="Arial" w:eastAsia="Arial" w:hAnsi="Arial"/>
          <w:sz w:val="19"/>
          <w:szCs w:val="19"/>
          <w:color w:val="auto"/>
        </w:rPr>
        <w:t>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78" w:lineRule="exact"/>
        <w:rPr>
          <w:sz w:val="20"/>
          <w:szCs w:val="20"/>
          <w:color w:val="auto"/>
        </w:rPr>
      </w:pPr>
    </w:p>
    <w:p>
      <w:pPr>
        <w:jc w:val="both"/>
        <w:ind w:firstLine="8"/>
        <w:spacing w:after="0" w:line="297" w:lineRule="auto"/>
        <w:tabs>
          <w:tab w:leader="none" w:pos="22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3" w:lineRule="exact"/>
        <w:rPr>
          <w:rFonts w:ascii="Arial" w:cs="Arial" w:eastAsia="Arial" w:hAnsi="Arial"/>
          <w:sz w:val="19"/>
          <w:szCs w:val="19"/>
          <w:color w:val="auto"/>
        </w:rPr>
      </w:pPr>
    </w:p>
    <w:p>
      <w:pPr>
        <w:jc w:val="both"/>
        <w:ind w:firstLine="8"/>
        <w:spacing w:after="0" w:line="250" w:lineRule="auto"/>
        <w:tabs>
          <w:tab w:leader="none" w:pos="20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4" w:lineRule="exact"/>
        <w:rPr>
          <w:rFonts w:ascii="Arial" w:cs="Arial" w:eastAsia="Arial" w:hAnsi="Arial"/>
          <w:sz w:val="22"/>
          <w:szCs w:val="22"/>
          <w:color w:val="auto"/>
        </w:rPr>
      </w:pPr>
    </w:p>
    <w:p>
      <w:pPr>
        <w:jc w:val="both"/>
        <w:ind w:firstLine="8"/>
        <w:spacing w:after="0" w:line="286" w:lineRule="auto"/>
        <w:tabs>
          <w:tab w:leader="none" w:pos="20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w:t>
      </w:r>
    </w:p>
    <w:p>
      <w:pPr>
        <w:sectPr>
          <w:pgSz w:w="11900" w:h="16838" w:orient="portrait"/>
          <w:cols w:equalWidth="0" w:num="1">
            <w:col w:w="11240"/>
          </w:cols>
          <w:pgMar w:left="320" w:top="1427" w:right="339" w:bottom="1440" w:gutter="0" w:footer="0" w:header="0"/>
        </w:sectPr>
      </w:pPr>
    </w:p>
    <w:bookmarkStart w:id="136" w:name="page137"/>
    <w:bookmarkEnd w:id="136"/>
    <w:p>
      <w:pPr>
        <w:jc w:val="both"/>
        <w:spacing w:after="0" w:line="265" w:lineRule="auto"/>
        <w:rPr>
          <w:sz w:val="20"/>
          <w:szCs w:val="20"/>
          <w:color w:val="auto"/>
        </w:rPr>
      </w:pPr>
      <w:r>
        <w:rPr>
          <w:rFonts w:ascii="Arial" w:cs="Arial" w:eastAsia="Arial" w:hAnsi="Arial"/>
          <w:sz w:val="21"/>
          <w:szCs w:val="21"/>
          <w:color w:val="auto"/>
        </w:rPr>
        <w:t>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2" w:lineRule="exact"/>
        <w:rPr>
          <w:sz w:val="20"/>
          <w:szCs w:val="20"/>
          <w:color w:val="auto"/>
        </w:rPr>
      </w:pPr>
    </w:p>
    <w:p>
      <w:pPr>
        <w:jc w:val="both"/>
        <w:ind w:firstLine="8"/>
        <w:spacing w:after="0" w:line="302" w:lineRule="auto"/>
        <w:tabs>
          <w:tab w:leader="none" w:pos="2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20" w:hanging="312"/>
        <w:spacing w:after="0"/>
        <w:tabs>
          <w:tab w:leader="none" w:pos="32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47" w:lineRule="exact"/>
        <w:rPr>
          <w:sz w:val="20"/>
          <w:szCs w:val="20"/>
          <w:color w:val="auto"/>
        </w:rPr>
      </w:pPr>
    </w:p>
    <w:p>
      <w:pPr>
        <w:jc w:val="both"/>
        <w:ind w:firstLine="8"/>
        <w:spacing w:after="0" w:line="294" w:lineRule="auto"/>
        <w:tabs>
          <w:tab w:leader="none" w:pos="298" w:val="left"/>
        </w:tabs>
        <w:numPr>
          <w:ilvl w:val="0"/>
          <w:numId w:val="63"/>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6" w:lineRule="exact"/>
        <w:rPr>
          <w:rFonts w:ascii="Arial" w:cs="Arial" w:eastAsia="Arial" w:hAnsi="Arial"/>
          <w:sz w:val="19"/>
          <w:szCs w:val="19"/>
          <w:color w:val="auto"/>
        </w:rPr>
      </w:pPr>
    </w:p>
    <w:p>
      <w:pPr>
        <w:ind w:firstLine="8"/>
        <w:spacing w:after="0" w:line="263" w:lineRule="auto"/>
        <w:tabs>
          <w:tab w:leader="none" w:pos="3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65" w:lineRule="auto"/>
        <w:tabs>
          <w:tab w:leader="none" w:pos="307"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Return of Documents</w:t>
      </w:r>
      <w:r>
        <w:rPr>
          <w:rFonts w:ascii="Arial" w:cs="Arial" w:eastAsia="Arial" w:hAnsi="Arial"/>
          <w:sz w:val="21"/>
          <w:szCs w:val="21"/>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02" w:lineRule="exact"/>
        <w:rPr>
          <w:rFonts w:ascii="Arial" w:cs="Arial" w:eastAsia="Arial" w:hAnsi="Arial"/>
          <w:sz w:val="21"/>
          <w:szCs w:val="21"/>
          <w:color w:val="auto"/>
        </w:rPr>
      </w:pPr>
    </w:p>
    <w:p>
      <w:pPr>
        <w:jc w:val="both"/>
        <w:ind w:firstLine="8"/>
        <w:spacing w:after="0" w:line="246" w:lineRule="auto"/>
        <w:tabs>
          <w:tab w:leader="none" w:pos="32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23" w:lineRule="exact"/>
        <w:rPr>
          <w:rFonts w:ascii="Arial" w:cs="Arial" w:eastAsia="Arial" w:hAnsi="Arial"/>
          <w:sz w:val="22"/>
          <w:szCs w:val="22"/>
          <w:color w:val="auto"/>
        </w:rPr>
      </w:pPr>
    </w:p>
    <w:p>
      <w:pPr>
        <w:ind w:left="320" w:hanging="312"/>
        <w:spacing w:after="0"/>
        <w:tabs>
          <w:tab w:leader="none" w:pos="32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Best Efforts and Conflicts of Interest</w:t>
      </w:r>
      <w:r>
        <w:rPr>
          <w:rFonts w:ascii="Arial" w:cs="Arial" w:eastAsia="Arial" w:hAnsi="Arial"/>
          <w:sz w:val="22"/>
          <w:szCs w:val="22"/>
          <w:color w:val="auto"/>
        </w:rPr>
        <w:t>: You are hired with the understanding that</w:t>
      </w:r>
    </w:p>
    <w:p>
      <w:pPr>
        <w:sectPr>
          <w:pgSz w:w="11900" w:h="16838" w:orient="portrait"/>
          <w:cols w:equalWidth="0" w:num="1">
            <w:col w:w="11240"/>
          </w:cols>
          <w:pgMar w:left="320" w:top="1427" w:right="339" w:bottom="144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21"/>
          <w:szCs w:val="21"/>
          <w:color w:val="auto"/>
        </w:rPr>
        <w:t>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10" w:lineRule="exact"/>
        <w:rPr>
          <w:sz w:val="20"/>
          <w:szCs w:val="20"/>
          <w:color w:val="auto"/>
        </w:rPr>
      </w:pPr>
    </w:p>
    <w:p>
      <w:pPr>
        <w:jc w:val="both"/>
        <w:ind w:firstLine="8"/>
        <w:spacing w:after="0" w:line="288" w:lineRule="auto"/>
        <w:tabs>
          <w:tab w:leader="none" w:pos="337"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ind w:right="20" w:firstLine="8"/>
        <w:spacing w:after="0" w:line="269" w:lineRule="auto"/>
        <w:tabs>
          <w:tab w:leader="none" w:pos="31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96" w:lineRule="exact"/>
        <w:rPr>
          <w:rFonts w:ascii="Arial" w:cs="Arial" w:eastAsia="Arial" w:hAnsi="Arial"/>
          <w:sz w:val="21"/>
          <w:szCs w:val="21"/>
          <w:color w:val="auto"/>
        </w:rPr>
      </w:pPr>
    </w:p>
    <w:p>
      <w:pPr>
        <w:ind w:firstLine="8"/>
        <w:spacing w:after="0" w:line="287" w:lineRule="auto"/>
        <w:tabs>
          <w:tab w:leader="none" w:pos="328"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line="253" w:lineRule="auto"/>
        <w:tabs>
          <w:tab w:leader="none" w:pos="31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2" w:lineRule="exact"/>
        <w:rPr>
          <w:rFonts w:ascii="Arial" w:cs="Arial" w:eastAsia="Arial" w:hAnsi="Arial"/>
          <w:sz w:val="22"/>
          <w:szCs w:val="22"/>
          <w:color w:val="auto"/>
        </w:rPr>
      </w:pPr>
    </w:p>
    <w:p>
      <w:pPr>
        <w:jc w:val="both"/>
        <w:ind w:firstLine="8"/>
        <w:spacing w:after="0" w:line="253" w:lineRule="auto"/>
        <w:tabs>
          <w:tab w:leader="none" w:pos="35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2" w:lineRule="exact"/>
        <w:rPr>
          <w:rFonts w:ascii="Arial" w:cs="Arial" w:eastAsia="Arial" w:hAnsi="Arial"/>
          <w:sz w:val="22"/>
          <w:szCs w:val="22"/>
          <w:color w:val="auto"/>
        </w:rPr>
      </w:pPr>
    </w:p>
    <w:p>
      <w:pPr>
        <w:jc w:val="both"/>
        <w:ind w:firstLine="8"/>
        <w:spacing w:after="0" w:line="253" w:lineRule="auto"/>
        <w:tabs>
          <w:tab w:leader="none" w:pos="31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2" w:lineRule="exact"/>
        <w:rPr>
          <w:rFonts w:ascii="Arial" w:cs="Arial" w:eastAsia="Arial" w:hAnsi="Arial"/>
          <w:sz w:val="22"/>
          <w:szCs w:val="22"/>
          <w:color w:val="auto"/>
        </w:rPr>
      </w:pPr>
    </w:p>
    <w:p>
      <w:pPr>
        <w:ind w:right="820" w:firstLine="8"/>
        <w:spacing w:after="0" w:line="263" w:lineRule="auto"/>
        <w:tabs>
          <w:tab w:leader="none" w:pos="31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5520" w:hanging="166"/>
        <w:spacing w:after="0"/>
        <w:tabs>
          <w:tab w:leader="none" w:pos="5520" w:val="left"/>
        </w:tabs>
        <w:numPr>
          <w:ilvl w:val="1"/>
          <w:numId w:val="66"/>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27" w:right="339" w:bottom="1440" w:gutter="0" w:footer="0" w:header="0"/>
        </w:sectPr>
      </w:pPr>
    </w:p>
    <w:bookmarkStart w:id="138" w:name="page139"/>
    <w:bookmarkEnd w:id="138"/>
    <w:p>
      <w:pPr>
        <w:spacing w:after="0"/>
        <w:tabs>
          <w:tab w:leader="none" w:pos="5520" w:val="left"/>
        </w:tabs>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21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4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 A.J. Kazimi</w:t>
      </w:r>
    </w:p>
    <w:p>
      <w:pPr>
        <w:spacing w:after="0" w:line="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16th of March, 2020:</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Leo Pavliv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62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3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Leo Pavliv</w:t>
      </w:r>
    </w:p>
    <w:p>
      <w:pPr>
        <w:sectPr>
          <w:pgSz w:w="11900" w:h="16838" w:orient="portrait"/>
          <w:cols w:equalWidth="0" w:num="1">
            <w:col w:w="11240"/>
          </w:cols>
          <w:pgMar w:left="320" w:top="142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March 16,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Michael Bonner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660" w:right="20" w:hanging="647"/>
        <w:spacing w:after="0" w:line="263" w:lineRule="auto"/>
        <w:rPr>
          <w:sz w:val="20"/>
          <w:szCs w:val="20"/>
          <w:color w:val="auto"/>
        </w:rPr>
      </w:pPr>
      <w:r>
        <w:rPr>
          <w:rFonts w:ascii="Arial" w:cs="Arial" w:eastAsia="Arial" w:hAnsi="Arial"/>
          <w:sz w:val="22"/>
          <w:szCs w:val="22"/>
          <w:color w:val="auto"/>
        </w:rPr>
        <w:t>Re: Employment of Michael Bonner as Senior Director, Finance &amp; Accounting; Chief Financial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Michael:</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Effective January 1, 2020, this letter agreement (the “Agreement”) will evidence the terms and conditions under which you will be employed by Cumberland Pharmaceuticals Inc. (the “Company”) In consideration of your appointment as Senior Director, Finance &amp; Accounting; Chief Financial Officer of the Company, and other good and valuable consideration, the receipt and sufficiency of which is hereby acknowledged, the parties agree as follows: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47" w:lineRule="exact"/>
        <w:rPr>
          <w:sz w:val="20"/>
          <w:szCs w:val="20"/>
          <w:color w:val="auto"/>
        </w:rPr>
      </w:pPr>
    </w:p>
    <w:p>
      <w:pPr>
        <w:jc w:val="both"/>
        <w:ind w:firstLine="8"/>
        <w:spacing w:after="0" w:line="261" w:lineRule="auto"/>
        <w:tabs>
          <w:tab w:leader="none" w:pos="312"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two hundred five thousand five hundred dollars ($205,500.00), payable in arrears in equal monthly installments on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calendar month of 2020.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6" w:lineRule="exact"/>
        <w:rPr>
          <w:rFonts w:ascii="Arial" w:cs="Arial" w:eastAsia="Arial" w:hAnsi="Arial"/>
          <w:sz w:val="20"/>
          <w:szCs w:val="20"/>
          <w:color w:val="auto"/>
        </w:rPr>
      </w:pPr>
    </w:p>
    <w:p>
      <w:pPr>
        <w:jc w:val="both"/>
        <w:ind w:firstLine="8"/>
        <w:spacing w:after="0" w:line="253" w:lineRule="auto"/>
        <w:tabs>
          <w:tab w:leader="none" w:pos="297" w:val="left"/>
        </w:tabs>
        <w:numPr>
          <w:ilvl w:val="0"/>
          <w:numId w:val="67"/>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2" w:lineRule="exact"/>
        <w:rPr>
          <w:rFonts w:ascii="Arial" w:cs="Arial" w:eastAsia="Arial" w:hAnsi="Arial"/>
          <w:sz w:val="22"/>
          <w:szCs w:val="22"/>
          <w:color w:val="auto"/>
        </w:rPr>
      </w:pPr>
    </w:p>
    <w:p>
      <w:pPr>
        <w:jc w:val="both"/>
        <w:ind w:right="20" w:firstLine="8"/>
        <w:spacing w:after="0" w:line="253" w:lineRule="auto"/>
        <w:tabs>
          <w:tab w:leader="none" w:pos="285" w:val="left"/>
        </w:tabs>
        <w:numPr>
          <w:ilvl w:val="0"/>
          <w:numId w:val="67"/>
        </w:numPr>
        <w:rPr>
          <w:rFonts w:ascii="Arial" w:cs="Arial" w:eastAsia="Arial" w:hAnsi="Arial"/>
          <w:sz w:val="22"/>
          <w:szCs w:val="22"/>
          <w:color w:val="auto"/>
        </w:rPr>
      </w:pPr>
      <w:r>
        <w:rPr>
          <w:rFonts w:ascii="Arial" w:cs="Arial" w:eastAsia="Arial" w:hAnsi="Arial"/>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w:t>
      </w:r>
    </w:p>
    <w:p>
      <w:pPr>
        <w:sectPr>
          <w:pgSz w:w="11900" w:h="16838" w:orient="portrait"/>
          <w:cols w:equalWidth="0" w:num="1">
            <w:col w:w="11240"/>
          </w:cols>
          <w:pgMar w:left="320" w:top="1427" w:right="339" w:bottom="1440" w:gutter="0" w:footer="0" w:header="0"/>
        </w:sectPr>
      </w:pPr>
    </w:p>
    <w:bookmarkStart w:id="141" w:name="page142"/>
    <w:bookmarkEnd w:id="141"/>
    <w:p>
      <w:pPr>
        <w:spacing w:after="0" w:line="263" w:lineRule="auto"/>
        <w:rPr>
          <w:sz w:val="20"/>
          <w:szCs w:val="20"/>
          <w:color w:val="auto"/>
        </w:rPr>
      </w:pPr>
      <w:r>
        <w:rPr>
          <w:rFonts w:ascii="Arial" w:cs="Arial" w:eastAsia="Arial" w:hAnsi="Arial"/>
          <w:sz w:val="22"/>
          <w:szCs w:val="22"/>
          <w:color w:val="auto"/>
        </w:rPr>
        <w:t>and will be subject to the terms of the applicable bonus program, the terms of which program may be modified from year to year in the sole discretion of the Company’s Board of Directors.</w:t>
      </w:r>
    </w:p>
    <w:p>
      <w:pPr>
        <w:spacing w:after="0" w:line="202" w:lineRule="exact"/>
        <w:rPr>
          <w:sz w:val="20"/>
          <w:szCs w:val="20"/>
          <w:color w:val="auto"/>
        </w:rPr>
      </w:pPr>
    </w:p>
    <w:p>
      <w:pPr>
        <w:jc w:val="both"/>
        <w:ind w:firstLine="8"/>
        <w:spacing w:after="0" w:line="265" w:lineRule="auto"/>
        <w:tabs>
          <w:tab w:leader="none" w:pos="297" w:val="left"/>
        </w:tabs>
        <w:numPr>
          <w:ilvl w:val="0"/>
          <w:numId w:val="68"/>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restricted stock agreement (RSA). Such shares will be subject to the RSA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2" w:lineRule="exact"/>
        <w:rPr>
          <w:rFonts w:ascii="Arial" w:cs="Arial" w:eastAsia="Arial" w:hAnsi="Arial"/>
          <w:sz w:val="21"/>
          <w:szCs w:val="21"/>
          <w:color w:val="auto"/>
        </w:rPr>
      </w:pPr>
    </w:p>
    <w:p>
      <w:pPr>
        <w:ind w:firstLine="8"/>
        <w:spacing w:after="0" w:line="263" w:lineRule="auto"/>
        <w:tabs>
          <w:tab w:leader="none" w:pos="285" w:val="left"/>
        </w:tabs>
        <w:numPr>
          <w:ilvl w:val="0"/>
          <w:numId w:val="68"/>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2" w:lineRule="exact"/>
        <w:rPr>
          <w:sz w:val="20"/>
          <w:szCs w:val="20"/>
          <w:color w:val="auto"/>
        </w:rPr>
      </w:pPr>
    </w:p>
    <w:p>
      <w:pPr>
        <w:jc w:val="both"/>
        <w:ind w:firstLine="8"/>
        <w:spacing w:after="0" w:line="248" w:lineRule="auto"/>
        <w:tabs>
          <w:tab w:leader="none" w:pos="229"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8" w:lineRule="exact"/>
        <w:rPr>
          <w:rFonts w:ascii="Arial" w:cs="Arial" w:eastAsia="Arial" w:hAnsi="Arial"/>
          <w:sz w:val="22"/>
          <w:szCs w:val="22"/>
          <w:color w:val="auto"/>
        </w:rPr>
      </w:pPr>
    </w:p>
    <w:p>
      <w:pPr>
        <w:jc w:val="both"/>
        <w:ind w:firstLine="8"/>
        <w:spacing w:after="0" w:line="265" w:lineRule="auto"/>
        <w:tabs>
          <w:tab w:leader="none" w:pos="207"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2" w:lineRule="exact"/>
        <w:rPr>
          <w:rFonts w:ascii="Arial" w:cs="Arial" w:eastAsia="Arial" w:hAnsi="Arial"/>
          <w:sz w:val="21"/>
          <w:szCs w:val="21"/>
          <w:color w:val="auto"/>
        </w:rPr>
      </w:pPr>
    </w:p>
    <w:p>
      <w:pPr>
        <w:jc w:val="both"/>
        <w:ind w:firstLine="8"/>
        <w:spacing w:after="0" w:line="259" w:lineRule="auto"/>
        <w:tabs>
          <w:tab w:leader="none" w:pos="207"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06" w:lineRule="exact"/>
        <w:rPr>
          <w:rFonts w:ascii="Arial" w:cs="Arial" w:eastAsia="Arial" w:hAnsi="Arial"/>
          <w:sz w:val="21"/>
          <w:szCs w:val="21"/>
          <w:color w:val="auto"/>
        </w:rPr>
      </w:pPr>
    </w:p>
    <w:p>
      <w:pPr>
        <w:jc w:val="both"/>
        <w:ind w:firstLine="8"/>
        <w:spacing w:after="0" w:line="247" w:lineRule="auto"/>
        <w:tabs>
          <w:tab w:leader="none" w:pos="22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Discoveries and Improvements</w:t>
      </w:r>
      <w:r>
        <w:rPr>
          <w:rFonts w:ascii="Arial" w:cs="Arial" w:eastAsia="Arial" w:hAnsi="Arial"/>
          <w:sz w:val="22"/>
          <w:szCs w:val="22"/>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w:t>
      </w:r>
    </w:p>
    <w:p>
      <w:pPr>
        <w:sectPr>
          <w:pgSz w:w="11900" w:h="16838" w:orient="portrait"/>
          <w:cols w:equalWidth="0" w:num="1">
            <w:col w:w="11240"/>
          </w:cols>
          <w:pgMar w:left="320" w:top="1427" w:right="339" w:bottom="1440" w:gutter="0" w:footer="0" w:header="0"/>
        </w:sectPr>
      </w:pPr>
    </w:p>
    <w:bookmarkStart w:id="142" w:name="page143"/>
    <w:bookmarkEnd w:id="142"/>
    <w:p>
      <w:pPr>
        <w:jc w:val="both"/>
        <w:spacing w:after="0" w:line="292" w:lineRule="auto"/>
        <w:rPr>
          <w:sz w:val="20"/>
          <w:szCs w:val="20"/>
          <w:color w:val="auto"/>
        </w:rPr>
      </w:pPr>
      <w:r>
        <w:rPr>
          <w:rFonts w:ascii="Arial" w:cs="Arial" w:eastAsia="Arial" w:hAnsi="Arial"/>
          <w:sz w:val="19"/>
          <w:szCs w:val="19"/>
          <w:color w:val="auto"/>
        </w:rPr>
        <w:t>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78" w:lineRule="exact"/>
        <w:rPr>
          <w:sz w:val="20"/>
          <w:szCs w:val="20"/>
          <w:color w:val="auto"/>
        </w:rPr>
      </w:pPr>
    </w:p>
    <w:p>
      <w:pPr>
        <w:jc w:val="both"/>
        <w:ind w:firstLine="8"/>
        <w:spacing w:after="0" w:line="297" w:lineRule="auto"/>
        <w:tabs>
          <w:tab w:leader="none" w:pos="22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3" w:lineRule="exact"/>
        <w:rPr>
          <w:rFonts w:ascii="Arial" w:cs="Arial" w:eastAsia="Arial" w:hAnsi="Arial"/>
          <w:sz w:val="19"/>
          <w:szCs w:val="19"/>
          <w:color w:val="auto"/>
        </w:rPr>
      </w:pPr>
    </w:p>
    <w:p>
      <w:pPr>
        <w:jc w:val="both"/>
        <w:ind w:firstLine="8"/>
        <w:spacing w:after="0" w:line="250" w:lineRule="auto"/>
        <w:tabs>
          <w:tab w:leader="none" w:pos="20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4" w:lineRule="exact"/>
        <w:rPr>
          <w:rFonts w:ascii="Arial" w:cs="Arial" w:eastAsia="Arial" w:hAnsi="Arial"/>
          <w:sz w:val="22"/>
          <w:szCs w:val="22"/>
          <w:color w:val="auto"/>
        </w:rPr>
      </w:pPr>
    </w:p>
    <w:p>
      <w:pPr>
        <w:jc w:val="both"/>
        <w:ind w:firstLine="8"/>
        <w:spacing w:after="0" w:line="286" w:lineRule="auto"/>
        <w:tabs>
          <w:tab w:leader="none" w:pos="207"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1to inevitably disclose to anyone not employed by the Company (or an Affiliate) any trade secret</w:t>
      </w:r>
    </w:p>
    <w:p>
      <w:pPr>
        <w:sectPr>
          <w:pgSz w:w="11900" w:h="16838" w:orient="portrait"/>
          <w:cols w:equalWidth="0" w:num="1">
            <w:col w:w="11240"/>
          </w:cols>
          <w:pgMar w:left="320" w:top="1427" w:right="339" w:bottom="1440" w:gutter="0" w:footer="0" w:header="0"/>
        </w:sectPr>
      </w:pPr>
    </w:p>
    <w:bookmarkStart w:id="143" w:name="page144"/>
    <w:bookmarkEnd w:id="143"/>
    <w:p>
      <w:pPr>
        <w:jc w:val="both"/>
        <w:spacing w:after="0" w:line="265" w:lineRule="auto"/>
        <w:rPr>
          <w:sz w:val="20"/>
          <w:szCs w:val="20"/>
          <w:color w:val="auto"/>
        </w:rPr>
      </w:pPr>
      <w:r>
        <w:rPr>
          <w:rFonts w:ascii="Arial" w:cs="Arial" w:eastAsia="Arial" w:hAnsi="Arial"/>
          <w:sz w:val="21"/>
          <w:szCs w:val="21"/>
          <w:color w:val="auto"/>
        </w:rPr>
        <w:t>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2" w:lineRule="exact"/>
        <w:rPr>
          <w:sz w:val="20"/>
          <w:szCs w:val="20"/>
          <w:color w:val="auto"/>
        </w:rPr>
      </w:pPr>
    </w:p>
    <w:p>
      <w:pPr>
        <w:jc w:val="both"/>
        <w:ind w:firstLine="8"/>
        <w:spacing w:after="0" w:line="302" w:lineRule="auto"/>
        <w:tabs>
          <w:tab w:leader="none" w:pos="22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20" w:hanging="312"/>
        <w:spacing w:after="0"/>
        <w:tabs>
          <w:tab w:leader="none" w:pos="32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47" w:lineRule="exact"/>
        <w:rPr>
          <w:sz w:val="20"/>
          <w:szCs w:val="20"/>
          <w:color w:val="auto"/>
        </w:rPr>
      </w:pPr>
    </w:p>
    <w:p>
      <w:pPr>
        <w:jc w:val="both"/>
        <w:ind w:firstLine="8"/>
        <w:spacing w:after="0" w:line="294" w:lineRule="auto"/>
        <w:tabs>
          <w:tab w:leader="none" w:pos="298" w:val="left"/>
        </w:tabs>
        <w:numPr>
          <w:ilvl w:val="0"/>
          <w:numId w:val="72"/>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6" w:lineRule="exact"/>
        <w:rPr>
          <w:rFonts w:ascii="Arial" w:cs="Arial" w:eastAsia="Arial" w:hAnsi="Arial"/>
          <w:sz w:val="19"/>
          <w:szCs w:val="19"/>
          <w:color w:val="auto"/>
        </w:rPr>
      </w:pPr>
    </w:p>
    <w:p>
      <w:pPr>
        <w:ind w:firstLine="8"/>
        <w:spacing w:after="0" w:line="263" w:lineRule="auto"/>
        <w:tabs>
          <w:tab w:leader="none" w:pos="310" w:val="left"/>
        </w:tabs>
        <w:numPr>
          <w:ilvl w:val="0"/>
          <w:numId w:val="72"/>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65" w:lineRule="auto"/>
        <w:tabs>
          <w:tab w:leader="none" w:pos="307"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Return of Documents</w:t>
      </w:r>
      <w:r>
        <w:rPr>
          <w:rFonts w:ascii="Arial" w:cs="Arial" w:eastAsia="Arial" w:hAnsi="Arial"/>
          <w:sz w:val="21"/>
          <w:szCs w:val="21"/>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02" w:lineRule="exact"/>
        <w:rPr>
          <w:rFonts w:ascii="Arial" w:cs="Arial" w:eastAsia="Arial" w:hAnsi="Arial"/>
          <w:sz w:val="21"/>
          <w:szCs w:val="21"/>
          <w:color w:val="auto"/>
        </w:rPr>
      </w:pPr>
    </w:p>
    <w:p>
      <w:pPr>
        <w:jc w:val="both"/>
        <w:ind w:firstLine="8"/>
        <w:spacing w:after="0" w:line="246" w:lineRule="auto"/>
        <w:tabs>
          <w:tab w:leader="none" w:pos="32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23" w:lineRule="exact"/>
        <w:rPr>
          <w:rFonts w:ascii="Arial" w:cs="Arial" w:eastAsia="Arial" w:hAnsi="Arial"/>
          <w:sz w:val="22"/>
          <w:szCs w:val="22"/>
          <w:color w:val="auto"/>
        </w:rPr>
      </w:pPr>
    </w:p>
    <w:p>
      <w:pPr>
        <w:ind w:left="320" w:hanging="312"/>
        <w:spacing w:after="0"/>
        <w:tabs>
          <w:tab w:leader="none" w:pos="32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Best Efforts and Conflicts of Interest</w:t>
      </w:r>
      <w:r>
        <w:rPr>
          <w:rFonts w:ascii="Arial" w:cs="Arial" w:eastAsia="Arial" w:hAnsi="Arial"/>
          <w:sz w:val="22"/>
          <w:szCs w:val="22"/>
          <w:color w:val="auto"/>
        </w:rPr>
        <w:t>: You are hired with the understanding that</w:t>
      </w:r>
    </w:p>
    <w:p>
      <w:pPr>
        <w:sectPr>
          <w:pgSz w:w="11900" w:h="16838" w:orient="portrait"/>
          <w:cols w:equalWidth="0" w:num="1">
            <w:col w:w="11240"/>
          </w:cols>
          <w:pgMar w:left="320" w:top="1427" w:right="339" w:bottom="1440" w:gutter="0" w:footer="0" w:header="0"/>
        </w:sectPr>
      </w:pPr>
    </w:p>
    <w:bookmarkStart w:id="144" w:name="page145"/>
    <w:bookmarkEnd w:id="144"/>
    <w:p>
      <w:pPr>
        <w:jc w:val="both"/>
        <w:spacing w:after="0" w:line="259" w:lineRule="auto"/>
        <w:rPr>
          <w:sz w:val="20"/>
          <w:szCs w:val="20"/>
          <w:color w:val="auto"/>
        </w:rPr>
      </w:pPr>
      <w:r>
        <w:rPr>
          <w:rFonts w:ascii="Arial" w:cs="Arial" w:eastAsia="Arial" w:hAnsi="Arial"/>
          <w:sz w:val="21"/>
          <w:szCs w:val="21"/>
          <w:color w:val="auto"/>
        </w:rPr>
        <w:t>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210" w:lineRule="exact"/>
        <w:rPr>
          <w:sz w:val="20"/>
          <w:szCs w:val="20"/>
          <w:color w:val="auto"/>
        </w:rPr>
      </w:pPr>
    </w:p>
    <w:p>
      <w:pPr>
        <w:jc w:val="both"/>
        <w:ind w:firstLine="8"/>
        <w:spacing w:after="0" w:line="288" w:lineRule="auto"/>
        <w:tabs>
          <w:tab w:leader="none" w:pos="337"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ind w:right="20" w:firstLine="8"/>
        <w:spacing w:after="0" w:line="269" w:lineRule="auto"/>
        <w:tabs>
          <w:tab w:leader="none" w:pos="315"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96" w:lineRule="exact"/>
        <w:rPr>
          <w:rFonts w:ascii="Arial" w:cs="Arial" w:eastAsia="Arial" w:hAnsi="Arial"/>
          <w:sz w:val="21"/>
          <w:szCs w:val="21"/>
          <w:color w:val="auto"/>
        </w:rPr>
      </w:pPr>
    </w:p>
    <w:p>
      <w:pPr>
        <w:ind w:firstLine="8"/>
        <w:spacing w:after="0" w:line="287" w:lineRule="auto"/>
        <w:tabs>
          <w:tab w:leader="none" w:pos="32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2" w:lineRule="exact"/>
        <w:rPr>
          <w:sz w:val="20"/>
          <w:szCs w:val="20"/>
          <w:color w:val="auto"/>
        </w:rPr>
      </w:pPr>
    </w:p>
    <w:p>
      <w:pPr>
        <w:jc w:val="both"/>
        <w:ind w:firstLine="8"/>
        <w:spacing w:after="0" w:line="253" w:lineRule="auto"/>
        <w:tabs>
          <w:tab w:leader="none" w:pos="315"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2" w:lineRule="exact"/>
        <w:rPr>
          <w:rFonts w:ascii="Arial" w:cs="Arial" w:eastAsia="Arial" w:hAnsi="Arial"/>
          <w:sz w:val="22"/>
          <w:szCs w:val="22"/>
          <w:color w:val="auto"/>
        </w:rPr>
      </w:pPr>
    </w:p>
    <w:p>
      <w:pPr>
        <w:jc w:val="both"/>
        <w:ind w:firstLine="8"/>
        <w:spacing w:after="0" w:line="253" w:lineRule="auto"/>
        <w:tabs>
          <w:tab w:leader="none" w:pos="355"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2" w:lineRule="exact"/>
        <w:rPr>
          <w:rFonts w:ascii="Arial" w:cs="Arial" w:eastAsia="Arial" w:hAnsi="Arial"/>
          <w:sz w:val="22"/>
          <w:szCs w:val="22"/>
          <w:color w:val="auto"/>
        </w:rPr>
      </w:pPr>
    </w:p>
    <w:p>
      <w:pPr>
        <w:jc w:val="both"/>
        <w:ind w:firstLine="8"/>
        <w:spacing w:after="0" w:line="253" w:lineRule="auto"/>
        <w:tabs>
          <w:tab w:leader="none" w:pos="315"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2" w:lineRule="exact"/>
        <w:rPr>
          <w:rFonts w:ascii="Arial" w:cs="Arial" w:eastAsia="Arial" w:hAnsi="Arial"/>
          <w:sz w:val="22"/>
          <w:szCs w:val="22"/>
          <w:color w:val="auto"/>
        </w:rPr>
      </w:pPr>
    </w:p>
    <w:p>
      <w:pPr>
        <w:ind w:firstLine="8"/>
        <w:spacing w:after="0" w:line="263" w:lineRule="auto"/>
        <w:tabs>
          <w:tab w:leader="none" w:pos="355"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5480" w:hanging="153"/>
        <w:spacing w:after="0"/>
        <w:tabs>
          <w:tab w:leader="none" w:pos="54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40"/>
          </w:cols>
          <w:pgMar w:left="320" w:top="1427"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 yours,</w:t>
      </w:r>
    </w:p>
    <w:p>
      <w:pPr>
        <w:spacing w:after="0" w:line="21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CUMBERLAND PHARMACEUTICALS INC.</w:t>
      </w: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4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 A.J. Kazimi</w:t>
      </w:r>
    </w:p>
    <w:p>
      <w:pPr>
        <w:spacing w:after="0" w:line="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16th of March, 2020:</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62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3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Michael Bonner</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March 16,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Mr. James L. Herman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Nashville, TN 37203</w:t>
      </w:r>
    </w:p>
    <w:p>
      <w:pPr>
        <w:spacing w:after="0" w:line="229"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Re: Employment of James L. Herman as Senior Vice President, National Accounts and Chief Compliance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Jim:</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Effective January 1, 2020, this letter agreement (the “Agreement”) will evidence the terms and conditions under which you will be employed by Cumberland Pharmaceuticals Inc. (the “Company”) In consideration of your appointment as Senior Vice President, National Accounts and Chief Compliance Officer of the Company, and other good and valuable consideration, the receipt and sufficiency of which is hereby acknowledged, the parties agree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47" w:lineRule="exact"/>
        <w:rPr>
          <w:sz w:val="20"/>
          <w:szCs w:val="20"/>
          <w:color w:val="auto"/>
        </w:rPr>
      </w:pPr>
    </w:p>
    <w:p>
      <w:pPr>
        <w:jc w:val="both"/>
        <w:ind w:firstLine="8"/>
        <w:spacing w:after="0" w:line="261" w:lineRule="auto"/>
        <w:tabs>
          <w:tab w:leader="none" w:pos="312"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two hundred sixty thousand dollars ($260,000.00), payable in arrears in equal monthly installments on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calendar month of 2020.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6" w:lineRule="exact"/>
        <w:rPr>
          <w:rFonts w:ascii="Arial" w:cs="Arial" w:eastAsia="Arial" w:hAnsi="Arial"/>
          <w:sz w:val="20"/>
          <w:szCs w:val="20"/>
          <w:color w:val="auto"/>
        </w:rPr>
      </w:pPr>
    </w:p>
    <w:p>
      <w:pPr>
        <w:jc w:val="both"/>
        <w:ind w:firstLine="8"/>
        <w:spacing w:after="0" w:line="253" w:lineRule="auto"/>
        <w:tabs>
          <w:tab w:leader="none" w:pos="297" w:val="left"/>
        </w:tabs>
        <w:numPr>
          <w:ilvl w:val="0"/>
          <w:numId w:val="76"/>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2" w:lineRule="exact"/>
        <w:rPr>
          <w:rFonts w:ascii="Arial" w:cs="Arial" w:eastAsia="Arial" w:hAnsi="Arial"/>
          <w:sz w:val="22"/>
          <w:szCs w:val="22"/>
          <w:color w:val="auto"/>
        </w:rPr>
      </w:pPr>
    </w:p>
    <w:p>
      <w:pPr>
        <w:jc w:val="both"/>
        <w:ind w:firstLine="8"/>
        <w:spacing w:after="0" w:line="265" w:lineRule="auto"/>
        <w:tabs>
          <w:tab w:leader="none" w:pos="285" w:val="left"/>
        </w:tabs>
        <w:numPr>
          <w:ilvl w:val="0"/>
          <w:numId w:val="76"/>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ectPr>
          <w:pgSz w:w="11900" w:h="16838" w:orient="portrait"/>
          <w:cols w:equalWidth="0" w:num="1">
            <w:col w:w="11240"/>
          </w:cols>
          <w:pgMar w:left="320" w:top="1440" w:right="339" w:bottom="1440" w:gutter="0" w:footer="0" w:header="0"/>
        </w:sectPr>
      </w:pPr>
    </w:p>
    <w:bookmarkStart w:id="147" w:name="page148"/>
    <w:bookmarkEnd w:id="147"/>
    <w:p>
      <w:pPr>
        <w:jc w:val="both"/>
        <w:ind w:left="-8" w:firstLine="8"/>
        <w:spacing w:after="0" w:line="265" w:lineRule="auto"/>
        <w:tabs>
          <w:tab w:leader="none" w:pos="289" w:val="left"/>
        </w:tabs>
        <w:numPr>
          <w:ilvl w:val="0"/>
          <w:numId w:val="77"/>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restricted stock agreement (RSA). Such shares will be subject to the RSA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202" w:lineRule="exact"/>
        <w:rPr>
          <w:rFonts w:ascii="Arial" w:cs="Arial" w:eastAsia="Arial" w:hAnsi="Arial"/>
          <w:sz w:val="21"/>
          <w:szCs w:val="21"/>
          <w:color w:val="auto"/>
        </w:rPr>
      </w:pPr>
    </w:p>
    <w:p>
      <w:pPr>
        <w:ind w:left="-8" w:firstLine="8"/>
        <w:spacing w:after="0" w:line="263" w:lineRule="auto"/>
        <w:tabs>
          <w:tab w:leader="none" w:pos="277" w:val="left"/>
        </w:tabs>
        <w:numPr>
          <w:ilvl w:val="0"/>
          <w:numId w:val="77"/>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2" w:lineRule="exact"/>
        <w:rPr>
          <w:sz w:val="20"/>
          <w:szCs w:val="20"/>
          <w:color w:val="auto"/>
        </w:rPr>
      </w:pPr>
    </w:p>
    <w:p>
      <w:pPr>
        <w:jc w:val="both"/>
        <w:ind w:left="-8" w:firstLine="8"/>
        <w:spacing w:after="0" w:line="248" w:lineRule="auto"/>
        <w:tabs>
          <w:tab w:leader="none" w:pos="221"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8" w:lineRule="exact"/>
        <w:rPr>
          <w:rFonts w:ascii="Arial" w:cs="Arial" w:eastAsia="Arial" w:hAnsi="Arial"/>
          <w:sz w:val="22"/>
          <w:szCs w:val="22"/>
          <w:color w:val="auto"/>
        </w:rPr>
      </w:pPr>
    </w:p>
    <w:p>
      <w:pPr>
        <w:jc w:val="both"/>
        <w:ind w:left="-8" w:firstLine="8"/>
        <w:spacing w:after="0" w:line="265" w:lineRule="auto"/>
        <w:tabs>
          <w:tab w:leader="none" w:pos="199"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2" w:lineRule="exact"/>
        <w:rPr>
          <w:rFonts w:ascii="Arial" w:cs="Arial" w:eastAsia="Arial" w:hAnsi="Arial"/>
          <w:sz w:val="21"/>
          <w:szCs w:val="21"/>
          <w:color w:val="auto"/>
        </w:rPr>
      </w:pPr>
    </w:p>
    <w:p>
      <w:pPr>
        <w:jc w:val="both"/>
        <w:ind w:left="-8" w:firstLine="8"/>
        <w:spacing w:after="0" w:line="259" w:lineRule="auto"/>
        <w:tabs>
          <w:tab w:leader="none" w:pos="199"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206" w:lineRule="exact"/>
        <w:rPr>
          <w:rFonts w:ascii="Arial" w:cs="Arial" w:eastAsia="Arial" w:hAnsi="Arial"/>
          <w:sz w:val="21"/>
          <w:szCs w:val="21"/>
          <w:color w:val="auto"/>
        </w:rPr>
      </w:pPr>
    </w:p>
    <w:p>
      <w:pPr>
        <w:jc w:val="both"/>
        <w:ind w:left="-8" w:firstLine="8"/>
        <w:spacing w:after="0" w:line="257" w:lineRule="auto"/>
        <w:tabs>
          <w:tab w:leader="none" w:pos="21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32"/>
          </w:cols>
          <w:pgMar w:left="328" w:top="901" w:right="339" w:bottom="1440" w:gutter="0" w:footer="0" w:header="0"/>
        </w:sectPr>
      </w:pPr>
    </w:p>
    <w:bookmarkStart w:id="148" w:name="page149"/>
    <w:bookmarkEnd w:id="148"/>
    <w:p>
      <w:pPr>
        <w:jc w:val="both"/>
        <w:ind w:left="-8" w:firstLine="8"/>
        <w:spacing w:after="0" w:line="297" w:lineRule="auto"/>
        <w:tabs>
          <w:tab w:leader="none" w:pos="212"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3" w:lineRule="exact"/>
        <w:rPr>
          <w:rFonts w:ascii="Arial" w:cs="Arial" w:eastAsia="Arial" w:hAnsi="Arial"/>
          <w:sz w:val="19"/>
          <w:szCs w:val="19"/>
          <w:color w:val="auto"/>
        </w:rPr>
      </w:pPr>
    </w:p>
    <w:p>
      <w:pPr>
        <w:jc w:val="both"/>
        <w:ind w:left="-8" w:firstLine="8"/>
        <w:spacing w:after="0" w:line="250" w:lineRule="auto"/>
        <w:tabs>
          <w:tab w:leader="none" w:pos="19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4" w:lineRule="exact"/>
        <w:rPr>
          <w:rFonts w:ascii="Arial" w:cs="Arial" w:eastAsia="Arial" w:hAnsi="Arial"/>
          <w:sz w:val="22"/>
          <w:szCs w:val="22"/>
          <w:color w:val="auto"/>
        </w:rPr>
      </w:pPr>
    </w:p>
    <w:p>
      <w:pPr>
        <w:jc w:val="both"/>
        <w:ind w:left="-8" w:firstLine="8"/>
        <w:spacing w:after="0" w:line="285" w:lineRule="auto"/>
        <w:tabs>
          <w:tab w:leader="none" w:pos="19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8" w:firstLine="8"/>
        <w:spacing w:after="0" w:line="302" w:lineRule="auto"/>
        <w:tabs>
          <w:tab w:leader="none" w:pos="212"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69" w:lineRule="exact"/>
        <w:rPr>
          <w:rFonts w:ascii="Arial" w:cs="Arial" w:eastAsia="Arial" w:hAnsi="Arial"/>
          <w:sz w:val="19"/>
          <w:szCs w:val="19"/>
          <w:color w:val="auto"/>
        </w:rPr>
      </w:pPr>
    </w:p>
    <w:p>
      <w:pPr>
        <w:ind w:left="312" w:hanging="312"/>
        <w:spacing w:after="0"/>
        <w:tabs>
          <w:tab w:leader="none" w:pos="31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47" w:lineRule="exact"/>
        <w:rPr>
          <w:sz w:val="20"/>
          <w:szCs w:val="20"/>
          <w:color w:val="auto"/>
        </w:rPr>
      </w:pPr>
    </w:p>
    <w:p>
      <w:pPr>
        <w:jc w:val="both"/>
        <w:ind w:left="-8" w:firstLine="8"/>
        <w:spacing w:after="0" w:line="250" w:lineRule="auto"/>
        <w:tabs>
          <w:tab w:leader="none" w:pos="290" w:val="left"/>
        </w:tabs>
        <w:numPr>
          <w:ilvl w:val="0"/>
          <w:numId w:val="80"/>
        </w:numPr>
        <w:rPr>
          <w:rFonts w:ascii="Arial" w:cs="Arial" w:eastAsia="Arial" w:hAnsi="Arial"/>
          <w:sz w:val="22"/>
          <w:szCs w:val="22"/>
          <w:color w:val="auto"/>
        </w:rPr>
      </w:pPr>
      <w:r>
        <w:rPr>
          <w:rFonts w:ascii="Arial" w:cs="Arial" w:eastAsia="Arial" w:hAnsi="Arial"/>
          <w:sz w:val="22"/>
          <w:szCs w:val="22"/>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w:t>
      </w:r>
    </w:p>
    <w:p>
      <w:pPr>
        <w:sectPr>
          <w:pgSz w:w="11900" w:h="16838" w:orient="portrait"/>
          <w:cols w:equalWidth="0" w:num="1">
            <w:col w:w="11232"/>
          </w:cols>
          <w:pgMar w:left="328" w:top="901" w:right="339" w:bottom="1440" w:gutter="0" w:footer="0" w:header="0"/>
        </w:sectPr>
      </w:pPr>
    </w:p>
    <w:bookmarkStart w:id="149" w:name="page150"/>
    <w:bookmarkEnd w:id="149"/>
    <w:p>
      <w:pPr>
        <w:jc w:val="both"/>
        <w:spacing w:after="0" w:line="271" w:lineRule="auto"/>
        <w:rPr>
          <w:sz w:val="20"/>
          <w:szCs w:val="20"/>
          <w:color w:val="auto"/>
        </w:rPr>
      </w:pPr>
      <w:r>
        <w:rPr>
          <w:rFonts w:ascii="Arial" w:cs="Arial" w:eastAsia="Arial" w:hAnsi="Arial"/>
          <w:sz w:val="21"/>
          <w:szCs w:val="21"/>
          <w:color w:val="auto"/>
        </w:rPr>
        <w:t>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94" w:lineRule="exact"/>
        <w:rPr>
          <w:sz w:val="20"/>
          <w:szCs w:val="20"/>
          <w:color w:val="auto"/>
        </w:rPr>
      </w:pPr>
    </w:p>
    <w:p>
      <w:pPr>
        <w:ind w:firstLine="8"/>
        <w:spacing w:after="0" w:line="263" w:lineRule="auto"/>
        <w:tabs>
          <w:tab w:leader="none" w:pos="310" w:val="left"/>
        </w:tabs>
        <w:numPr>
          <w:ilvl w:val="0"/>
          <w:numId w:val="81"/>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202" w:lineRule="exact"/>
        <w:rPr>
          <w:sz w:val="20"/>
          <w:szCs w:val="20"/>
          <w:color w:val="auto"/>
        </w:rPr>
      </w:pPr>
    </w:p>
    <w:p>
      <w:pPr>
        <w:jc w:val="both"/>
        <w:ind w:firstLine="8"/>
        <w:spacing w:after="0" w:line="265" w:lineRule="auto"/>
        <w:tabs>
          <w:tab w:leader="none" w:pos="307"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Return of Documents</w:t>
      </w:r>
      <w:r>
        <w:rPr>
          <w:rFonts w:ascii="Arial" w:cs="Arial" w:eastAsia="Arial" w:hAnsi="Arial"/>
          <w:sz w:val="21"/>
          <w:szCs w:val="21"/>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02" w:lineRule="exact"/>
        <w:rPr>
          <w:rFonts w:ascii="Arial" w:cs="Arial" w:eastAsia="Arial" w:hAnsi="Arial"/>
          <w:sz w:val="21"/>
          <w:szCs w:val="21"/>
          <w:color w:val="auto"/>
        </w:rPr>
      </w:pPr>
    </w:p>
    <w:p>
      <w:pPr>
        <w:jc w:val="both"/>
        <w:ind w:firstLine="8"/>
        <w:spacing w:after="0" w:line="246" w:lineRule="auto"/>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23" w:lineRule="exact"/>
        <w:rPr>
          <w:rFonts w:ascii="Arial" w:cs="Arial" w:eastAsia="Arial" w:hAnsi="Arial"/>
          <w:sz w:val="22"/>
          <w:szCs w:val="22"/>
          <w:color w:val="auto"/>
        </w:rPr>
      </w:pPr>
    </w:p>
    <w:p>
      <w:pPr>
        <w:jc w:val="both"/>
        <w:ind w:firstLine="8"/>
        <w:spacing w:after="0" w:line="290" w:lineRule="auto"/>
        <w:tabs>
          <w:tab w:leader="none" w:pos="31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Best Efforts and Conflicts of Interest</w:t>
      </w:r>
      <w:r>
        <w:rPr>
          <w:rFonts w:ascii="Arial" w:cs="Arial" w:eastAsia="Arial" w:hAnsi="Arial"/>
          <w:sz w:val="19"/>
          <w:szCs w:val="19"/>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82" w:lineRule="exact"/>
        <w:rPr>
          <w:rFonts w:ascii="Arial" w:cs="Arial" w:eastAsia="Arial" w:hAnsi="Arial"/>
          <w:sz w:val="19"/>
          <w:szCs w:val="19"/>
          <w:color w:val="auto"/>
        </w:rPr>
      </w:pPr>
    </w:p>
    <w:p>
      <w:pPr>
        <w:jc w:val="both"/>
        <w:ind w:firstLine="8"/>
        <w:spacing w:after="0" w:line="288" w:lineRule="auto"/>
        <w:tabs>
          <w:tab w:leader="none" w:pos="33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ind w:right="20" w:firstLine="8"/>
        <w:spacing w:after="0" w:line="269" w:lineRule="auto"/>
        <w:tabs>
          <w:tab w:leader="none" w:pos="315"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96" w:lineRule="exact"/>
        <w:rPr>
          <w:rFonts w:ascii="Arial" w:cs="Arial" w:eastAsia="Arial" w:hAnsi="Arial"/>
          <w:sz w:val="21"/>
          <w:szCs w:val="21"/>
          <w:color w:val="auto"/>
        </w:rPr>
      </w:pPr>
    </w:p>
    <w:p>
      <w:pPr>
        <w:ind w:firstLine="8"/>
        <w:spacing w:after="0" w:line="287" w:lineRule="auto"/>
        <w:tabs>
          <w:tab w:leader="none" w:pos="328"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ectPr>
          <w:pgSz w:w="11900" w:h="16838" w:orient="portrait"/>
          <w:cols w:equalWidth="0" w:num="1">
            <w:col w:w="11240"/>
          </w:cols>
          <w:pgMar w:left="320" w:top="901" w:right="339" w:bottom="1440" w:gutter="0" w:footer="0" w:header="0"/>
        </w:sectPr>
      </w:pPr>
    </w:p>
    <w:bookmarkStart w:id="150" w:name="page151"/>
    <w:bookmarkEnd w:id="150"/>
    <w:p>
      <w:pPr>
        <w:jc w:val="both"/>
        <w:ind w:firstLine="8"/>
        <w:spacing w:after="0" w:line="253" w:lineRule="auto"/>
        <w:tabs>
          <w:tab w:leader="none" w:pos="31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2" w:lineRule="exact"/>
        <w:rPr>
          <w:rFonts w:ascii="Arial" w:cs="Arial" w:eastAsia="Arial" w:hAnsi="Arial"/>
          <w:sz w:val="22"/>
          <w:szCs w:val="22"/>
          <w:color w:val="auto"/>
        </w:rPr>
      </w:pPr>
    </w:p>
    <w:p>
      <w:pPr>
        <w:jc w:val="both"/>
        <w:ind w:firstLine="8"/>
        <w:spacing w:after="0" w:line="253" w:lineRule="auto"/>
        <w:tabs>
          <w:tab w:leader="none" w:pos="35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2" w:lineRule="exact"/>
        <w:rPr>
          <w:rFonts w:ascii="Arial" w:cs="Arial" w:eastAsia="Arial" w:hAnsi="Arial"/>
          <w:sz w:val="22"/>
          <w:szCs w:val="22"/>
          <w:color w:val="auto"/>
        </w:rPr>
      </w:pPr>
    </w:p>
    <w:p>
      <w:pPr>
        <w:jc w:val="both"/>
        <w:ind w:firstLine="8"/>
        <w:spacing w:after="0" w:line="253" w:lineRule="auto"/>
        <w:tabs>
          <w:tab w:leader="none" w:pos="31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2" w:lineRule="exact"/>
        <w:rPr>
          <w:rFonts w:ascii="Arial" w:cs="Arial" w:eastAsia="Arial" w:hAnsi="Arial"/>
          <w:sz w:val="22"/>
          <w:szCs w:val="22"/>
          <w:color w:val="auto"/>
        </w:rPr>
      </w:pPr>
    </w:p>
    <w:p>
      <w:pPr>
        <w:ind w:right="820" w:firstLine="8"/>
        <w:spacing w:after="0" w:line="263" w:lineRule="auto"/>
        <w:tabs>
          <w:tab w:leader="none" w:pos="31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Sincerely yours,</w:t>
      </w:r>
    </w:p>
    <w:p>
      <w:pPr>
        <w:spacing w:after="0" w:line="21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CUMBERLAND PHARMACEUTICALS INC.</w:t>
      </w:r>
    </w:p>
    <w:p>
      <w:pPr>
        <w:spacing w:after="0" w:line="3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15875</wp:posOffset>
            </wp:positionV>
            <wp:extent cx="3865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A.J. Kazimi</w:t>
      </w:r>
    </w:p>
    <w:p>
      <w:pPr>
        <w:spacing w:after="0" w:line="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16th of March, 2020:</w:t>
      </w:r>
    </w:p>
    <w:p>
      <w:pPr>
        <w:spacing w:after="0" w:line="3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James L.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0201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3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James L. Herman</w:t>
      </w:r>
    </w:p>
    <w:p>
      <w:pPr>
        <w:sectPr>
          <w:pgSz w:w="11900" w:h="16838" w:orient="portrait"/>
          <w:cols w:equalWidth="0" w:num="1">
            <w:col w:w="11240"/>
          </w:cols>
          <w:pgMar w:left="320" w:top="90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333-221402) and Form S-8 (No. 333-164376) of Cumberland Pharmaceuticals Inc. of our report dated March 20, 2020, relating to the consolidated financial statements and financial statement schedule which appears in this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ectPr>
          <w:pgSz w:w="11900" w:h="16838" w:orient="portrait"/>
          <w:cols w:equalWidth="0" w:num="1">
            <w:col w:w="11240"/>
          </w:cols>
          <w:pgMar w:left="320" w:top="61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279" w:lineRule="exact"/>
        <w:rPr>
          <w:sz w:val="20"/>
          <w:szCs w:val="20"/>
          <w:color w:val="auto"/>
        </w:rPr>
      </w:pPr>
    </w:p>
    <w:p>
      <w:pPr>
        <w:ind w:left="700" w:hanging="67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Form 10-K of Cumberland Pharmaceuticals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700" w:right="80" w:hanging="674"/>
        <w:spacing w:after="0" w:line="263"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2" w:lineRule="exact"/>
        <w:rPr>
          <w:rFonts w:ascii="Arial" w:cs="Arial" w:eastAsia="Arial" w:hAnsi="Arial"/>
          <w:sz w:val="18"/>
          <w:szCs w:val="18"/>
          <w:color w:val="auto"/>
        </w:rPr>
      </w:pPr>
    </w:p>
    <w:p>
      <w:pPr>
        <w:ind w:left="700" w:right="300" w:hanging="674"/>
        <w:spacing w:after="0" w:line="308" w:lineRule="auto"/>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5" w:lineRule="exact"/>
        <w:rPr>
          <w:rFonts w:ascii="Arial" w:cs="Arial" w:eastAsia="Arial" w:hAnsi="Arial"/>
          <w:sz w:val="17"/>
          <w:szCs w:val="17"/>
          <w:color w:val="auto"/>
        </w:rPr>
      </w:pPr>
    </w:p>
    <w:p>
      <w:pPr>
        <w:ind w:left="700" w:right="60" w:hanging="674"/>
        <w:spacing w:after="0" w:line="263"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8" w:lineRule="exact"/>
        <w:rPr>
          <w:rFonts w:ascii="Arial" w:cs="Arial" w:eastAsia="Arial" w:hAnsi="Arial"/>
          <w:sz w:val="18"/>
          <w:szCs w:val="18"/>
          <w:color w:val="auto"/>
        </w:rPr>
      </w:pPr>
    </w:p>
    <w:p>
      <w:pPr>
        <w:jc w:val="both"/>
        <w:ind w:left="560" w:hanging="328"/>
        <w:spacing w:after="0" w:line="255" w:lineRule="auto"/>
        <w:tabs>
          <w:tab w:leader="none" w:pos="55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560" w:hanging="328"/>
        <w:spacing w:after="0" w:line="250" w:lineRule="auto"/>
        <w:tabs>
          <w:tab w:leader="none" w:pos="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60" w:right="20" w:hanging="328"/>
        <w:spacing w:after="0" w:line="265" w:lineRule="auto"/>
        <w:tabs>
          <w:tab w:leader="none" w:pos="55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560" w:hanging="328"/>
        <w:spacing w:after="0" w:line="255" w:lineRule="auto"/>
        <w:tabs>
          <w:tab w:leader="none" w:pos="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8"/>
          <w:szCs w:val="18"/>
          <w:color w:val="auto"/>
        </w:rPr>
      </w:pPr>
    </w:p>
    <w:p>
      <w:pPr>
        <w:ind w:left="700" w:right="220" w:hanging="674"/>
        <w:spacing w:after="0" w:line="342" w:lineRule="auto"/>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8" w:lineRule="exact"/>
        <w:rPr>
          <w:rFonts w:ascii="Arial" w:cs="Arial" w:eastAsia="Arial" w:hAnsi="Arial"/>
          <w:sz w:val="16"/>
          <w:szCs w:val="16"/>
          <w:color w:val="auto"/>
        </w:rPr>
      </w:pPr>
    </w:p>
    <w:p>
      <w:pPr>
        <w:ind w:left="560" w:hanging="328"/>
        <w:spacing w:after="0" w:line="258" w:lineRule="auto"/>
        <w:tabs>
          <w:tab w:leader="none" w:pos="55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60" w:right="20" w:hanging="328"/>
        <w:spacing w:after="0" w:line="260" w:lineRule="auto"/>
        <w:tabs>
          <w:tab w:leader="none" w:pos="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580"/>
        <w:spacing w:after="0"/>
        <w:tabs>
          <w:tab w:leader="none" w:pos="6040" w:val="left"/>
          <w:tab w:leader="none" w:pos="6780" w:val="left"/>
        </w:tabs>
        <w:rPr>
          <w:sz w:val="20"/>
          <w:szCs w:val="20"/>
          <w:color w:val="auto"/>
        </w:rPr>
      </w:pPr>
      <w:r>
        <w:rPr>
          <w:rFonts w:ascii="Arial" w:cs="Arial" w:eastAsia="Arial" w:hAnsi="Arial"/>
          <w:sz w:val="18"/>
          <w:szCs w:val="18"/>
          <w:color w:val="auto"/>
        </w:rPr>
        <w:t>March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785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A.J. Kazimi</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Michael P. Bonner, certify that:</w:t>
      </w:r>
    </w:p>
    <w:p>
      <w:pPr>
        <w:spacing w:after="0" w:line="279" w:lineRule="exact"/>
        <w:rPr>
          <w:sz w:val="20"/>
          <w:szCs w:val="20"/>
          <w:color w:val="auto"/>
        </w:rPr>
      </w:pPr>
    </w:p>
    <w:p>
      <w:pPr>
        <w:ind w:left="700" w:hanging="674"/>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Form 10-K of Cumberland Pharmaceuticals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700" w:right="80" w:hanging="674"/>
        <w:spacing w:after="0" w:line="263"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2" w:lineRule="exact"/>
        <w:rPr>
          <w:rFonts w:ascii="Arial" w:cs="Arial" w:eastAsia="Arial" w:hAnsi="Arial"/>
          <w:sz w:val="18"/>
          <w:szCs w:val="18"/>
          <w:color w:val="auto"/>
        </w:rPr>
      </w:pPr>
    </w:p>
    <w:p>
      <w:pPr>
        <w:ind w:left="700" w:right="300" w:hanging="674"/>
        <w:spacing w:after="0" w:line="308" w:lineRule="auto"/>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5" w:lineRule="exact"/>
        <w:rPr>
          <w:rFonts w:ascii="Arial" w:cs="Arial" w:eastAsia="Arial" w:hAnsi="Arial"/>
          <w:sz w:val="17"/>
          <w:szCs w:val="17"/>
          <w:color w:val="auto"/>
        </w:rPr>
      </w:pPr>
    </w:p>
    <w:p>
      <w:pPr>
        <w:ind w:left="700" w:right="60" w:hanging="674"/>
        <w:spacing w:after="0" w:line="263"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8" w:lineRule="exact"/>
        <w:rPr>
          <w:rFonts w:ascii="Arial" w:cs="Arial" w:eastAsia="Arial" w:hAnsi="Arial"/>
          <w:sz w:val="18"/>
          <w:szCs w:val="18"/>
          <w:color w:val="auto"/>
        </w:rPr>
      </w:pPr>
    </w:p>
    <w:p>
      <w:pPr>
        <w:jc w:val="both"/>
        <w:ind w:left="560" w:hanging="328"/>
        <w:spacing w:after="0" w:line="255" w:lineRule="auto"/>
        <w:tabs>
          <w:tab w:leader="none" w:pos="5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560" w:hanging="328"/>
        <w:spacing w:after="0" w:line="250" w:lineRule="auto"/>
        <w:tabs>
          <w:tab w:leader="none" w:pos="5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60" w:right="20" w:hanging="328"/>
        <w:spacing w:after="0" w:line="265" w:lineRule="auto"/>
        <w:tabs>
          <w:tab w:leader="none" w:pos="55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560" w:hanging="328"/>
        <w:spacing w:after="0" w:line="255" w:lineRule="auto"/>
        <w:tabs>
          <w:tab w:leader="none" w:pos="5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8"/>
          <w:szCs w:val="18"/>
          <w:color w:val="auto"/>
        </w:rPr>
      </w:pPr>
    </w:p>
    <w:p>
      <w:pPr>
        <w:ind w:left="700" w:right="220" w:hanging="674"/>
        <w:spacing w:after="0" w:line="342"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8" w:lineRule="exact"/>
        <w:rPr>
          <w:rFonts w:ascii="Arial" w:cs="Arial" w:eastAsia="Arial" w:hAnsi="Arial"/>
          <w:sz w:val="16"/>
          <w:szCs w:val="16"/>
          <w:color w:val="auto"/>
        </w:rPr>
      </w:pPr>
    </w:p>
    <w:p>
      <w:pPr>
        <w:ind w:left="560" w:hanging="328"/>
        <w:spacing w:after="0" w:line="258" w:lineRule="auto"/>
        <w:tabs>
          <w:tab w:leader="none" w:pos="5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60" w:right="20" w:hanging="328"/>
        <w:spacing w:after="0" w:line="260" w:lineRule="auto"/>
        <w:tabs>
          <w:tab w:leader="none" w:pos="5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580"/>
        <w:spacing w:after="0"/>
        <w:tabs>
          <w:tab w:leader="none" w:pos="6020" w:val="left"/>
          <w:tab w:leader="none" w:pos="6760" w:val="left"/>
        </w:tabs>
        <w:rPr>
          <w:sz w:val="20"/>
          <w:szCs w:val="20"/>
          <w:color w:val="auto"/>
        </w:rPr>
      </w:pPr>
      <w:r>
        <w:rPr>
          <w:rFonts w:ascii="Arial" w:cs="Arial" w:eastAsia="Arial" w:hAnsi="Arial"/>
          <w:sz w:val="18"/>
          <w:szCs w:val="18"/>
          <w:color w:val="auto"/>
        </w:rPr>
        <w:t>March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31750</wp:posOffset>
            </wp:positionV>
            <wp:extent cx="27863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Michael P. Bonner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Director and Chief Financial Officer</w:t>
      </w:r>
    </w:p>
    <w:p>
      <w:pPr>
        <w:sectPr>
          <w:pgSz w:w="11900" w:h="16838" w:orient="portrait"/>
          <w:cols w:equalWidth="0" w:num="1">
            <w:col w:w="11240"/>
          </w:cols>
          <w:pgMar w:left="320" w:top="1039"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Cumberland Pharmaceuticals Inc. (the “Company”) on Form 10-K for the fiscal year ended December 31, 2019, as filed with the Securities and Exchange Commission on the date hereof (the “Report”), I, A.J. Kazimi, Chief Executive Officer, and Michael P. Bonner, Senior Director and Chief Financial Officer, of the Company, certify, pursuant to Section 906 of the Sarbanes-Oxley Act of 2002 (18 U.S.C. section 1350), that, based on my knowledge:</w:t>
      </w:r>
    </w:p>
    <w:p>
      <w:pPr>
        <w:spacing w:after="0" w:line="119"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85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A.J. Kazimi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Michael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85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P. Bonner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Director and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0"/>
    </w:lvl>
  </w:abstractNum>
  <w:abstractNum w:abstractNumId="33">
    <w:nsid w:val="741226BB"/>
    <w:multiLevelType w:val="hybridMultilevel"/>
    <w:lvl w:ilvl="0">
      <w:lvlJc w:val="left"/>
      <w:lvlText w:val="(%1)"/>
      <w:numFmt w:val="decimal"/>
      <w:start w:val="2"/>
    </w:lvl>
  </w:abstractNum>
  <w:abstractNum w:abstractNumId="34">
    <w:nsid w:val="D34B6A8"/>
    <w:multiLevelType w:val="hybridMultilevel"/>
    <w:lvl w:ilvl="0">
      <w:lvlJc w:val="left"/>
      <w:lvlText w:val="(%1)"/>
      <w:numFmt w:val="decimal"/>
      <w:start w:val="10"/>
    </w:lvl>
    <w:lvl w:ilvl="1">
      <w:lvlJc w:val="left"/>
      <w:lvlText w:val="(%2)"/>
      <w:numFmt w:val="lowerLetter"/>
      <w:start w:val="1"/>
    </w:lvl>
  </w:abstractNum>
  <w:abstractNum w:abstractNumId="35">
    <w:nsid w:val="10233C99"/>
    <w:multiLevelType w:val="hybridMultilevel"/>
    <w:lvl w:ilvl="0">
      <w:lvlJc w:val="left"/>
      <w:lvlText w:val="(%1)"/>
      <w:numFmt w:val="lowerLetter"/>
      <w:start w:val="8"/>
    </w:lvl>
  </w:abstractNum>
  <w:abstractNum w:abstractNumId="36">
    <w:nsid w:val="3F6AB60F"/>
    <w:multiLevelType w:val="hybridMultilevel"/>
    <w:lvl w:ilvl="0">
      <w:lvlJc w:val="left"/>
      <w:lvlText w:val="(%1)"/>
      <w:numFmt w:val="decimal"/>
      <w:start w:val="2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1)"/>
      <w:numFmt w:val="lowerLetter"/>
      <w:start w:val="4"/>
    </w:lvl>
  </w:abstractNum>
  <w:abstractNum w:abstractNumId="41">
    <w:nsid w:val="310C50B3"/>
    <w:multiLevelType w:val="hybridMultilevel"/>
    <w:lvl w:ilvl="0">
      <w:lvlJc w:val="left"/>
      <w:lvlText w:val="%1."/>
      <w:numFmt w:val="decimal"/>
      <w:start w:val="2"/>
    </w:lvl>
  </w:abstractNum>
  <w:abstractNum w:abstractNumId="42">
    <w:nsid w:val="5FF87E05"/>
    <w:multiLevelType w:val="hybridMultilevel"/>
    <w:lvl w:ilvl="0">
      <w:lvlJc w:val="left"/>
      <w:lvlText w:val="%1."/>
      <w:numFmt w:val="decimal"/>
      <w:start w:val="6"/>
    </w:lvl>
  </w:abstractNum>
  <w:abstractNum w:abstractNumId="43">
    <w:nsid w:val="2F305DEF"/>
    <w:multiLevelType w:val="hybridMultilevel"/>
    <w:lvl w:ilvl="0">
      <w:lvlJc w:val="left"/>
      <w:lvlText w:val="%1."/>
      <w:numFmt w:val="decimal"/>
      <w:start w:val="9"/>
    </w:lvl>
  </w:abstractNum>
  <w:abstractNum w:abstractNumId="44">
    <w:nsid w:val="25A70BF7"/>
    <w:multiLevelType w:val="hybridMultilevel"/>
    <w:lvl w:ilvl="0">
      <w:lvlJc w:val="left"/>
      <w:lvlText w:val="(%1)"/>
      <w:numFmt w:val="lowerLetter"/>
      <w:start w:val="1"/>
    </w:lvl>
  </w:abstractNum>
  <w:abstractNum w:abstractNumId="45">
    <w:nsid w:val="1DBABF00"/>
    <w:multiLevelType w:val="hybridMultilevel"/>
    <w:lvl w:ilvl="0">
      <w:lvlJc w:val="left"/>
      <w:lvlText w:val="%1."/>
      <w:numFmt w:val="decimal"/>
      <w:start w:val="11"/>
    </w:lvl>
  </w:abstractNum>
  <w:abstractNum w:abstractNumId="46">
    <w:nsid w:val="4AD084E9"/>
    <w:multiLevelType w:val="hybridMultilevel"/>
    <w:lvl w:ilvl="0">
      <w:lvlJc w:val="left"/>
      <w:lvlText w:val="%1."/>
      <w:numFmt w:val="decimal"/>
      <w:start w:val="14"/>
    </w:lvl>
  </w:abstractNum>
  <w:abstractNum w:abstractNumId="47">
    <w:nsid w:val="1F48EAA1"/>
    <w:multiLevelType w:val="hybridMultilevel"/>
    <w:lvl w:ilvl="0">
      <w:lvlJc w:val="left"/>
      <w:lvlText w:val="%1."/>
      <w:numFmt w:val="decimal"/>
      <w:start w:val="18"/>
    </w:lvl>
    <w:lvl w:ilvl="1">
      <w:lvlJc w:val="left"/>
      <w:lvlText w:val="#"/>
      <w:numFmt w:val="bullet"/>
      <w:start w:val="1"/>
    </w:lvl>
  </w:abstractNum>
  <w:abstractNum w:abstractNumId="48">
    <w:nsid w:val="1381823A"/>
    <w:multiLevelType w:val="hybridMultilevel"/>
    <w:lvl w:ilvl="0">
      <w:lvlJc w:val="left"/>
      <w:lvlText w:val="(%1)"/>
      <w:numFmt w:val="lowerLetter"/>
      <w:start w:val="1"/>
    </w:lvl>
  </w:abstractNum>
  <w:abstractNum w:abstractNumId="49">
    <w:nsid w:val="5DB70AE5"/>
    <w:multiLevelType w:val="hybridMultilevel"/>
    <w:lvl w:ilvl="0">
      <w:lvlJc w:val="left"/>
      <w:lvlText w:val="(%1)"/>
      <w:numFmt w:val="lowerLetter"/>
      <w:start w:val="4"/>
    </w:lvl>
    <w:lvl w:ilvl="1">
      <w:lvlJc w:val="left"/>
      <w:lvlText w:val="%2."/>
      <w:numFmt w:val="decimal"/>
      <w:start w:val="1"/>
    </w:lvl>
  </w:abstractNum>
  <w:abstractNum w:abstractNumId="50">
    <w:nsid w:val="100F8FCA"/>
    <w:multiLevelType w:val="hybridMultilevel"/>
    <w:lvl w:ilvl="0">
      <w:lvlJc w:val="left"/>
      <w:lvlText w:val="%1."/>
      <w:numFmt w:val="decimal"/>
      <w:start w:val="3"/>
    </w:lvl>
  </w:abstractNum>
  <w:abstractNum w:abstractNumId="51">
    <w:nsid w:val="6590700B"/>
    <w:multiLevelType w:val="hybridMultilevel"/>
    <w:lvl w:ilvl="0">
      <w:lvlJc w:val="left"/>
      <w:lvlText w:val="%1."/>
      <w:numFmt w:val="decimal"/>
      <w:start w:val="6"/>
    </w:lvl>
  </w:abstractNum>
  <w:abstractNum w:abstractNumId="52">
    <w:nsid w:val="15014ACB"/>
    <w:multiLevelType w:val="hybridMultilevel"/>
    <w:lvl w:ilvl="0">
      <w:lvlJc w:val="left"/>
      <w:lvlText w:val="%1."/>
      <w:numFmt w:val="decimal"/>
      <w:start w:val="9"/>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decimal"/>
      <w:start w:val="11"/>
    </w:lvl>
  </w:abstractNum>
  <w:abstractNum w:abstractNumId="55">
    <w:nsid w:val="799D0247"/>
    <w:multiLevelType w:val="hybridMultilevel"/>
    <w:lvl w:ilvl="0">
      <w:lvlJc w:val="left"/>
      <w:lvlText w:val="%1."/>
      <w:numFmt w:val="decimal"/>
      <w:start w:val="14"/>
    </w:lvl>
  </w:abstractNum>
  <w:abstractNum w:abstractNumId="56">
    <w:nsid w:val="6B94764"/>
    <w:multiLevelType w:val="hybridMultilevel"/>
    <w:lvl w:ilvl="0">
      <w:lvlJc w:val="left"/>
      <w:lvlText w:val="%1."/>
      <w:numFmt w:val="decimal"/>
      <w:start w:val="18"/>
    </w:lvl>
    <w:lvl w:ilvl="1">
      <w:lvlJc w:val="left"/>
      <w:lvlText w:val="#"/>
      <w:numFmt w:val="bullet"/>
      <w:start w:val="1"/>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1)"/>
      <w:numFmt w:val="lowerLetter"/>
      <w:start w:val="4"/>
    </w:lvl>
  </w:abstractNum>
  <w:abstractNum w:abstractNumId="59">
    <w:nsid w:val="1EBA5D23"/>
    <w:multiLevelType w:val="hybridMultilevel"/>
    <w:lvl w:ilvl="0">
      <w:lvlJc w:val="left"/>
      <w:lvlText w:val="%1."/>
      <w:numFmt w:val="decimal"/>
      <w:start w:val="2"/>
    </w:lvl>
  </w:abstractNum>
  <w:abstractNum w:abstractNumId="60">
    <w:nsid w:val="661E3F1E"/>
    <w:multiLevelType w:val="hybridMultilevel"/>
    <w:lvl w:ilvl="0">
      <w:lvlJc w:val="left"/>
      <w:lvlText w:val="%1."/>
      <w:numFmt w:val="decimal"/>
      <w:start w:val="6"/>
    </w:lvl>
  </w:abstractNum>
  <w:abstractNum w:abstractNumId="61">
    <w:nsid w:val="5DC79EA8"/>
    <w:multiLevelType w:val="hybridMultilevel"/>
    <w:lvl w:ilvl="0">
      <w:lvlJc w:val="left"/>
      <w:lvlText w:val="%1."/>
      <w:numFmt w:val="decimal"/>
      <w:start w:val="9"/>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decimal"/>
      <w:start w:val="11"/>
    </w:lvl>
  </w:abstractNum>
  <w:abstractNum w:abstractNumId="64">
    <w:nsid w:val="51D9C564"/>
    <w:multiLevelType w:val="hybridMultilevel"/>
    <w:lvl w:ilvl="0">
      <w:lvlJc w:val="left"/>
      <w:lvlText w:val="%1."/>
      <w:numFmt w:val="decimal"/>
      <w:start w:val="14"/>
    </w:lvl>
  </w:abstractNum>
  <w:abstractNum w:abstractNumId="65">
    <w:nsid w:val="613EFDC5"/>
    <w:multiLevelType w:val="hybridMultilevel"/>
    <w:lvl w:ilvl="0">
      <w:lvlJc w:val="left"/>
      <w:lvlText w:val="%1."/>
      <w:numFmt w:val="decimal"/>
      <w:start w:val="18"/>
    </w:lvl>
    <w:lvl w:ilvl="1">
      <w:lvlJc w:val="left"/>
      <w:lvlText w:val="#"/>
      <w:numFmt w:val="bullet"/>
      <w:start w:val="1"/>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4"/>
    </w:lvl>
  </w:abstractNum>
  <w:abstractNum w:abstractNumId="68">
    <w:nsid w:val="42963E5A"/>
    <w:multiLevelType w:val="hybridMultilevel"/>
    <w:lvl w:ilvl="0">
      <w:lvlJc w:val="left"/>
      <w:lvlText w:val="%1."/>
      <w:numFmt w:val="decimal"/>
      <w:start w:val="2"/>
    </w:lvl>
  </w:abstractNum>
  <w:abstractNum w:abstractNumId="69">
    <w:nsid w:val="A0382C5"/>
    <w:multiLevelType w:val="hybridMultilevel"/>
    <w:lvl w:ilvl="0">
      <w:lvlJc w:val="left"/>
      <w:lvlText w:val="%1."/>
      <w:numFmt w:val="decimal"/>
      <w:start w:val="6"/>
    </w:lvl>
  </w:abstractNum>
  <w:abstractNum w:abstractNumId="70">
    <w:nsid w:val="8F2B15E"/>
    <w:multiLevelType w:val="hybridMultilevel"/>
    <w:lvl w:ilvl="0">
      <w:lvlJc w:val="left"/>
      <w:lvlText w:val="%1."/>
      <w:numFmt w:val="decimal"/>
      <w:start w:val="9"/>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decimal"/>
      <w:start w:val="11"/>
    </w:lvl>
  </w:abstractNum>
  <w:abstractNum w:abstractNumId="73">
    <w:nsid w:val="68EB2F63"/>
    <w:multiLevelType w:val="hybridMultilevel"/>
    <w:lvl w:ilvl="0">
      <w:lvlJc w:val="left"/>
      <w:lvlText w:val="%1."/>
      <w:numFmt w:val="decimal"/>
      <w:start w:val="14"/>
    </w:lvl>
  </w:abstractNum>
  <w:abstractNum w:abstractNumId="74">
    <w:nsid w:val="4962813B"/>
    <w:multiLevelType w:val="hybridMultilevel"/>
    <w:lvl w:ilvl="0">
      <w:lvlJc w:val="left"/>
      <w:lvlText w:val="%1."/>
      <w:numFmt w:val="decimal"/>
      <w:start w:val="18"/>
    </w:lvl>
    <w:lvl w:ilvl="1">
      <w:lvlJc w:val="left"/>
      <w:lvlText w:val="#"/>
      <w:numFmt w:val="bullet"/>
      <w:start w:val="1"/>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Letter"/>
      <w:start w:val="4"/>
    </w:lvl>
  </w:abstractNum>
  <w:abstractNum w:abstractNumId="77">
    <w:nsid w:val="14330624"/>
    <w:multiLevelType w:val="hybridMultilevel"/>
    <w:lvl w:ilvl="0">
      <w:lvlJc w:val="left"/>
      <w:lvlText w:val="%1."/>
      <w:numFmt w:val="decimal"/>
      <w:start w:val="2"/>
    </w:lvl>
  </w:abstractNum>
  <w:abstractNum w:abstractNumId="78">
    <w:nsid w:val="7FFFCA11"/>
    <w:multiLevelType w:val="hybridMultilevel"/>
    <w:lvl w:ilvl="0">
      <w:lvlJc w:val="left"/>
      <w:lvlText w:val="%1."/>
      <w:numFmt w:val="decimal"/>
      <w:start w:val="6"/>
    </w:lvl>
  </w:abstractNum>
  <w:abstractNum w:abstractNumId="79">
    <w:nsid w:val="1A27709E"/>
    <w:multiLevelType w:val="hybridMultilevel"/>
    <w:lvl w:ilvl="0">
      <w:lvlJc w:val="left"/>
      <w:lvlText w:val="(%1)"/>
      <w:numFmt w:val="lowerLetter"/>
      <w:start w:val="1"/>
    </w:lvl>
  </w:abstractNum>
  <w:abstractNum w:abstractNumId="80">
    <w:nsid w:val="71EA1109"/>
    <w:multiLevelType w:val="hybridMultilevel"/>
    <w:lvl w:ilvl="0">
      <w:lvlJc w:val="left"/>
      <w:lvlText w:val="(%1)"/>
      <w:numFmt w:val="lowerLetter"/>
      <w:start w:val="2"/>
    </w:lvl>
  </w:abstractNum>
  <w:abstractNum w:abstractNumId="81">
    <w:nsid w:val="100F59DC"/>
    <w:multiLevelType w:val="hybridMultilevel"/>
    <w:lvl w:ilvl="0">
      <w:lvlJc w:val="left"/>
      <w:lvlText w:val="%1."/>
      <w:numFmt w:val="decimal"/>
      <w:start w:val="11"/>
    </w:lvl>
  </w:abstractNum>
  <w:abstractNum w:abstractNumId="82">
    <w:nsid w:val="7FB7E0AA"/>
    <w:multiLevelType w:val="hybridMultilevel"/>
    <w:lvl w:ilvl="0">
      <w:lvlJc w:val="left"/>
      <w:lvlText w:val="%1."/>
      <w:numFmt w:val="decimal"/>
      <w:start w:val="18"/>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4" Type="http://schemas.openxmlformats.org/officeDocument/2006/relationships/image" Target="media/image80.png"/><Relationship Id="rId104" Type="http://schemas.openxmlformats.org/officeDocument/2006/relationships/image" Target="media/image81.png"/><Relationship Id="rId111"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87" Type="http://schemas.openxmlformats.org/officeDocument/2006/relationships/hyperlink" Target="http://www.sec.gov/Archives/edgar/data/1087294/000095012309023228/c0628619exv3w1.htm" TargetMode="External"/><Relationship Id="rId88" Type="http://schemas.openxmlformats.org/officeDocument/2006/relationships/hyperlink" Target="http://www.sec.gov/Archives/edgar/data/1087294/000095012309023228/c0628619exv3w2.htm" TargetMode="External"/><Relationship Id="rId89" Type="http://schemas.openxmlformats.org/officeDocument/2006/relationships/hyperlink" Target="http://www.sec.gov/Archives/edgar/data/1087294/000095014407007248/g06286a5exv4w1.htm" TargetMode="External"/><Relationship Id="rId90" Type="http://schemas.openxmlformats.org/officeDocument/2006/relationships/hyperlink" Target="http://www.sec.gov/Archives/edgar/data/1087294/000119312517372414/d489256dex42.htm" TargetMode="External"/><Relationship Id="rId91" Type="http://schemas.openxmlformats.org/officeDocument/2006/relationships/hyperlink" Target="http://www.sec.gov/Archives/edgar/data/1087294/000119312517335943/d489256dex42.htm" TargetMode="External"/><Relationship Id="rId92" Type="http://schemas.openxmlformats.org/officeDocument/2006/relationships/hyperlink" Target="http://www.sec.gov/Archives/edgar/data/1087294/000119312517335943/d489256dex43.htm" TargetMode="External"/><Relationship Id="rId93" Type="http://schemas.openxmlformats.org/officeDocument/2006/relationships/hyperlink" Target="http://www.sec.gov/Archives/edgar/data/1087294/000095014407004069/g06286exv4w5.htm" TargetMode="External"/><Relationship Id="rId95" Type="http://schemas.openxmlformats.org/officeDocument/2006/relationships/hyperlink" Target="http://www.sec.gov/Archives/edgar/data/1087294/000144530513000573/cpixexhibit461.htm" TargetMode="External"/><Relationship Id="rId96" Type="http://schemas.openxmlformats.org/officeDocument/2006/relationships/hyperlink" Target="http://www.sec.gov/Archives/edgar/data/1087294/000144530513000573/cpixexhibit462.htm" TargetMode="External"/><Relationship Id="rId97" Type="http://schemas.openxmlformats.org/officeDocument/2006/relationships/hyperlink" Target="http://www.sec.gov/Archives/edgar/data/1087294/000144530513000573/cpixexhibit47.htm" TargetMode="External"/><Relationship Id="rId98" Type="http://schemas.openxmlformats.org/officeDocument/2006/relationships/hyperlink" Target="http://www.sec.gov/Archives/edgar/data/1087294/000095012310026333/g22569exv4w8.htm" TargetMode="External"/><Relationship Id="rId99" Type="http://schemas.openxmlformats.org/officeDocument/2006/relationships/hyperlink" Target="http://www.sec.gov/Archives/edgar/data/1087294/000129993310003084/exhibit1.htm" TargetMode="External"/><Relationship Id="rId100" Type="http://schemas.openxmlformats.org/officeDocument/2006/relationships/hyperlink" Target="http://www.sec.gov/Archives/edgar/data/1087294/000108729413000004/exhibit1071amendmenttoexcl.htm" TargetMode="External"/><Relationship Id="rId101" Type="http://schemas.openxmlformats.org/officeDocument/2006/relationships/hyperlink" Target="http://www.sec.gov/Archives/edgar/data/1087294/000095014407006504/g06286a3exv10w10.htm" TargetMode="External"/><Relationship Id="rId102" Type="http://schemas.openxmlformats.org/officeDocument/2006/relationships/hyperlink" Target="http://www.sec.gov/Archives/edgar/data/1087294/000095014407004069/g06286exv10w17.htm" TargetMode="External"/><Relationship Id="rId103" Type="http://schemas.openxmlformats.org/officeDocument/2006/relationships/hyperlink" Target="http://www.sec.gov/Archives/edgar/data/1087294/000119312512107956/d293470ddef14a.htm" TargetMode="External"/><Relationship Id="rId105" Type="http://schemas.openxmlformats.org/officeDocument/2006/relationships/hyperlink" Target="http://www.sec.gov/Archives/edgar/data/1087294/000095014407004069/g06286exv10w20.htm" TargetMode="External"/><Relationship Id="rId106" Type="http://schemas.openxmlformats.org/officeDocument/2006/relationships/hyperlink" Target="http://www.sec.gov/Archives/edgar/data/1087294/000095014407006504/g06286a3exv10w21.htm" TargetMode="External"/><Relationship Id="rId107" Type="http://schemas.openxmlformats.org/officeDocument/2006/relationships/hyperlink" Target="http://www.sec.gov/Archives/edgar/data/1087294/000095014408004306/g06286b1exv10w21w1.htm" TargetMode="External"/><Relationship Id="rId108" Type="http://schemas.openxmlformats.org/officeDocument/2006/relationships/hyperlink" Target="http://www.sec.gov/Archives/edgar/data/1087294/000095012310050308/g23297exv10w21w2.htm" TargetMode="External"/><Relationship Id="rId109" Type="http://schemas.openxmlformats.org/officeDocument/2006/relationships/hyperlink" Target="http://www.sec.gov/Archives/edgar/data/1087294/000162828015008469/q3201510q.htm" TargetMode="External"/><Relationship Id="rId110" Type="http://schemas.openxmlformats.org/officeDocument/2006/relationships/hyperlink" Target="http://www.sec.gov/Archives/edgar/data/1087294/000095014407004069/g06286exv10w23.htm" TargetMode="External"/><Relationship Id="rId112" Type="http://schemas.openxmlformats.org/officeDocument/2006/relationships/hyperlink" Target="http://www.sec.gov/Archives/edgar/data/1087294/000095014407004069/g06286exv10w24.htm" TargetMode="External"/><Relationship Id="rId113" Type="http://schemas.openxmlformats.org/officeDocument/2006/relationships/hyperlink" Target="http://www.sec.gov/Archives/edgar/data/1087294/000095014408004306/g06286b1exv10w24w1.htm" TargetMode="External"/><Relationship Id="rId114" Type="http://schemas.openxmlformats.org/officeDocument/2006/relationships/hyperlink" Target="http://www.sec.gov/Archives/edgar/data/1087294/000119312512347942/d334181dex10241.htm" TargetMode="External"/><Relationship Id="rId115" Type="http://schemas.openxmlformats.org/officeDocument/2006/relationships/hyperlink" Target="http://www.sec.gov/Archives/edgar/data/1087294/000162828016012682/a2015-10kxexhibit1025gelli.htm" TargetMode="External"/><Relationship Id="rId116" Type="http://schemas.openxmlformats.org/officeDocument/2006/relationships/hyperlink" Target="http://www.sec.gov/Archives/edgar/data/1087294/000129993311003397/exhibit1.htm" TargetMode="External"/><Relationship Id="rId117" Type="http://schemas.openxmlformats.org/officeDocument/2006/relationships/hyperlink" Target="http://www.sec.gov/Archives/edgar/data/1087294/000119312512247355/d358671dex1030.htm" TargetMode="External"/><Relationship Id="rId118" Type="http://schemas.openxmlformats.org/officeDocument/2006/relationships/hyperlink" Target="http://www.sec.gov/Archives/edgar/data/1087294/000144530513000573/cpixexhibit1031-perrigoxpa.htm" TargetMode="External"/><Relationship Id="rId119" Type="http://schemas.openxmlformats.org/officeDocument/2006/relationships/hyperlink" Target="http://www.sec.gov/Archives/edgar/data/1087294/000144530513000573/cpixexhibit1032-perrigoxpa.htm" TargetMode="External"/><Relationship Id="rId120" Type="http://schemas.openxmlformats.org/officeDocument/2006/relationships/hyperlink" Target="http://www.sec.gov/Archives/edgar/data/1087294/000162828017011224/loanagreementexhibit1034.htm" TargetMode="External"/><Relationship Id="rId123" Type="http://schemas.openxmlformats.org/officeDocument/2006/relationships/hyperlink" Target="http://www.sec.gov/Archives/edgar/data/1087294/000095014407004069/g06286exv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2020-03-20T16:14:59Z</dcterms:created>
  <dcterms:modified xsi:type="dcterms:W3CDTF">2020-03-20T16:14:59Z</dcterms:modified>
</cp:coreProperties>
</file>