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May 5, 2026 (May 5, 2026)</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CUMBERLAND PHARMACEUTICALS INC.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6"/>
        <w:gridCol w:w="1573"/>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Tennessee</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001-33637</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62-1765329</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1600 West End Avenue, Suite 1300 Nashville, Tennessee 37203</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(615) 255-0068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798" w:type="dxa"/>
        <w:jc w:val="center"/>
        <w:tblInd w:w="0" w:type="dxa"/>
        <w:tblLayout w:type="fixed"/>
        <w:tblCellMar>
          <w:top w:w="28" w:type="dxa"/>
          <w:left w:w="28" w:type="dxa"/>
          <w:bottom w:w="28" w:type="dxa"/>
          <w:right w:w="28" w:type="dxa"/>
        </w:tblCellMar>
      </w:tblPr>
      <w:tblGrid>
        <w:gridCol w:w="896"/>
        <w:gridCol w:w="784"/>
        <w:gridCol w:w="794"/>
        <w:gridCol w:w="539"/>
        <w:gridCol w:w="539"/>
        <w:gridCol w:w="541"/>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CPIX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May 5, 2026, Cumberland Pharmaceuticals Inc. (the "Company") issued a press release which provided a company update and the financial results for the three months ended March 31, 2026. A copy of the press release is attached as </w:t>
      </w:r>
      <w:hyperlink w:anchor="a2026q1-ex991er.htm">
        <w:r>
          <w:rPr>
            <w:rStyle w:val="InternetLink"/>
            <w:rFonts w:ascii="Times New Roman;serif" w:hAnsi="Times New Roman;serif"/>
            <w:b w:val="false"/>
            <w:color w:val="0000FF"/>
            <w:sz w:val="20"/>
            <w:u w:val="single"/>
          </w:rPr>
          <w:t>Exhibit 99.1</w:t>
        </w:r>
      </w:hyperlink>
      <w:r>
        <w:rPr>
          <w:color w:val="000000"/>
        </w:rPr>
        <w:t xml:space="preserve"> </w:t>
      </w:r>
      <w:r>
        <w:rPr>
          <w:rFonts w:ascii="Times New Roman;serif" w:hAnsi="Times New Roman;serif"/>
          <w:b w:val="false"/>
          <w:color w:val="000000"/>
          <w:sz w:val="20"/>
        </w:rPr>
        <w:t>to this Current Report on Form 8-K and is incorporated by reference into this Item 2.02.</w:t>
      </w:r>
    </w:p>
    <w:p>
      <w:pPr>
        <w:pStyle w:val="TextBody"/>
        <w:bidi w:val="0"/>
        <w:spacing w:lineRule="auto" w:line="288" w:before="225" w:after="283"/>
        <w:jc w:val="both"/>
        <w:rPr>
          <w:rFonts w:ascii="Times New Roman;serif" w:hAnsi="Times New Roman;serif"/>
          <w:b w:val="false"/>
          <w:color w:val="000000"/>
          <w:sz w:val="20"/>
        </w:rPr>
      </w:pPr>
      <w:r>
        <w:rPr>
          <w:rFonts w:ascii="Times New Roman;serif" w:hAnsi="Times New Roman;serif"/>
          <w:b w:val="false"/>
          <w:color w:val="000000"/>
          <w:sz w:val="20"/>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pStyle w:val="TextBody"/>
        <w:bidi w:val="0"/>
        <w:spacing w:lineRule="auto" w:line="417" w:before="100" w:after="283"/>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417" w:before="100" w:after="283"/>
        <w:jc w:val="left"/>
        <w:rPr>
          <w:color w:val="000000"/>
        </w:rPr>
      </w:pPr>
      <w:r>
        <w:rPr>
          <w:color w:val="000000"/>
        </w:rPr>
        <w:t>    </w:t>
      </w:r>
      <w:r>
        <w:rPr>
          <w:rFonts w:ascii="Times New Roman;serif" w:hAnsi="Times New Roman;serif"/>
          <w:b w:val="false"/>
          <w:color w:val="000000"/>
          <w:sz w:val="20"/>
        </w:rPr>
        <w:t>(d) Exhibits</w:t>
      </w:r>
    </w:p>
    <w:tbl>
      <w:tblPr>
        <w:tblW w:w="3851" w:type="dxa"/>
        <w:jc w:val="center"/>
        <w:tblInd w:w="0" w:type="dxa"/>
        <w:tblLayout w:type="fixed"/>
        <w:tblCellMar>
          <w:top w:w="28" w:type="dxa"/>
          <w:left w:w="28" w:type="dxa"/>
          <w:bottom w:w="28" w:type="dxa"/>
          <w:right w:w="28" w:type="dxa"/>
        </w:tblCellMar>
      </w:tblPr>
      <w:tblGrid>
        <w:gridCol w:w="288"/>
        <w:gridCol w:w="252"/>
        <w:gridCol w:w="255"/>
        <w:gridCol w:w="109"/>
        <w:gridCol w:w="109"/>
        <w:gridCol w:w="109"/>
        <w:gridCol w:w="798"/>
        <w:gridCol w:w="798"/>
        <w:gridCol w:w="1133"/>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Description</w:t>
            </w:r>
          </w:p>
        </w:tc>
      </w:tr>
      <w:tr>
        <w:trPr/>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1-ex991er.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1-ex991er.htm">
              <w:r>
                <w:rPr>
                  <w:rStyle w:val="InternetLink"/>
                  <w:rFonts w:ascii="Times New Roman;serif" w:hAnsi="Times New Roman;serif"/>
                  <w:b w:val="false"/>
                  <w:color w:val="0000FF"/>
                  <w:sz w:val="20"/>
                  <w:u w:val="single"/>
                </w:rPr>
                <w:t>Press release dated May 5, 2026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5"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25"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637" w:type="dxa"/>
        <w:jc w:val="center"/>
        <w:tblInd w:w="0" w:type="dxa"/>
        <w:tblLayout w:type="fixed"/>
        <w:tblCellMar>
          <w:top w:w="28" w:type="dxa"/>
          <w:left w:w="28" w:type="dxa"/>
          <w:bottom w:w="28" w:type="dxa"/>
          <w:right w:w="28" w:type="dxa"/>
        </w:tblCellMar>
      </w:tblPr>
      <w:tblGrid>
        <w:gridCol w:w="629"/>
        <w:gridCol w:w="553"/>
        <w:gridCol w:w="558"/>
        <w:gridCol w:w="109"/>
        <w:gridCol w:w="109"/>
        <w:gridCol w:w="109"/>
        <w:gridCol w:w="109"/>
        <w:gridCol w:w="109"/>
        <w:gridCol w:w="109"/>
        <w:gridCol w:w="109"/>
        <w:gridCol w:w="109"/>
        <w:gridCol w:w="109"/>
        <w:gridCol w:w="303"/>
        <w:gridCol w:w="303"/>
        <w:gridCol w:w="303"/>
        <w:gridCol w:w="312"/>
        <w:gridCol w:w="312"/>
        <w:gridCol w:w="312"/>
        <w:gridCol w:w="312"/>
        <w:gridCol w:w="312"/>
        <w:gridCol w:w="447"/>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Cumberland Pharmaceuticals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May 5,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Hamm</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Hamm</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60" w:after="283"/>
        <w:jc w:val="center"/>
        <w:rPr/>
      </w:pPr>
      <w:r>
        <w:rPr/>
        <w:drawing>
          <wp:inline distT="0" distB="0" distL="0" distR="0">
            <wp:extent cx="3295650" cy="742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295650" cy="742950"/>
                    </a:xfrm>
                    <a:prstGeom prst="rect">
                      <a:avLst/>
                    </a:prstGeom>
                  </pic:spPr>
                </pic:pic>
              </a:graphicData>
            </a:graphic>
          </wp:inline>
        </w:drawing>
      </w:r>
    </w:p>
    <w:p>
      <w:pPr>
        <w:pStyle w:val="TextBody"/>
        <w:bidi w:val="0"/>
        <w:spacing w:lineRule="auto" w:line="288" w:before="160" w:after="283"/>
        <w:jc w:val="center"/>
        <w:rPr>
          <w:rFonts w:ascii="Times New Roman;serif" w:hAnsi="Times New Roman;serif"/>
          <w:b/>
          <w:color w:val="000000"/>
          <w:sz w:val="28"/>
        </w:rPr>
      </w:pPr>
      <w:r>
        <w:rPr>
          <w:rFonts w:ascii="Times New Roman;serif" w:hAnsi="Times New Roman;serif"/>
          <w:b/>
          <w:color w:val="000000"/>
          <w:sz w:val="28"/>
        </w:rPr>
        <w:t xml:space="preserve">CUMBERLAND PHARMACEUTICALS REPORTS </w:t>
      </w:r>
    </w:p>
    <w:p>
      <w:pPr>
        <w:pStyle w:val="TextBody"/>
        <w:bidi w:val="0"/>
        <w:spacing w:lineRule="auto" w:line="288" w:before="160" w:after="240"/>
        <w:jc w:val="center"/>
        <w:rPr>
          <w:rFonts w:ascii="Times New Roman;serif" w:hAnsi="Times New Roman;serif"/>
          <w:b/>
          <w:color w:val="000000"/>
          <w:sz w:val="28"/>
        </w:rPr>
      </w:pPr>
      <w:r>
        <w:rPr>
          <w:rFonts w:ascii="Times New Roman;serif" w:hAnsi="Times New Roman;serif"/>
          <w:b/>
          <w:color w:val="000000"/>
          <w:sz w:val="28"/>
        </w:rPr>
        <w:t>Q1 2026 FINANCIAL RESULTS &amp; COMPANY UPDATE</w:t>
      </w:r>
    </w:p>
    <w:p>
      <w:pPr>
        <w:pStyle w:val="TextBody"/>
        <w:bidi w:val="0"/>
        <w:spacing w:lineRule="auto" w:line="288" w:before="160" w:after="60"/>
        <w:jc w:val="center"/>
        <w:rPr>
          <w:rFonts w:ascii="Times New Roman;serif" w:hAnsi="Times New Roman;serif"/>
          <w:b w:val="false"/>
          <w:i/>
          <w:color w:val="000000"/>
          <w:sz w:val="26"/>
        </w:rPr>
      </w:pPr>
      <w:r>
        <w:rPr>
          <w:rFonts w:ascii="Times New Roman;serif" w:hAnsi="Times New Roman;serif"/>
          <w:b w:val="false"/>
          <w:i/>
          <w:color w:val="000000"/>
          <w:sz w:val="26"/>
        </w:rPr>
        <w:t>Enters into Strategic Transaction, unlocking $100 million in value</w:t>
      </w:r>
    </w:p>
    <w:p>
      <w:pPr>
        <w:pStyle w:val="TextBody"/>
        <w:bidi w:val="0"/>
        <w:spacing w:lineRule="auto" w:line="288" w:before="160" w:after="360"/>
        <w:jc w:val="center"/>
        <w:rPr>
          <w:rFonts w:ascii="Times New Roman;serif" w:hAnsi="Times New Roman;serif"/>
          <w:b w:val="false"/>
          <w:i/>
          <w:color w:val="000000"/>
          <w:sz w:val="26"/>
        </w:rPr>
      </w:pPr>
      <w:r>
        <w:rPr>
          <w:rFonts w:ascii="Times New Roman;serif" w:hAnsi="Times New Roman;serif"/>
          <w:b w:val="false"/>
          <w:i/>
          <w:color w:val="000000"/>
          <w:sz w:val="26"/>
        </w:rPr>
        <w:t>Sharpens focus on Orphan Drug candidates to address unmet medical needs</w:t>
      </w:r>
    </w:p>
    <w:p>
      <w:pPr>
        <w:pStyle w:val="TextBody"/>
        <w:bidi w:val="0"/>
        <w:spacing w:lineRule="auto" w:line="288" w:before="160" w:after="283"/>
        <w:jc w:val="both"/>
        <w:rPr/>
      </w:pPr>
      <w:r>
        <w:rPr>
          <w:rFonts w:ascii="Times New Roman;serif" w:hAnsi="Times New Roman;serif"/>
          <w:b/>
          <w:color w:val="000000"/>
          <w:sz w:val="24"/>
        </w:rPr>
        <w:t>NASHVILLE, Tenn. (Tuesday, May 05, 2026) – Cumberland Pharmaceuticals Inc. (Nasdaq: CPIX)</w:t>
      </w:r>
      <w:r>
        <w:rPr>
          <w:rFonts w:ascii="Times New Roman;serif" w:hAnsi="Times New Roman;serif"/>
          <w:b w:val="false"/>
          <w:color w:val="000000"/>
          <w:sz w:val="24"/>
        </w:rPr>
        <w:t xml:space="preserve">, a specialty pharmaceutical company, announced today that its product portfolio of FDA-approved brands delivered combined net revenues of $9.1 million during the first quarter of 2026. Cumberland ended the quarter with $71.0 million in total assets, $49.7 million in liabilities and $21.6 million of shareholders’ equity. </w:t>
      </w:r>
    </w:p>
    <w:p>
      <w:pPr>
        <w:pStyle w:val="TextBody"/>
        <w:bidi w:val="0"/>
        <w:spacing w:lineRule="auto" w:line="288" w:before="160" w:after="283"/>
        <w:jc w:val="both"/>
        <w:rPr>
          <w:color w:val="000000"/>
        </w:rPr>
      </w:pPr>
      <w:r>
        <w:rPr>
          <w:color w:val="000000"/>
        </w:rPr>
        <w:t>“</w:t>
      </w:r>
      <w:r>
        <w:rPr>
          <w:rFonts w:ascii="Times New Roman;serif" w:hAnsi="Times New Roman;serif"/>
          <w:b w:val="false"/>
          <w:color w:val="000000"/>
          <w:sz w:val="24"/>
        </w:rPr>
        <w:t>We entered 2026 with strong momentum following an outstanding 2025, which featured double-digit revenue growth, the addition of a new product to our portfolio, new international approvals and breakthrough clinical study results,” said A.J. Kazimi, Cumberland Pharmaceuticals CEO. “We have built on that momentum through our recently announced Strategic Transaction, which represents an important next step in our Company’s evolution, enabling us to sharpen our focus on developing high-value product candidates, while unlocking significant value for our shareholders.”</w:t>
      </w:r>
    </w:p>
    <w:p>
      <w:pPr>
        <w:pStyle w:val="TextBody"/>
        <w:bidi w:val="0"/>
        <w:spacing w:lineRule="auto" w:line="288" w:before="280" w:after="283"/>
        <w:jc w:val="both"/>
        <w:rPr>
          <w:rFonts w:ascii="Times New Roman;serif" w:hAnsi="Times New Roman;serif"/>
          <w:b/>
          <w:color w:val="000000"/>
          <w:sz w:val="24"/>
          <w:u w:val="single"/>
        </w:rPr>
      </w:pPr>
      <w:r>
        <w:rPr>
          <w:rFonts w:ascii="Times New Roman;serif" w:hAnsi="Times New Roman;serif"/>
          <w:b/>
          <w:color w:val="000000"/>
          <w:sz w:val="24"/>
          <w:u w:val="single"/>
        </w:rPr>
        <w:t>RECENT COMPANY DEVELOPMENTS INCLUDE:</w:t>
      </w:r>
    </w:p>
    <w:p>
      <w:pPr>
        <w:pStyle w:val="TextBody"/>
        <w:bidi w:val="0"/>
        <w:spacing w:lineRule="auto" w:line="288" w:before="160" w:after="283"/>
        <w:jc w:val="both"/>
        <w:rPr>
          <w:rFonts w:ascii="Times New Roman;serif" w:hAnsi="Times New Roman;serif"/>
          <w:b/>
          <w:color w:val="000000"/>
          <w:sz w:val="24"/>
        </w:rPr>
      </w:pPr>
      <w:r>
        <w:rPr>
          <w:rFonts w:ascii="Times New Roman;serif" w:hAnsi="Times New Roman;serif"/>
          <w:b/>
          <w:color w:val="000000"/>
          <w:sz w:val="24"/>
        </w:rPr>
        <w:t xml:space="preserve">Strategic Transaction </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Cumberland recently announced a Strategic Transaction with Apotex Inc., the largest Canadian-based pharmaceutical company, to integrate the branded U.S. commercial businesses. Under the terms of the agreement, Apotex will acquire Cumberland’s portfolio of FDA-approved brands for $100 million in cash consideration, subject to Cumberland shareholders’ approval and certain other customary closing conditions. </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This transaction is designed to unlock value and sharpen Cumberland’s focus on advancing its pipeline of differentiated product candidates designed to address unmet medical needs. The integration of Cumberland’s products will create more critical mass to support patient care and expand product distribution.</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Following the closing of the transaction, Cumberland will retain its development programs, as well as its majority ownership in Cumberland Emerging Technologies. This positions Cumberland to operate with the profile of an innovative, development-stage biopharmaceutical organization devoted to new medicines for the future.</w:t>
      </w:r>
    </w:p>
    <w:p>
      <w:pPr>
        <w:pStyle w:val="TextBody"/>
        <w:bidi w:val="0"/>
        <w:spacing w:before="160" w:after="160"/>
        <w:jc w:val="both"/>
        <w:rPr/>
      </w:pPr>
      <w:r>
        <w:rPr/>
      </w:r>
    </w:p>
    <w:p>
      <w:pPr>
        <w:pStyle w:val="TextBody"/>
        <w:bidi w:val="0"/>
        <w:spacing w:before="160" w:after="1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both"/>
        <w:rPr>
          <w:rFonts w:ascii="Times New Roman;serif" w:hAnsi="Times New Roman;serif"/>
          <w:b/>
          <w:color w:val="000000"/>
          <w:sz w:val="24"/>
        </w:rPr>
      </w:pPr>
      <w:r>
        <w:rPr>
          <w:rFonts w:ascii="Times New Roman;serif" w:hAnsi="Times New Roman;serif"/>
          <w:b/>
          <w:color w:val="000000"/>
          <w:sz w:val="24"/>
        </w:rPr>
        <w:t>Development Pipeline</w:t>
      </w:r>
    </w:p>
    <w:p>
      <w:pPr>
        <w:pStyle w:val="TextBody"/>
        <w:bidi w:val="0"/>
        <w:spacing w:lineRule="auto" w:line="288" w:before="160" w:after="160"/>
        <w:jc w:val="both"/>
        <w:rPr>
          <w:rFonts w:ascii="Times New Roman;serif" w:hAnsi="Times New Roman;serif"/>
          <w:b w:val="false"/>
          <w:color w:val="000000"/>
          <w:sz w:val="24"/>
        </w:rPr>
      </w:pPr>
      <w:r>
        <w:rPr>
          <w:rFonts w:ascii="Times New Roman;serif" w:hAnsi="Times New Roman;serif"/>
          <w:b w:val="false"/>
          <w:color w:val="000000"/>
          <w:sz w:val="24"/>
        </w:rPr>
        <w:t>In addition to its portfolio of FDA-approved brands involved in the transaction with Apotex, Cumberland is developing ifetroban, a potent thromboxane antagonist, through a series of clinical programs designed to address unmet medical needs with significant market potential.</w:t>
      </w:r>
    </w:p>
    <w:p>
      <w:pPr>
        <w:pStyle w:val="TextBody"/>
        <w:bidi w:val="0"/>
        <w:spacing w:lineRule="auto" w:line="288" w:before="160" w:after="160"/>
        <w:jc w:val="both"/>
        <w:rPr/>
      </w:pPr>
      <w:r>
        <w:rPr>
          <w:rFonts w:ascii="Times New Roman;serif" w:hAnsi="Times New Roman;serif"/>
          <w:b w:val="false"/>
          <w:color w:val="000000"/>
          <w:sz w:val="24"/>
        </w:rPr>
        <w:t xml:space="preserve">Cumberland has announced breakthrough results in a Phase II clinical study of ifetroban in patients with cardiomyopathy associated with </w:t>
      </w:r>
      <w:r>
        <w:rPr>
          <w:rFonts w:ascii="Times New Roman;serif" w:hAnsi="Times New Roman;serif"/>
          <w:b w:val="false"/>
          <w:i/>
          <w:color w:val="000000"/>
          <w:sz w:val="24"/>
        </w:rPr>
        <w:t xml:space="preserve">Duchenne muscular dystrophy </w:t>
      </w:r>
      <w:r>
        <w:rPr>
          <w:rFonts w:ascii="Times New Roman;serif" w:hAnsi="Times New Roman;serif"/>
          <w:b w:val="false"/>
          <w:color w:val="000000"/>
          <w:sz w:val="24"/>
        </w:rPr>
        <w:t xml:space="preserve">(“DMD”). This rare, fatal genetic neuromuscular disease results in deterioration of the skeletal, heart and lung muscles. Discussions with the FDA are underway regarding the study results and remaining requirements for approval. </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During the first quarter of 2026, the FDA granted Fast Track Designation for Cumberland’s ifetroban candidate product for DMD patients. </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This designation is intended to accelerate the development and review of therapies that address serious conditions with unmet medical needs. Importantly, it allows for more frequent FDA interaction, rolling data submissions and earlier guidance throughout the approval process. The program previously received both Orphan Drug and Rare Pediatric Disease designations from the FDA.</w:t>
      </w:r>
    </w:p>
    <w:p>
      <w:pPr>
        <w:pStyle w:val="TextBody"/>
        <w:bidi w:val="0"/>
        <w:spacing w:lineRule="auto" w:line="288" w:before="160" w:after="120"/>
        <w:jc w:val="both"/>
        <w:rPr>
          <w:rFonts w:ascii="Times New Roman;serif" w:hAnsi="Times New Roman;serif"/>
          <w:b w:val="false"/>
          <w:color w:val="000000"/>
          <w:sz w:val="24"/>
        </w:rPr>
      </w:pPr>
      <w:r>
        <w:rPr>
          <w:rFonts w:ascii="Times New Roman;serif" w:hAnsi="Times New Roman;serif"/>
          <w:b w:val="false"/>
          <w:color w:val="000000"/>
          <w:sz w:val="24"/>
        </w:rPr>
        <w:t>In addition, Cumberland has a Phase II clinical program evaluating its ifetroban product candidate in patients with Systemic Sclerosis (“SSc”) or scleroderma, a debilitating autoimmune disorder characterized by diffuse fibrosis of the skin and internal organs. Enrollment in the study is completed and the next milestone will be announcing its top-line study results.</w:t>
      </w:r>
    </w:p>
    <w:p>
      <w:pPr>
        <w:pStyle w:val="TextBody"/>
        <w:bidi w:val="0"/>
        <w:spacing w:lineRule="auto" w:line="288" w:before="16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Cumberland’s third development program involves the use of ifetroban in patients with Idiopathic Pulmonary Fibrosis (“IPF”), the most common form of progressive fibrosing interstitial lung disease. Enrollment in the study is well underway at medical centers across the U.S., with interim safety and interim efficacy results pending. </w:t>
      </w:r>
    </w:p>
    <w:p>
      <w:pPr>
        <w:pStyle w:val="TextBody"/>
        <w:bidi w:val="0"/>
        <w:spacing w:lineRule="auto" w:line="288" w:before="160" w:after="283"/>
        <w:jc w:val="both"/>
        <w:rPr>
          <w:rFonts w:ascii="Times New Roman;serif" w:hAnsi="Times New Roman;serif"/>
          <w:b/>
          <w:color w:val="000000"/>
          <w:sz w:val="24"/>
          <w:u w:val="single"/>
        </w:rPr>
      </w:pPr>
      <w:r>
        <w:rPr>
          <w:rFonts w:ascii="Times New Roman;serif" w:hAnsi="Times New Roman;serif"/>
          <w:b/>
          <w:color w:val="000000"/>
          <w:sz w:val="24"/>
          <w:u w:val="single"/>
        </w:rPr>
        <w:t>FINANCIAL RESULTS:</w:t>
      </w:r>
    </w:p>
    <w:p>
      <w:pPr>
        <w:pStyle w:val="TextBody"/>
        <w:bidi w:val="0"/>
        <w:spacing w:lineRule="auto" w:line="288" w:before="160" w:after="283"/>
        <w:jc w:val="both"/>
        <w:rPr/>
      </w:pPr>
      <w:r>
        <w:rPr>
          <w:rFonts w:ascii="Times New Roman;serif" w:hAnsi="Times New Roman;serif"/>
          <w:b/>
          <w:color w:val="000000"/>
          <w:sz w:val="24"/>
        </w:rPr>
        <w:t>Net Revenue:</w:t>
      </w:r>
      <w:r>
        <w:rPr>
          <w:color w:val="000000"/>
        </w:rPr>
        <w:t> </w:t>
      </w:r>
      <w:r>
        <w:rPr>
          <w:rFonts w:ascii="Times New Roman;serif" w:hAnsi="Times New Roman;serif"/>
          <w:b w:val="false"/>
          <w:color w:val="000000"/>
          <w:sz w:val="24"/>
        </w:rPr>
        <w:t>For first quarter of 2026, the Company’s net revenues of $9.1 million, which represented a 5% increase compared to the first quarter of 2025 after removing the $3 million milestone payment last year associated with the approval of Vibativ</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in China. Cumberland’s branded portfolio revenue included $1.0 million for Kristalose</w:t>
      </w:r>
      <w:r>
        <w:rPr>
          <w:rFonts w:ascii="Times New Roman;serif" w:hAnsi="Times New Roman;serif"/>
          <w:b w:val="false"/>
          <w:color w:val="000000"/>
          <w:sz w:val="16"/>
        </w:rPr>
        <w:t>®</w:t>
      </w:r>
      <w:r>
        <w:rPr>
          <w:rFonts w:ascii="Times New Roman;serif" w:hAnsi="Times New Roman;serif"/>
          <w:b w:val="false"/>
          <w:color w:val="000000"/>
          <w:sz w:val="24"/>
        </w:rPr>
        <w:t>, $2.9 million for Sancuso</w:t>
      </w:r>
      <w:r>
        <w:rPr>
          <w:rFonts w:ascii="Times New Roman;serif" w:hAnsi="Times New Roman;serif"/>
          <w:b w:val="false"/>
          <w:color w:val="000000"/>
          <w:sz w:val="16"/>
        </w:rPr>
        <w:t>®</w:t>
      </w:r>
      <w:r>
        <w:rPr>
          <w:rFonts w:ascii="Times New Roman;serif" w:hAnsi="Times New Roman;serif"/>
          <w:b w:val="false"/>
          <w:color w:val="000000"/>
          <w:sz w:val="24"/>
        </w:rPr>
        <w:t>, $2.1 million for Vibativ</w:t>
      </w:r>
      <w:r>
        <w:rPr>
          <w:rFonts w:ascii="Times New Roman;serif" w:hAnsi="Times New Roman;serif"/>
          <w:b w:val="false"/>
          <w:color w:val="000000"/>
          <w:sz w:val="16"/>
        </w:rPr>
        <w:t>®</w:t>
      </w:r>
      <w:r>
        <w:rPr>
          <w:rFonts w:ascii="Times New Roman;serif" w:hAnsi="Times New Roman;serif"/>
          <w:b w:val="false"/>
          <w:color w:val="000000"/>
          <w:sz w:val="24"/>
        </w:rPr>
        <w:t>, $1.0 million for Caldolor</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and $1.9 million for Talicia.</w:t>
      </w:r>
      <w:r>
        <w:rPr>
          <w:rFonts w:ascii="Times New Roman;serif" w:hAnsi="Times New Roman;serif"/>
          <w:b w:val="false"/>
          <w:color w:val="000000"/>
          <w:sz w:val="16"/>
        </w:rPr>
        <w:t>®</w:t>
      </w:r>
    </w:p>
    <w:p>
      <w:pPr>
        <w:pStyle w:val="TextBody"/>
        <w:bidi w:val="0"/>
        <w:spacing w:lineRule="auto" w:line="288" w:before="160" w:after="283"/>
        <w:jc w:val="left"/>
        <w:rPr/>
      </w:pPr>
      <w:r>
        <w:rPr>
          <w:rFonts w:ascii="Times New Roman;serif" w:hAnsi="Times New Roman;serif"/>
          <w:b/>
          <w:color w:val="000000"/>
          <w:sz w:val="24"/>
        </w:rPr>
        <w:t>Operating Expenses:</w:t>
      </w:r>
      <w:r>
        <w:rPr>
          <w:color w:val="000000"/>
        </w:rPr>
        <w:t> </w:t>
      </w:r>
      <w:r>
        <w:rPr>
          <w:rFonts w:ascii="Times New Roman;serif" w:hAnsi="Times New Roman;serif"/>
          <w:b w:val="false"/>
          <w:color w:val="000000"/>
          <w:sz w:val="24"/>
        </w:rPr>
        <w:t>Total operating expenses for the quarter were $12.3 million. </w:t>
      </w:r>
    </w:p>
    <w:p>
      <w:pPr>
        <w:pStyle w:val="TextBody"/>
        <w:bidi w:val="0"/>
        <w:spacing w:lineRule="auto" w:line="288" w:before="160" w:after="160"/>
        <w:jc w:val="both"/>
        <w:rPr/>
      </w:pPr>
      <w:r>
        <w:rPr>
          <w:rFonts w:ascii="Times New Roman;serif" w:hAnsi="Times New Roman;serif"/>
          <w:b/>
          <w:color w:val="000000"/>
          <w:sz w:val="24"/>
        </w:rPr>
        <w:t>Net Income (Loss):</w:t>
      </w:r>
      <w:r>
        <w:rPr>
          <w:color w:val="000000"/>
        </w:rPr>
        <w:t> </w:t>
      </w:r>
      <w:r>
        <w:rPr>
          <w:rFonts w:ascii="Times New Roman;serif" w:hAnsi="Times New Roman;serif"/>
          <w:b w:val="false"/>
          <w:color w:val="000000"/>
          <w:sz w:val="24"/>
        </w:rPr>
        <w:t>The net loss for the first quarter of 2026 was approximately $3.3 million. </w:t>
      </w:r>
    </w:p>
    <w:p>
      <w:pPr>
        <w:pStyle w:val="TextBody"/>
        <w:bidi w:val="0"/>
        <w:spacing w:lineRule="auto" w:line="288" w:before="160" w:after="283"/>
        <w:jc w:val="left"/>
        <w:rPr/>
      </w:pPr>
      <w:r>
        <w:rPr>
          <w:rFonts w:ascii="Times New Roman;serif" w:hAnsi="Times New Roman;serif"/>
          <w:b/>
          <w:color w:val="000000"/>
          <w:sz w:val="24"/>
        </w:rPr>
        <w:t>Adjusted Earnings (Loss):</w:t>
      </w:r>
      <w:r>
        <w:rPr>
          <w:color w:val="000000"/>
        </w:rPr>
        <w:t> </w:t>
      </w:r>
      <w:r>
        <w:rPr>
          <w:rFonts w:ascii="Times New Roman;serif" w:hAnsi="Times New Roman;serif"/>
          <w:b w:val="false"/>
          <w:color w:val="000000"/>
          <w:sz w:val="24"/>
        </w:rPr>
        <w:t>Adjusted loss for the quarter was $1.9 million, or $0.13 per share.  </w:t>
      </w:r>
    </w:p>
    <w:p>
      <w:pPr>
        <w:pStyle w:val="TextBody"/>
        <w:bidi w:val="0"/>
        <w:spacing w:lineRule="auto" w:line="288" w:before="160" w:after="283"/>
        <w:jc w:val="both"/>
        <w:rPr/>
      </w:pPr>
      <w:r>
        <w:rPr>
          <w:rFonts w:ascii="Times New Roman;serif" w:hAnsi="Times New Roman;serif"/>
          <w:b/>
          <w:color w:val="000000"/>
          <w:sz w:val="24"/>
        </w:rPr>
        <w:t>Balance Sheet:</w:t>
      </w:r>
      <w:r>
        <w:rPr>
          <w:color w:val="000000"/>
        </w:rPr>
        <w:t> </w:t>
      </w:r>
      <w:r>
        <w:rPr>
          <w:rFonts w:ascii="Times New Roman;serif" w:hAnsi="Times New Roman;serif"/>
          <w:b w:val="false"/>
          <w:color w:val="000000"/>
          <w:sz w:val="24"/>
        </w:rPr>
        <w:t>At March 31, 2026, Cumberland had approximately $71.0 million in total assets, including $11.0 million in cash and cash equivalents. Liabilities totaled $49.7 million, including $5.2 million on the company’s credit facility. Total shareholders’ equity was $21.6 million on March 31, 2026.</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jc w:val="both"/>
        <w:rPr>
          <w:rFonts w:ascii="Times New Roman;serif" w:hAnsi="Times New Roman;serif"/>
          <w:b/>
          <w:color w:val="000000"/>
          <w:sz w:val="24"/>
          <w:u w:val="single"/>
        </w:rPr>
      </w:pPr>
      <w:r>
        <w:rPr>
          <w:rFonts w:ascii="Times New Roman;serif" w:hAnsi="Times New Roman;serif"/>
          <w:b/>
          <w:color w:val="000000"/>
          <w:sz w:val="24"/>
          <w:u w:val="single"/>
        </w:rPr>
        <w:t>EARNINGS REPORT CALL:</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A conference call will be held today, May 5, 2026, at 4:30 p.m. Eastern Time to provide a company update and discuss the financial results. </w:t>
      </w:r>
    </w:p>
    <w:p>
      <w:pPr>
        <w:pStyle w:val="TextBody"/>
        <w:bidi w:val="0"/>
        <w:spacing w:lineRule="auto" w:line="288" w:before="160" w:after="283"/>
        <w:jc w:val="left"/>
        <w:rPr>
          <w:rFonts w:ascii="Times New Roman;serif" w:hAnsi="Times New Roman;serif"/>
          <w:b w:val="false"/>
          <w:color w:val="000000"/>
          <w:sz w:val="24"/>
        </w:rPr>
      </w:pPr>
      <w:r>
        <w:rPr>
          <w:rFonts w:ascii="Times New Roman;serif" w:hAnsi="Times New Roman;serif"/>
          <w:b w:val="false"/>
          <w:color w:val="000000"/>
          <w:sz w:val="24"/>
        </w:rPr>
        <w:t>The link to register is https://register-conf.media-server.com/register/BI31a40566a8cb4846873ec8b25642be3a.</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Registered participants can dial in from their phone using a dial-in and PIN number that will be provided to them. Alternatively, they can choose a “Call Me” option to have the system automatically call them at the start of the conference. </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A replay of the call will be available for one year and can be accessed via Cumberland’s website or by visiting: https://edge.media-server.com/mmc/p/rik67g7q.</w:t>
      </w:r>
    </w:p>
    <w:p>
      <w:pPr>
        <w:pStyle w:val="TextBody"/>
        <w:bidi w:val="0"/>
        <w:spacing w:lineRule="auto" w:line="288" w:before="160" w:after="283"/>
        <w:jc w:val="both"/>
        <w:rPr>
          <w:rFonts w:ascii="Times New Roman;serif" w:hAnsi="Times New Roman;serif"/>
          <w:b/>
          <w:color w:val="000000"/>
          <w:sz w:val="24"/>
        </w:rPr>
      </w:pPr>
      <w:r>
        <w:rPr>
          <w:rFonts w:ascii="Times New Roman;serif" w:hAnsi="Times New Roman;serif"/>
          <w:b/>
          <w:color w:val="000000"/>
          <w:sz w:val="24"/>
        </w:rPr>
        <w:t>ABOUT CUMBERLAND PHARMACEUTICALS:</w:t>
      </w:r>
    </w:p>
    <w:p>
      <w:pPr>
        <w:pStyle w:val="TextBody"/>
        <w:bidi w:val="0"/>
        <w:spacing w:lineRule="auto" w:line="288" w:before="160" w:after="283"/>
        <w:jc w:val="both"/>
        <w:rPr/>
      </w:pPr>
      <w:r>
        <w:rPr>
          <w:rFonts w:ascii="Times New Roman;serif" w:hAnsi="Times New Roman;serif"/>
          <w:b/>
          <w:color w:val="000000"/>
          <w:sz w:val="24"/>
        </w:rPr>
        <w:t>Cumberland Pharmaceuticals Inc.</w:t>
      </w:r>
      <w:r>
        <w:rPr>
          <w:color w:val="000000"/>
        </w:rPr>
        <w:t xml:space="preserve"> </w:t>
      </w:r>
      <w:r>
        <w:rPr>
          <w:rFonts w:ascii="Times New Roman;serif" w:hAnsi="Times New Roman;serif"/>
          <w:b w:val="false"/>
          <w:color w:val="000000"/>
          <w:sz w:val="24"/>
        </w:rPr>
        <w:t>is the largest biopharmaceutical company founded and headquartered in Tennessee and is focused on providing unique products that improve the quality of patient care. The company develops, acquires, and commercializes products for the hospital acute care, gastroenterology and oncology market segments. The company’s portfolio of FDA-approved brands includes:</w:t>
      </w:r>
    </w:p>
    <w:p>
      <w:pPr>
        <w:pStyle w:val="TextBody"/>
        <w:bidi w:val="0"/>
        <w:spacing w:lineRule="auto" w:line="288" w:before="160" w:after="60"/>
        <w:ind w:left="0" w:right="0" w:hanging="648"/>
        <w:jc w:val="both"/>
        <w:rPr/>
      </w:pPr>
      <w:r>
        <w:rPr>
          <w:color w:val="000000"/>
        </w:rPr>
        <w:t>•</w:t>
      </w:r>
      <w:r>
        <w:rPr>
          <w:rFonts w:ascii="Times New Roman;serif" w:hAnsi="Times New Roman;serif"/>
          <w:b/>
          <w:color w:val="000000"/>
          <w:sz w:val="24"/>
        </w:rPr>
        <w:t>Acetadote</w:t>
      </w:r>
      <w:r>
        <w:rPr>
          <w:rFonts w:ascii="Times New Roman;serif" w:hAnsi="Times New Roman;serif"/>
          <w:b/>
          <w:color w:val="000000"/>
          <w:sz w:val="16"/>
        </w:rPr>
        <w:t>®</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acetylcysteine</w:t>
      </w:r>
      <w:r>
        <w:rPr>
          <w:rFonts w:ascii="Times New Roman;serif" w:hAnsi="Times New Roman;serif"/>
          <w:b w:val="false"/>
          <w:color w:val="000000"/>
          <w:sz w:val="24"/>
        </w:rPr>
        <w:t>) injection, for the treatment of acetaminophen poisoning;</w:t>
      </w:r>
    </w:p>
    <w:p>
      <w:pPr>
        <w:pStyle w:val="TextBody"/>
        <w:bidi w:val="0"/>
        <w:spacing w:lineRule="auto" w:line="288" w:before="160" w:after="60"/>
        <w:ind w:left="0" w:right="0" w:hanging="648"/>
        <w:jc w:val="both"/>
        <w:rPr/>
      </w:pPr>
      <w:r>
        <w:rPr>
          <w:color w:val="000000"/>
        </w:rPr>
        <w:t>•</w:t>
      </w:r>
      <w:r>
        <w:rPr>
          <w:rFonts w:ascii="Times New Roman;serif" w:hAnsi="Times New Roman;serif"/>
          <w:b/>
          <w:color w:val="000000"/>
          <w:sz w:val="24"/>
        </w:rPr>
        <w:t>Caldolor</w:t>
      </w:r>
      <w:r>
        <w:rPr>
          <w:rFonts w:ascii="Times New Roman;serif" w:hAnsi="Times New Roman;serif"/>
          <w:b/>
          <w:color w:val="000000"/>
          <w:sz w:val="16"/>
        </w:rPr>
        <w:t>®</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ibuprofen</w:t>
      </w:r>
      <w:r>
        <w:rPr>
          <w:rFonts w:ascii="Times New Roman;serif" w:hAnsi="Times New Roman;serif"/>
          <w:b w:val="false"/>
          <w:color w:val="000000"/>
          <w:sz w:val="24"/>
        </w:rPr>
        <w:t>) injection, for the treatment of pain and fever;</w:t>
      </w:r>
    </w:p>
    <w:p>
      <w:pPr>
        <w:pStyle w:val="TextBody"/>
        <w:bidi w:val="0"/>
        <w:spacing w:lineRule="auto" w:line="288" w:before="160" w:after="60"/>
        <w:ind w:left="0" w:right="0" w:hanging="648"/>
        <w:jc w:val="both"/>
        <w:rPr/>
      </w:pPr>
      <w:r>
        <w:rPr>
          <w:color w:val="000000"/>
        </w:rPr>
        <w:t>•</w:t>
      </w:r>
      <w:r>
        <w:rPr>
          <w:rFonts w:ascii="Times New Roman;serif" w:hAnsi="Times New Roman;serif"/>
          <w:b/>
          <w:color w:val="000000"/>
          <w:sz w:val="24"/>
        </w:rPr>
        <w:t>Kristalose</w:t>
      </w:r>
      <w:r>
        <w:rPr>
          <w:rFonts w:ascii="Times New Roman;serif" w:hAnsi="Times New Roman;serif"/>
          <w:b/>
          <w:color w:val="000000"/>
          <w:sz w:val="16"/>
        </w:rPr>
        <w:t>®</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lactulose</w:t>
      </w:r>
      <w:r>
        <w:rPr>
          <w:rFonts w:ascii="Times New Roman;serif" w:hAnsi="Times New Roman;serif"/>
          <w:b w:val="false"/>
          <w:color w:val="000000"/>
          <w:sz w:val="24"/>
        </w:rPr>
        <w:t>) oral, a prescription laxative, for the treatment of constipation;</w:t>
      </w:r>
    </w:p>
    <w:p>
      <w:pPr>
        <w:pStyle w:val="TextBody"/>
        <w:bidi w:val="0"/>
        <w:spacing w:lineRule="auto" w:line="288" w:before="160" w:after="60"/>
        <w:ind w:left="0" w:right="0" w:hanging="648"/>
        <w:jc w:val="both"/>
        <w:rPr/>
      </w:pPr>
      <w:r>
        <w:rPr>
          <w:color w:val="000000"/>
        </w:rPr>
        <w:t>•</w:t>
      </w:r>
      <w:r>
        <w:rPr>
          <w:rFonts w:ascii="Times New Roman;serif" w:hAnsi="Times New Roman;serif"/>
          <w:b/>
          <w:color w:val="000000"/>
          <w:sz w:val="24"/>
        </w:rPr>
        <w:t>Sancuso</w:t>
      </w:r>
      <w:r>
        <w:rPr>
          <w:rFonts w:ascii="Times New Roman;serif" w:hAnsi="Times New Roman;serif"/>
          <w:b/>
          <w:color w:val="000000"/>
          <w:sz w:val="16"/>
        </w:rPr>
        <w:t>®</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 xml:space="preserve">granisetron) </w:t>
      </w:r>
      <w:r>
        <w:rPr>
          <w:rFonts w:ascii="Times New Roman;serif" w:hAnsi="Times New Roman;serif"/>
          <w:b w:val="false"/>
          <w:color w:val="000000"/>
          <w:sz w:val="24"/>
        </w:rPr>
        <w:t>transdermal, for the prevention of nausea and vomiting in patients receiving certain types of chemotherapy treatment;</w:t>
      </w:r>
    </w:p>
    <w:p>
      <w:pPr>
        <w:pStyle w:val="TextBody"/>
        <w:bidi w:val="0"/>
        <w:spacing w:lineRule="auto" w:line="288" w:before="160" w:after="60"/>
        <w:ind w:left="0" w:right="0" w:hanging="648"/>
        <w:jc w:val="both"/>
        <w:rPr/>
      </w:pPr>
      <w:r>
        <w:rPr>
          <w:color w:val="000000"/>
        </w:rPr>
        <w:t>•</w:t>
      </w:r>
      <w:r>
        <w:rPr>
          <w:rFonts w:ascii="Times New Roman;serif" w:hAnsi="Times New Roman;serif"/>
          <w:b/>
          <w:color w:val="000000"/>
          <w:sz w:val="24"/>
        </w:rPr>
        <w:t>Vaprisol</w:t>
      </w:r>
      <w:r>
        <w:rPr>
          <w:rFonts w:ascii="Times New Roman;serif" w:hAnsi="Times New Roman;serif"/>
          <w:b/>
          <w:color w:val="000000"/>
          <w:sz w:val="16"/>
        </w:rPr>
        <w:t>®</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conivaptan</w:t>
      </w:r>
      <w:r>
        <w:rPr>
          <w:rFonts w:ascii="Times New Roman;serif" w:hAnsi="Times New Roman;serif"/>
          <w:b w:val="false"/>
          <w:color w:val="000000"/>
          <w:sz w:val="24"/>
        </w:rPr>
        <w:t xml:space="preserve">) injection, to raise serum sodium levels in hospitalized patients with euvolemic and hypervolemic hyponatremia; </w:t>
      </w:r>
    </w:p>
    <w:p>
      <w:pPr>
        <w:pStyle w:val="TextBody"/>
        <w:bidi w:val="0"/>
        <w:spacing w:lineRule="auto" w:line="288" w:before="160" w:after="60"/>
        <w:ind w:left="0" w:right="0" w:hanging="648"/>
        <w:jc w:val="both"/>
        <w:rPr/>
      </w:pPr>
      <w:r>
        <w:rPr>
          <w:color w:val="000000"/>
        </w:rPr>
        <w:t>•</w:t>
      </w:r>
      <w:r>
        <w:rPr>
          <w:rFonts w:ascii="Times New Roman;serif" w:hAnsi="Times New Roman;serif"/>
          <w:b/>
          <w:color w:val="000000"/>
          <w:sz w:val="24"/>
        </w:rPr>
        <w:t>Vibativ</w:t>
      </w:r>
      <w:r>
        <w:rPr>
          <w:rFonts w:ascii="Times New Roman;serif" w:hAnsi="Times New Roman;serif"/>
          <w:b/>
          <w:color w:val="000000"/>
          <w:sz w:val="16"/>
        </w:rPr>
        <w:t>®</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telavancin</w:t>
      </w:r>
      <w:r>
        <w:rPr>
          <w:rFonts w:ascii="Times New Roman;serif" w:hAnsi="Times New Roman;serif"/>
          <w:b w:val="false"/>
          <w:color w:val="000000"/>
          <w:sz w:val="24"/>
        </w:rPr>
        <w:t>) injection, for the treatment of certain serious bacterial infections including hospital-acquired and ventilator-associated bacterial pneumonia, as well as complicated skin and skin structure infections; and</w:t>
      </w:r>
    </w:p>
    <w:p>
      <w:pPr>
        <w:pStyle w:val="TextBody"/>
        <w:bidi w:val="0"/>
        <w:spacing w:lineRule="auto" w:line="288" w:before="160" w:after="40"/>
        <w:ind w:left="0" w:right="0" w:hanging="648"/>
        <w:jc w:val="both"/>
        <w:rPr/>
      </w:pPr>
      <w:r>
        <w:rPr>
          <w:color w:val="000000"/>
        </w:rPr>
        <w:t>•</w:t>
      </w:r>
      <w:r>
        <w:rPr>
          <w:rFonts w:ascii="Times New Roman;serif" w:hAnsi="Times New Roman;serif"/>
          <w:b/>
          <w:color w:val="000000"/>
          <w:sz w:val="24"/>
        </w:rPr>
        <w:t>Talicia</w:t>
      </w:r>
      <w:r>
        <w:rPr>
          <w:rFonts w:ascii="Times New Roman;serif" w:hAnsi="Times New Roman;serif"/>
          <w:b/>
          <w:color w:val="000000"/>
          <w:sz w:val="16"/>
        </w:rPr>
        <w:t>®</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omeprazole, amoxicillin and rifabutin</w:t>
      </w:r>
      <w:r>
        <w:rPr>
          <w:rFonts w:ascii="Times New Roman;serif" w:hAnsi="Times New Roman;serif"/>
          <w:b w:val="false"/>
          <w:color w:val="000000"/>
          <w:sz w:val="24"/>
        </w:rPr>
        <w:t>) oral capsule, for the treatment of H. pylori infection.</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also has a series of Phase II clinical programs underway evaluating its ifetroban product candidate in patients with Duchenne Muscular Dystrophy, Systemic Sclerosis and Pulmonary Fibrosis. </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For more information on Cumberland’s approved products, including full prescribing information, please visit the links to the individual product websites, which can be found on the company’s website at www.cumberlandpharma.com.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jc w:val="both"/>
        <w:rPr/>
      </w:pPr>
      <w:r>
        <w:rPr>
          <w:rFonts w:ascii="Times New Roman;serif" w:hAnsi="Times New Roman;serif"/>
          <w:b/>
          <w:color w:val="000000"/>
          <w:sz w:val="24"/>
        </w:rPr>
        <w:t>About Acetadote</w:t>
      </w:r>
      <w:r>
        <w:rPr>
          <w:rFonts w:ascii="Times New Roman;serif" w:hAnsi="Times New Roman;serif"/>
          <w:b/>
          <w:color w:val="000000"/>
          <w:sz w:val="16"/>
        </w:rPr>
        <w:t>®</w:t>
      </w:r>
      <w:r>
        <w:rPr>
          <w:color w:val="000000"/>
        </w:rPr>
        <w:t xml:space="preserve"> </w:t>
      </w:r>
      <w:r>
        <w:rPr>
          <w:rFonts w:ascii="Times New Roman;serif" w:hAnsi="Times New Roman;serif"/>
          <w:b/>
          <w:color w:val="000000"/>
          <w:sz w:val="24"/>
        </w:rPr>
        <w:t>(acetylcysteine) Injection</w:t>
      </w:r>
    </w:p>
    <w:p>
      <w:pPr>
        <w:pStyle w:val="TextBody"/>
        <w:bidi w:val="0"/>
        <w:spacing w:lineRule="auto" w:line="288" w:before="160" w:after="283"/>
        <w:jc w:val="both"/>
        <w:rPr/>
      </w:pPr>
      <w:r>
        <w:rPr>
          <w:rFonts w:ascii="Times New Roman;serif" w:hAnsi="Times New Roman;serif"/>
          <w:b w:val="false"/>
          <w:color w:val="000000"/>
          <w:sz w:val="24"/>
        </w:rPr>
        <w:t xml:space="preserve">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t>
      </w:r>
      <w:r>
        <w:rPr>
          <w:rFonts w:ascii="Times New Roman;serif" w:hAnsi="Times New Roman;serif"/>
          <w:b w:val="false"/>
          <w:color w:val="000000"/>
          <w:sz w:val="24"/>
          <w:u w:val="single"/>
        </w:rPr>
        <w:t>www.acetadote.com</w:t>
      </w:r>
      <w:r>
        <w:rPr>
          <w:rFonts w:ascii="Times New Roman;serif" w:hAnsi="Times New Roman;serif"/>
          <w:b w:val="false"/>
          <w:color w:val="000000"/>
          <w:sz w:val="24"/>
        </w:rPr>
        <w:t xml:space="preserve">. </w:t>
      </w:r>
    </w:p>
    <w:p>
      <w:pPr>
        <w:pStyle w:val="TextBody"/>
        <w:bidi w:val="0"/>
        <w:spacing w:lineRule="auto" w:line="288" w:before="160" w:after="283"/>
        <w:jc w:val="both"/>
        <w:rPr/>
      </w:pPr>
      <w:r>
        <w:rPr>
          <w:rFonts w:ascii="Times New Roman;serif" w:hAnsi="Times New Roman;serif"/>
          <w:b/>
          <w:color w:val="000000"/>
          <w:sz w:val="24"/>
        </w:rPr>
        <w:t>About Caldolor</w:t>
      </w:r>
      <w:r>
        <w:rPr>
          <w:rFonts w:ascii="Times New Roman;serif" w:hAnsi="Times New Roman;serif"/>
          <w:b/>
          <w:color w:val="000000"/>
          <w:sz w:val="16"/>
        </w:rPr>
        <w:t>®</w:t>
      </w:r>
      <w:r>
        <w:rPr>
          <w:color w:val="000000"/>
        </w:rPr>
        <w:t xml:space="preserve"> </w:t>
      </w:r>
      <w:r>
        <w:rPr>
          <w:rFonts w:ascii="Times New Roman;serif" w:hAnsi="Times New Roman;serif"/>
          <w:b/>
          <w:color w:val="000000"/>
          <w:sz w:val="24"/>
        </w:rPr>
        <w:t>(ibuprofen) Injection</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Caldolor is indicated in adults and pediatric patients for the management of mild to moderate pain and the management of moderate to severe pain as an adjunct to opioid analgesics, as well as the reduction of fever. It was the first FDA-approved intravenous therapy for fever. </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Caldolor is contraindicated in patients with known hypersensitivity to ibuprofen or other non-steroidal anti-inflammatory drugs (NSAIDs) as well as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www.caldolor.com.   </w:t>
      </w:r>
    </w:p>
    <w:p>
      <w:pPr>
        <w:pStyle w:val="TextBody"/>
        <w:bidi w:val="0"/>
        <w:spacing w:lineRule="auto" w:line="288" w:before="160" w:after="283"/>
        <w:jc w:val="both"/>
        <w:rPr/>
      </w:pPr>
      <w:r>
        <w:rPr>
          <w:rFonts w:ascii="Times New Roman;serif" w:hAnsi="Times New Roman;serif"/>
          <w:b/>
          <w:color w:val="000000"/>
          <w:sz w:val="24"/>
        </w:rPr>
        <w:t>About Kristalose</w:t>
      </w:r>
      <w:r>
        <w:rPr>
          <w:rFonts w:ascii="Times New Roman;serif" w:hAnsi="Times New Roman;serif"/>
          <w:b/>
          <w:color w:val="000000"/>
          <w:sz w:val="16"/>
        </w:rPr>
        <w:t>®</w:t>
      </w:r>
      <w:r>
        <w:rPr>
          <w:color w:val="000000"/>
        </w:rPr>
        <w:t xml:space="preserve"> </w:t>
      </w:r>
      <w:r>
        <w:rPr>
          <w:rFonts w:ascii="Times New Roman;serif" w:hAnsi="Times New Roman;serif"/>
          <w:b/>
          <w:color w:val="000000"/>
          <w:sz w:val="24"/>
        </w:rPr>
        <w:t>(lactulose) Oral Solution</w:t>
      </w:r>
    </w:p>
    <w:p>
      <w:pPr>
        <w:pStyle w:val="TextBody"/>
        <w:bidi w:val="0"/>
        <w:spacing w:lineRule="auto" w:line="288" w:before="160" w:after="283"/>
        <w:jc w:val="both"/>
        <w:rPr/>
      </w:pPr>
      <w:r>
        <w:rPr>
          <w:rFonts w:ascii="Times New Roman;serif" w:hAnsi="Times New Roman;serif"/>
          <w:b w:val="false"/>
          <w:color w:val="000000"/>
          <w:sz w:val="24"/>
        </w:rPr>
        <w:t xml:space="preserve">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t>
      </w:r>
      <w:r>
        <w:rPr>
          <w:rFonts w:ascii="Times New Roman;serif" w:hAnsi="Times New Roman;serif"/>
          <w:b w:val="false"/>
          <w:color w:val="000000"/>
          <w:sz w:val="24"/>
          <w:u w:val="single"/>
        </w:rPr>
        <w:t>www.kristalose.com</w:t>
      </w:r>
      <w:r>
        <w:rPr>
          <w:rFonts w:ascii="Times New Roman;serif" w:hAnsi="Times New Roman;serif"/>
          <w:b w:val="false"/>
          <w:color w:val="000000"/>
          <w:sz w:val="24"/>
        </w:rPr>
        <w:t xml:space="preserve">.  </w:t>
      </w:r>
    </w:p>
    <w:p>
      <w:pPr>
        <w:pStyle w:val="TextBody"/>
        <w:bidi w:val="0"/>
        <w:spacing w:lineRule="auto" w:line="288" w:before="160" w:after="283"/>
        <w:jc w:val="both"/>
        <w:rPr/>
      </w:pPr>
      <w:r>
        <w:rPr>
          <w:rFonts w:ascii="Times New Roman;serif" w:hAnsi="Times New Roman;serif"/>
          <w:b/>
          <w:color w:val="000000"/>
          <w:sz w:val="24"/>
        </w:rPr>
        <w:t>About Sancuso</w:t>
      </w:r>
      <w:r>
        <w:rPr>
          <w:rFonts w:ascii="Times New Roman;serif" w:hAnsi="Times New Roman;serif"/>
          <w:b/>
          <w:color w:val="000000"/>
          <w:sz w:val="16"/>
        </w:rPr>
        <w:t>®</w:t>
      </w:r>
      <w:r>
        <w:rPr>
          <w:color w:val="000000"/>
        </w:rPr>
        <w:t xml:space="preserve"> </w:t>
      </w:r>
      <w:r>
        <w:rPr>
          <w:rFonts w:ascii="Times New Roman;serif" w:hAnsi="Times New Roman;serif"/>
          <w:b/>
          <w:i/>
          <w:color w:val="000000"/>
          <w:sz w:val="24"/>
        </w:rPr>
        <w:t>(</w:t>
      </w:r>
      <w:r>
        <w:rPr>
          <w:rFonts w:ascii="Times New Roman;serif" w:hAnsi="Times New Roman;serif"/>
          <w:b/>
          <w:color w:val="000000"/>
          <w:sz w:val="24"/>
        </w:rPr>
        <w:t>granisetron) Transdermal System</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Sancuso is the only skin patch approved by the FDA for the prevention of chemotherapy-induced nausea and vomiting (CINV) in patients receiving moderately and/or highly emetogenic chemotherapy. When applied 24 to 48 hours before receiving chemotherapy, the Sancuso patch slowly and continuously releases the medicine contained in the adhesive through clean and intact skin areas into the patient’s bloodstream. It can prevent CINV for chemotherapy regimens of up to five consecutive days. For full prescribing and safety information, visit www.sancuso.com. </w:t>
      </w:r>
    </w:p>
    <w:p>
      <w:pPr>
        <w:pStyle w:val="TextBody"/>
        <w:bidi w:val="0"/>
        <w:spacing w:lineRule="auto" w:line="288" w:before="160" w:after="283"/>
        <w:jc w:val="both"/>
        <w:rPr/>
      </w:pPr>
      <w:r>
        <w:rPr>
          <w:rFonts w:ascii="Times New Roman;serif" w:hAnsi="Times New Roman;serif"/>
          <w:b/>
          <w:color w:val="000000"/>
          <w:sz w:val="24"/>
        </w:rPr>
        <w:t>About Vaprisol</w:t>
      </w:r>
      <w:r>
        <w:rPr>
          <w:rFonts w:ascii="Times New Roman;serif" w:hAnsi="Times New Roman;serif"/>
          <w:b/>
          <w:color w:val="000000"/>
          <w:sz w:val="16"/>
        </w:rPr>
        <w:t>®</w:t>
      </w:r>
      <w:r>
        <w:rPr>
          <w:color w:val="000000"/>
        </w:rPr>
        <w:t xml:space="preserve"> </w:t>
      </w:r>
      <w:r>
        <w:rPr>
          <w:rFonts w:ascii="Times New Roman;serif" w:hAnsi="Times New Roman;serif"/>
          <w:b/>
          <w:color w:val="000000"/>
          <w:sz w:val="24"/>
        </w:rPr>
        <w:t>(conivaptan hydrochloride) Injection</w:t>
      </w:r>
    </w:p>
    <w:p>
      <w:pPr>
        <w:pStyle w:val="TextBody"/>
        <w:bidi w:val="0"/>
        <w:spacing w:lineRule="auto" w:line="288" w:before="160" w:after="283"/>
        <w:jc w:val="both"/>
        <w:rPr/>
      </w:pPr>
      <w:r>
        <w:rPr>
          <w:rFonts w:ascii="Times New Roman;serif" w:hAnsi="Times New Roman;serif"/>
          <w:b w:val="false"/>
          <w:color w:val="000000"/>
          <w:sz w:val="24"/>
        </w:rPr>
        <w:t xml:space="preserve">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t>
      </w:r>
      <w:r>
        <w:rPr>
          <w:rFonts w:ascii="Times New Roman;serif" w:hAnsi="Times New Roman;serif"/>
          <w:b w:val="false"/>
          <w:color w:val="000000"/>
          <w:sz w:val="24"/>
          <w:u w:val="single"/>
        </w:rPr>
        <w:t>www.vaprisol.com</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jc w:val="both"/>
        <w:rPr/>
      </w:pPr>
      <w:r>
        <w:rPr>
          <w:rFonts w:ascii="Times New Roman;serif" w:hAnsi="Times New Roman;serif"/>
          <w:b/>
          <w:color w:val="000000"/>
          <w:sz w:val="24"/>
        </w:rPr>
        <w:t>About Vibativ</w:t>
      </w:r>
      <w:r>
        <w:rPr>
          <w:rFonts w:ascii="Times New Roman;serif" w:hAnsi="Times New Roman;serif"/>
          <w:b/>
          <w:color w:val="000000"/>
          <w:sz w:val="16"/>
        </w:rPr>
        <w:t>®</w:t>
      </w:r>
      <w:r>
        <w:rPr>
          <w:color w:val="000000"/>
        </w:rPr>
        <w:t xml:space="preserve"> </w:t>
      </w:r>
      <w:r>
        <w:rPr>
          <w:rFonts w:ascii="Times New Roman;serif" w:hAnsi="Times New Roman;serif"/>
          <w:b/>
          <w:color w:val="000000"/>
          <w:sz w:val="24"/>
        </w:rPr>
        <w:t>(telavancin) for Injection</w:t>
      </w:r>
    </w:p>
    <w:p>
      <w:pPr>
        <w:pStyle w:val="TextBody"/>
        <w:bidi w:val="0"/>
        <w:spacing w:lineRule="auto" w:line="288" w:before="160" w:after="283"/>
        <w:jc w:val="both"/>
        <w:rPr/>
      </w:pPr>
      <w:r>
        <w:rPr>
          <w:rFonts w:ascii="Times New Roman;serif" w:hAnsi="Times New Roman;serif"/>
          <w:b w:val="false"/>
          <w:color w:val="000000"/>
          <w:sz w:val="24"/>
        </w:rPr>
        <w:t xml:space="preserve">Vibativ is a patented, FDA-approved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t>
      </w:r>
      <w:r>
        <w:rPr>
          <w:rFonts w:ascii="Times New Roman;serif" w:hAnsi="Times New Roman;serif"/>
          <w:b w:val="false"/>
          <w:color w:val="000000"/>
          <w:sz w:val="24"/>
          <w:u w:val="single"/>
        </w:rPr>
        <w:t>www.vibativ.com</w:t>
      </w:r>
      <w:r>
        <w:rPr>
          <w:rFonts w:ascii="Times New Roman;serif" w:hAnsi="Times New Roman;serif"/>
          <w:b w:val="false"/>
          <w:color w:val="000000"/>
          <w:sz w:val="24"/>
        </w:rPr>
        <w:t xml:space="preserve">. </w:t>
      </w:r>
    </w:p>
    <w:p>
      <w:pPr>
        <w:pStyle w:val="TextBody"/>
        <w:bidi w:val="0"/>
        <w:spacing w:lineRule="auto" w:line="288" w:before="160" w:after="283"/>
        <w:jc w:val="both"/>
        <w:rPr/>
      </w:pPr>
      <w:r>
        <w:rPr>
          <w:rFonts w:ascii="Times New Roman;serif" w:hAnsi="Times New Roman;serif"/>
          <w:b/>
          <w:color w:val="000000"/>
          <w:sz w:val="24"/>
        </w:rPr>
        <w:t>About Talicia</w:t>
      </w:r>
      <w:r>
        <w:rPr>
          <w:rFonts w:ascii="Times New Roman;serif" w:hAnsi="Times New Roman;serif"/>
          <w:b/>
          <w:color w:val="000000"/>
          <w:sz w:val="16"/>
        </w:rPr>
        <w:t xml:space="preserve">® </w:t>
      </w:r>
    </w:p>
    <w:p>
      <w:pPr>
        <w:pStyle w:val="TextBody"/>
        <w:bidi w:val="0"/>
        <w:spacing w:lineRule="auto" w:line="288" w:before="160" w:after="283"/>
        <w:jc w:val="both"/>
        <w:rPr/>
      </w:pPr>
      <w:r>
        <w:rPr>
          <w:rFonts w:ascii="Times New Roman;serif" w:hAnsi="Times New Roman;serif"/>
          <w:b w:val="false"/>
          <w:color w:val="000000"/>
          <w:sz w:val="24"/>
        </w:rPr>
        <w:t>Talicia</w:t>
      </w:r>
      <w:r>
        <w:rPr>
          <w:rFonts w:ascii="Times New Roman;serif" w:hAnsi="Times New Roman;serif"/>
          <w:b w:val="false"/>
          <w:color w:val="000000"/>
          <w:sz w:val="16"/>
        </w:rPr>
        <w:t>®</w:t>
      </w:r>
      <w:r>
        <w:rPr>
          <w:color w:val="000000"/>
        </w:rPr>
        <w:t> </w:t>
      </w:r>
      <w:r>
        <w:rPr>
          <w:rFonts w:ascii="Times New Roman;serif" w:hAnsi="Times New Roman;serif"/>
          <w:b w:val="false"/>
          <w:color w:val="000000"/>
          <w:sz w:val="24"/>
        </w:rPr>
        <w:t xml:space="preserve">is an FDA approved oral capsule for the treatment of </w:t>
      </w:r>
      <w:r>
        <w:rPr>
          <w:rFonts w:ascii="Times New Roman;serif" w:hAnsi="Times New Roman;serif"/>
          <w:b w:val="false"/>
          <w:i/>
          <w:color w:val="000000"/>
          <w:sz w:val="24"/>
        </w:rPr>
        <w:t>Helicobacter pylori (H. pylori</w:t>
      </w:r>
      <w:r>
        <w:rPr>
          <w:rFonts w:ascii="Times New Roman;serif" w:hAnsi="Times New Roman;serif"/>
          <w:b w:val="false"/>
          <w:color w:val="000000"/>
          <w:sz w:val="24"/>
        </w:rPr>
        <w:t xml:space="preserve">) infection in adults, a bacterial infection of the stomach and leading risk factor for gastric cancer. Talicia is listed as a first line option in the 2024 ACG Guideline for the treatment of H. pylori and features three key advantages: 1) high eradication rates - &gt;90% in confirmed adherent patients, 2) the simplicity of an all-in-one capsule, and 3) low resistance to the two antibiotics - amoxicillin and rifabutin. For more information, please visit </w:t>
      </w:r>
      <w:r>
        <w:rPr>
          <w:rFonts w:ascii="Times New Roman;serif" w:hAnsi="Times New Roman;serif"/>
          <w:b w:val="false"/>
          <w:color w:val="000000"/>
          <w:sz w:val="24"/>
          <w:u w:val="single"/>
        </w:rPr>
        <w:t>www.talicia.com</w:t>
      </w:r>
      <w:r>
        <w:rPr>
          <w:rFonts w:ascii="Times New Roman;serif" w:hAnsi="Times New Roman;serif"/>
          <w:b w:val="false"/>
          <w:color w:val="000000"/>
          <w:sz w:val="24"/>
        </w:rPr>
        <w:t>.</w:t>
      </w:r>
    </w:p>
    <w:p>
      <w:pPr>
        <w:pStyle w:val="TextBody"/>
        <w:bidi w:val="0"/>
        <w:spacing w:before="16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40"/>
        <w:jc w:val="both"/>
        <w:rPr>
          <w:rFonts w:ascii="Times New Roman;serif" w:hAnsi="Times New Roman;serif"/>
          <w:b/>
          <w:color w:val="000000"/>
          <w:sz w:val="24"/>
          <w:u w:val="single"/>
        </w:rPr>
      </w:pPr>
      <w:r>
        <w:rPr>
          <w:rFonts w:ascii="Times New Roman;serif" w:hAnsi="Times New Roman;serif"/>
          <w:b/>
          <w:color w:val="000000"/>
          <w:sz w:val="24"/>
          <w:u w:val="single"/>
        </w:rPr>
        <w:t>FORWARD LOOKING STATEMENTS:</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"goal", “should,” “seek,” “anticipate,” “look forward” and other comparable terms or the negative thereof. As with any business, all phases of Cumberland’s operations are subject to factors outside of its control, and any one or combination of these factors could materially affect Cumberland’s operation results. These factors include risks and uncertainties related to the strategic transaction, risks related to our ability to develop our pipeline of new product candidates, macroeconomic conditions, including changes in interest rates, inflation, tariffs, competition, an inability of manufacturers to produce Cumberland’s products on a timely basis, failure of manufacturers to comply with regulations applicable to pharmaceutical manufacturers, natural disasters, public health epidemics, maintaining an effective sales and marketing infrastructure, and other events beyond the Company’s control as more fully discussed in its most recent annual report on Form 10-K as filed with the U.S. Securities and Exchange Commission (“SEC”), as well as the Company’s other filings with the SEC from time to time.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SOURCE: Cumberland Pharmaceuticals Inc.</w:t>
      </w:r>
    </w:p>
    <w:p>
      <w:pPr>
        <w:pStyle w:val="TextBody"/>
        <w:bidi w:val="0"/>
        <w:spacing w:before="160" w:after="200"/>
        <w:jc w:val="center"/>
        <w:rPr/>
      </w:pPr>
      <w:r>
        <w:rPr/>
      </w:r>
    </w:p>
    <w:tbl>
      <w:tblPr>
        <w:tblW w:w="5040" w:type="dxa"/>
        <w:jc w:val="left"/>
        <w:tblInd w:w="0" w:type="dxa"/>
        <w:tblLayout w:type="fixed"/>
        <w:tblCellMar>
          <w:top w:w="28" w:type="dxa"/>
          <w:left w:w="28" w:type="dxa"/>
          <w:bottom w:w="28" w:type="dxa"/>
          <w:right w:w="28" w:type="dxa"/>
        </w:tblCellMar>
      </w:tblPr>
      <w:tblGrid>
        <w:gridCol w:w="1196"/>
        <w:gridCol w:w="1050"/>
        <w:gridCol w:w="1054"/>
        <w:gridCol w:w="509"/>
        <w:gridCol w:w="509"/>
        <w:gridCol w:w="722"/>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8" w:space="0" w:color="9A9A9A"/>
              <w:left w:val="single" w:sz="8" w:space="0" w:color="9A9A9A"/>
            </w:tcBorders>
            <w:tcMar>
              <w:top w:w="30" w:type="dxa"/>
              <w:bottom w:w="0" w:type="dxa"/>
              <w:right w:w="0" w:type="dxa"/>
            </w:tcMar>
            <w:vAlign w:val="center"/>
          </w:tcPr>
          <w:p>
            <w:pPr>
              <w:pStyle w:val="TableContents"/>
              <w:bidi w:val="0"/>
              <w:spacing w:lineRule="auto" w:line="369" w:before="33" w:after="30"/>
              <w:jc w:val="center"/>
              <w:rPr>
                <w:rFonts w:ascii="Times New Roman;serif" w:hAnsi="Times New Roman;serif"/>
                <w:b/>
                <w:color w:val="000000"/>
                <w:sz w:val="24"/>
              </w:rPr>
            </w:pPr>
            <w:r>
              <w:rPr>
                <w:rFonts w:ascii="Times New Roman;serif" w:hAnsi="Times New Roman;serif"/>
                <w:b/>
                <w:color w:val="000000"/>
                <w:sz w:val="24"/>
              </w:rPr>
              <w:t>Investor Contact:</w:t>
            </w:r>
          </w:p>
        </w:tc>
        <w:tc>
          <w:tcPr>
            <w:tcW w:w="1740" w:type="dxa"/>
            <w:gridSpan w:val="3"/>
            <w:tcBorders>
              <w:top w:val="single" w:sz="8" w:space="0" w:color="9A9A9A"/>
              <w:left w:val="single" w:sz="8" w:space="0" w:color="9A9A9A"/>
              <w:right w:val="single" w:sz="8" w:space="0" w:color="9A9A9A"/>
            </w:tcBorders>
            <w:tcMar>
              <w:top w:w="30" w:type="dxa"/>
              <w:bottom w:w="0" w:type="dxa"/>
            </w:tcMar>
            <w:vAlign w:val="center"/>
          </w:tcPr>
          <w:p>
            <w:pPr>
              <w:pStyle w:val="TableContents"/>
              <w:bidi w:val="0"/>
              <w:spacing w:lineRule="auto" w:line="369" w:before="33" w:after="30"/>
              <w:jc w:val="center"/>
              <w:rPr>
                <w:rFonts w:ascii="Times New Roman;serif" w:hAnsi="Times New Roman;serif"/>
                <w:b/>
                <w:color w:val="000000"/>
                <w:sz w:val="24"/>
              </w:rPr>
            </w:pPr>
            <w:r>
              <w:rPr>
                <w:rFonts w:ascii="Times New Roman;serif" w:hAnsi="Times New Roman;serif"/>
                <w:b/>
                <w:color w:val="000000"/>
                <w:sz w:val="24"/>
              </w:rPr>
              <w:t>Media Contact:</w:t>
            </w:r>
          </w:p>
        </w:tc>
      </w:tr>
      <w:tr>
        <w:trPr/>
        <w:tc>
          <w:tcPr>
            <w:tcW w:w="3300" w:type="dxa"/>
            <w:gridSpan w:val="3"/>
            <w:tcBorders>
              <w:top w:val="single" w:sz="8" w:space="0" w:color="9A9A9A"/>
              <w:left w:val="single" w:sz="8" w:space="0" w:color="9A9A9A"/>
            </w:tcBorders>
            <w:tcMar>
              <w:top w:w="30" w:type="dxa"/>
              <w:bottom w:w="0" w:type="dxa"/>
              <w:right w:w="0" w:type="dxa"/>
            </w:tcMar>
            <w:vAlign w:val="center"/>
          </w:tcPr>
          <w:p>
            <w:pPr>
              <w:pStyle w:val="TableContents"/>
              <w:bidi w:val="0"/>
              <w:spacing w:lineRule="auto" w:line="369" w:before="33" w:after="30"/>
              <w:jc w:val="center"/>
              <w:rPr>
                <w:rFonts w:ascii="Times New Roman;serif" w:hAnsi="Times New Roman;serif"/>
                <w:b w:val="false"/>
                <w:color w:val="000000"/>
                <w:sz w:val="24"/>
              </w:rPr>
            </w:pPr>
            <w:r>
              <w:rPr>
                <w:rFonts w:ascii="Times New Roman;serif" w:hAnsi="Times New Roman;serif"/>
                <w:b w:val="false"/>
                <w:color w:val="000000"/>
                <w:sz w:val="24"/>
              </w:rPr>
              <w:t>Shayla Simpson</w:t>
            </w:r>
          </w:p>
        </w:tc>
        <w:tc>
          <w:tcPr>
            <w:tcW w:w="1740" w:type="dxa"/>
            <w:gridSpan w:val="3"/>
            <w:tcBorders>
              <w:top w:val="single" w:sz="8" w:space="0" w:color="9A9A9A"/>
              <w:left w:val="single" w:sz="8" w:space="0" w:color="9A9A9A"/>
              <w:right w:val="single" w:sz="8" w:space="0" w:color="9A9A9A"/>
            </w:tcBorders>
            <w:tcMar>
              <w:top w:w="30" w:type="dxa"/>
              <w:bottom w:w="0" w:type="dxa"/>
            </w:tcMar>
            <w:vAlign w:val="center"/>
          </w:tcPr>
          <w:p>
            <w:pPr>
              <w:pStyle w:val="TableContents"/>
              <w:bidi w:val="0"/>
              <w:spacing w:lineRule="auto" w:line="369" w:before="33" w:after="30"/>
              <w:jc w:val="center"/>
              <w:rPr>
                <w:rFonts w:ascii="Times New Roman;serif" w:hAnsi="Times New Roman;serif"/>
                <w:b w:val="false"/>
                <w:color w:val="000000"/>
                <w:sz w:val="24"/>
              </w:rPr>
            </w:pPr>
            <w:r>
              <w:rPr>
                <w:rFonts w:ascii="Times New Roman;serif" w:hAnsi="Times New Roman;serif"/>
                <w:b w:val="false"/>
                <w:color w:val="000000"/>
                <w:sz w:val="24"/>
              </w:rPr>
              <w:t>Emily Kent</w:t>
            </w:r>
          </w:p>
        </w:tc>
      </w:tr>
      <w:tr>
        <w:trPr/>
        <w:tc>
          <w:tcPr>
            <w:tcW w:w="3300" w:type="dxa"/>
            <w:gridSpan w:val="3"/>
            <w:tcBorders>
              <w:top w:val="single" w:sz="8" w:space="0" w:color="9A9A9A"/>
              <w:left w:val="single" w:sz="8" w:space="0" w:color="9A9A9A"/>
            </w:tcBorders>
            <w:tcMar>
              <w:top w:w="30" w:type="dxa"/>
              <w:bottom w:w="0" w:type="dxa"/>
              <w:right w:w="0" w:type="dxa"/>
            </w:tcMar>
            <w:vAlign w:val="center"/>
          </w:tcPr>
          <w:p>
            <w:pPr>
              <w:pStyle w:val="TableContents"/>
              <w:bidi w:val="0"/>
              <w:spacing w:lineRule="auto" w:line="369" w:before="33" w:after="30"/>
              <w:jc w:val="center"/>
              <w:rPr>
                <w:rFonts w:ascii="Times New Roman;serif" w:hAnsi="Times New Roman;serif"/>
                <w:b w:val="false"/>
                <w:color w:val="000000"/>
                <w:sz w:val="24"/>
              </w:rPr>
            </w:pPr>
            <w:r>
              <w:rPr>
                <w:rFonts w:ascii="Times New Roman;serif" w:hAnsi="Times New Roman;serif"/>
                <w:b w:val="false"/>
                <w:color w:val="000000"/>
                <w:sz w:val="24"/>
              </w:rPr>
              <w:t>Cumberland Pharmaceuticals Inc.</w:t>
            </w:r>
          </w:p>
        </w:tc>
        <w:tc>
          <w:tcPr>
            <w:tcW w:w="1740" w:type="dxa"/>
            <w:gridSpan w:val="3"/>
            <w:tcBorders>
              <w:top w:val="single" w:sz="8" w:space="0" w:color="9A9A9A"/>
              <w:left w:val="single" w:sz="8" w:space="0" w:color="9A9A9A"/>
              <w:right w:val="single" w:sz="8" w:space="0" w:color="9A9A9A"/>
            </w:tcBorders>
            <w:tcMar>
              <w:top w:w="30" w:type="dxa"/>
              <w:bottom w:w="0" w:type="dxa"/>
            </w:tcMar>
            <w:vAlign w:val="center"/>
          </w:tcPr>
          <w:p>
            <w:pPr>
              <w:pStyle w:val="TableContents"/>
              <w:bidi w:val="0"/>
              <w:spacing w:lineRule="auto" w:line="369" w:before="33" w:after="30"/>
              <w:jc w:val="center"/>
              <w:rPr>
                <w:rFonts w:ascii="Times New Roman;serif" w:hAnsi="Times New Roman;serif"/>
                <w:b w:val="false"/>
                <w:color w:val="000000"/>
                <w:sz w:val="24"/>
              </w:rPr>
            </w:pPr>
            <w:r>
              <w:rPr>
                <w:rFonts w:ascii="Times New Roman;serif" w:hAnsi="Times New Roman;serif"/>
                <w:b w:val="false"/>
                <w:color w:val="000000"/>
                <w:sz w:val="24"/>
              </w:rPr>
              <w:t>Dalton Agency</w:t>
            </w:r>
          </w:p>
        </w:tc>
      </w:tr>
      <w:tr>
        <w:trPr/>
        <w:tc>
          <w:tcPr>
            <w:tcW w:w="3300" w:type="dxa"/>
            <w:gridSpan w:val="3"/>
            <w:tcBorders>
              <w:top w:val="single" w:sz="8" w:space="0" w:color="9A9A9A"/>
              <w:left w:val="single" w:sz="8" w:space="0" w:color="9A9A9A"/>
              <w:bottom w:val="single" w:sz="8" w:space="0" w:color="9A9A9A"/>
            </w:tcBorders>
            <w:tcMar>
              <w:top w:w="30" w:type="dxa"/>
              <w:bottom w:w="30" w:type="dxa"/>
              <w:right w:w="0" w:type="dxa"/>
            </w:tcMar>
            <w:vAlign w:val="center"/>
          </w:tcPr>
          <w:p>
            <w:pPr>
              <w:pStyle w:val="TableContents"/>
              <w:bidi w:val="0"/>
              <w:spacing w:lineRule="auto" w:line="369" w:before="33" w:after="30"/>
              <w:jc w:val="center"/>
              <w:rPr>
                <w:rFonts w:ascii="Times New Roman;serif" w:hAnsi="Times New Roman;serif"/>
                <w:b w:val="false"/>
                <w:color w:val="000000"/>
                <w:sz w:val="24"/>
              </w:rPr>
            </w:pPr>
            <w:r>
              <w:rPr>
                <w:rFonts w:ascii="Times New Roman;serif" w:hAnsi="Times New Roman;serif"/>
                <w:b w:val="false"/>
                <w:color w:val="000000"/>
                <w:sz w:val="24"/>
              </w:rPr>
              <w:t>(615) 255-0068</w:t>
            </w:r>
          </w:p>
        </w:tc>
        <w:tc>
          <w:tcPr>
            <w:tcW w:w="1740" w:type="dxa"/>
            <w:gridSpan w:val="3"/>
            <w:tcBorders>
              <w:top w:val="single" w:sz="8" w:space="0" w:color="9A9A9A"/>
              <w:left w:val="single" w:sz="8" w:space="0" w:color="9A9A9A"/>
              <w:bottom w:val="single" w:sz="8" w:space="0" w:color="9A9A9A"/>
              <w:right w:val="single" w:sz="8" w:space="0" w:color="9A9A9A"/>
            </w:tcBorders>
            <w:tcMar>
              <w:top w:w="30" w:type="dxa"/>
              <w:bottom w:w="30" w:type="dxa"/>
            </w:tcMar>
            <w:vAlign w:val="center"/>
          </w:tcPr>
          <w:p>
            <w:pPr>
              <w:pStyle w:val="TableContents"/>
              <w:bidi w:val="0"/>
              <w:spacing w:lineRule="auto" w:line="369" w:before="33" w:after="30"/>
              <w:jc w:val="center"/>
              <w:rPr>
                <w:rFonts w:ascii="Times New Roman;serif" w:hAnsi="Times New Roman;serif"/>
                <w:b w:val="false"/>
                <w:color w:val="000000"/>
                <w:sz w:val="24"/>
              </w:rPr>
            </w:pPr>
            <w:r>
              <w:rPr>
                <w:rFonts w:ascii="Times New Roman;serif" w:hAnsi="Times New Roman;serif"/>
                <w:b w:val="false"/>
                <w:color w:val="000000"/>
                <w:sz w:val="24"/>
              </w:rPr>
              <w:t>(540) 621-5448</w:t>
            </w:r>
          </w:p>
        </w:tc>
      </w:tr>
    </w:tbl>
    <w:p>
      <w:pPr>
        <w:pStyle w:val="TextBody"/>
        <w:bidi w:val="0"/>
        <w:spacing w:before="160" w:after="160"/>
        <w:jc w:val="center"/>
        <w:rPr/>
      </w:pPr>
      <w:r>
        <w:rPr/>
      </w:r>
    </w:p>
    <w:p>
      <w:pPr>
        <w:pStyle w:val="TextBody"/>
        <w:bidi w:val="0"/>
        <w:spacing w:lineRule="auto" w:line="288" w:before="160" w:after="160"/>
        <w:jc w:val="center"/>
        <w:rPr>
          <w:rFonts w:ascii="Times New Roman;serif" w:hAnsi="Times New Roman;serif"/>
          <w:b w:val="false"/>
          <w:color w:val="000000"/>
          <w:sz w:val="24"/>
        </w:rPr>
      </w:pPr>
      <w:r>
        <w:rPr>
          <w:rFonts w:ascii="Times New Roman;serif" w:hAnsi="Times New Roman;serif"/>
          <w:b w:val="false"/>
          <w:color w:val="000000"/>
          <w:sz w:val="24"/>
        </w:rPr>
        <w:t>- MORE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57"/>
        <w:gridCol w:w="2248"/>
        <w:gridCol w:w="1985"/>
        <w:gridCol w:w="213"/>
        <w:gridCol w:w="1092"/>
        <w:gridCol w:w="110"/>
        <w:gridCol w:w="109"/>
        <w:gridCol w:w="109"/>
        <w:gridCol w:w="109"/>
        <w:gridCol w:w="229"/>
        <w:gridCol w:w="1173"/>
        <w:gridCol w:w="171"/>
      </w:tblGrid>
      <w:tr>
        <w:trPr/>
        <w:tc>
          <w:tcPr>
            <w:tcW w:w="2657"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11,007,245 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11,444,693 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6890"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6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14,261,978 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16,944,780 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5,453,836 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6,225,518 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2,066,198 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2,445,276 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32,789,257 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37,060,267 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inventories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9,875,505 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9,253,090 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264,724 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12,793,249 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14,027,921 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Co-commercialization investment</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3,840,700 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3,986,780 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7,618,720 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8,343,832 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2,926,214 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2,973,378 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70,995,020 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76,823,992 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4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16,537,072 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18,567,546 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current liabilities</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467,774 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6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 liabilities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4,487,137 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5,074,504 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12,978,680 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12,635,095 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34,488,051 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36,744,919 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 - long term</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5,240,733 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5,240,733 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non-current liabilities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4,343,892 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4,471,965 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5,619,332 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5,822,153 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49,692,008 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52,279,770 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no par value; 100,000,000 shares authorized; 14,983,107 and 14,956,627 shares issued and outstanding as of March 31, 2026, and December 31, 2025, respectively</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51,730,222 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51,684,381 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(30,093,698)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(26,804,059)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21,636,524 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24,880,322 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(333,512)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21,303,012 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24,544,222 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70,995,020 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76,823,992 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100" w:after="283"/>
        <w:jc w:val="center"/>
        <w:rPr/>
      </w:pPr>
      <w:r>
        <w:rPr/>
      </w:r>
    </w:p>
    <w:p>
      <w:pPr>
        <w:pStyle w:val="TextBody"/>
        <w:bidi w:val="0"/>
        <w:spacing w:before="0" w:after="0"/>
        <w:jc w:val="left"/>
        <w:rPr/>
      </w:pPr>
      <w:r>
        <w:rPr/>
      </w:r>
    </w:p>
    <w:tbl>
      <w:tblPr>
        <w:tblW w:w="9385" w:type="dxa"/>
        <w:jc w:val="left"/>
        <w:tblInd w:w="0" w:type="dxa"/>
        <w:tblLayout w:type="fixed"/>
        <w:tblCellMar>
          <w:top w:w="28" w:type="dxa"/>
          <w:left w:w="28" w:type="dxa"/>
          <w:bottom w:w="28" w:type="dxa"/>
          <w:right w:w="28" w:type="dxa"/>
        </w:tblCellMar>
      </w:tblPr>
      <w:tblGrid>
        <w:gridCol w:w="2098"/>
        <w:gridCol w:w="1851"/>
        <w:gridCol w:w="1856"/>
        <w:gridCol w:w="211"/>
        <w:gridCol w:w="1051"/>
        <w:gridCol w:w="109"/>
        <w:gridCol w:w="109"/>
        <w:gridCol w:w="109"/>
        <w:gridCol w:w="109"/>
        <w:gridCol w:w="211"/>
        <w:gridCol w:w="1081"/>
        <w:gridCol w:w="109"/>
        <w:gridCol w:w="109"/>
        <w:gridCol w:w="109"/>
        <w:gridCol w:w="109"/>
        <w:gridCol w:w="154"/>
      </w:tblGrid>
      <w:tr>
        <w:trPr/>
        <w:tc>
          <w:tcPr>
            <w:tcW w:w="2098"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11,713,055 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10,421,108 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(3,129,292)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Co-commercialization investment loss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 subsidiary attributable to noncontrolling interests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(3,289,639)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per share attributable to common shareholders</w:t>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basic</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14,942,522 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diluted</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15,259,824 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2565"/>
        <w:gridCol w:w="2229"/>
        <w:gridCol w:w="2236"/>
        <w:gridCol w:w="211"/>
        <w:gridCol w:w="1081"/>
        <w:gridCol w:w="109"/>
        <w:gridCol w:w="109"/>
        <w:gridCol w:w="109"/>
        <w:gridCol w:w="109"/>
        <w:gridCol w:w="211"/>
        <w:gridCol w:w="1081"/>
        <w:gridCol w:w="155"/>
      </w:tblGrid>
      <w:tr>
        <w:trPr/>
        <w:tc>
          <w:tcPr>
            <w:tcW w:w="2565"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7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1,248,184 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1,031,584 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Co-commercialization investment loss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non-cash contingent consideration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surrender value of life insurance policies over premiums paid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assets and liabilities affecting operating activities: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967,399 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and 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current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3,898,517 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and equipment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surrender value of life insurance policies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of investment in manufacturing</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intangible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(1,228,186)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ATM offering,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5,266,334 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line of credit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(10,035,437)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settlement of contingent consideration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made in connection with repurchase of common shares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(245,868)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(5,526,102)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(2,855,771)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17,964,184 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15,108,413 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CUMBERLAND PHARMACEUTICALS INC. AND SUBSIDIARIES</w:t>
      </w:r>
    </w:p>
    <w:p>
      <w:pPr>
        <w:pStyle w:val="TextBody"/>
        <w:bidi w:val="0"/>
        <w:spacing w:lineRule="auto" w:line="288" w:before="80" w:after="283"/>
        <w:jc w:val="center"/>
        <w:rPr>
          <w:rFonts w:ascii="Times New Roman;serif" w:hAnsi="Times New Roman;serif"/>
          <w:b w:val="false"/>
          <w:color w:val="000000"/>
          <w:sz w:val="24"/>
        </w:rPr>
      </w:pPr>
      <w:r>
        <w:rPr>
          <w:rFonts w:ascii="Times New Roman;serif" w:hAnsi="Times New Roman;serif"/>
          <w:b w:val="false"/>
          <w:color w:val="000000"/>
          <w:sz w:val="24"/>
        </w:rPr>
        <w:t>Reconciliation of Net Income (loss) Attributable to Common Shareholders to Adjusted Earnings (loss) and Adjusted Diluted Earnings (loss) Per Share</w:t>
      </w:r>
    </w:p>
    <w:p>
      <w:pPr>
        <w:pStyle w:val="TextBody"/>
        <w:bidi w:val="0"/>
        <w:spacing w:lineRule="auto" w:line="288" w:before="80" w:after="283"/>
        <w:jc w:val="center"/>
        <w:rPr>
          <w:rFonts w:ascii="Times New Roman;serif" w:hAnsi="Times New Roman;serif"/>
          <w:b w:val="false"/>
          <w:color w:val="000000"/>
          <w:sz w:val="24"/>
        </w:rPr>
      </w:pPr>
      <w:r>
        <w:rPr>
          <w:rFonts w:ascii="Times New Roman;serif" w:hAnsi="Times New Roman;serif"/>
          <w:b w:val="false"/>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1271"/>
        <w:gridCol w:w="914"/>
        <w:gridCol w:w="918"/>
        <w:gridCol w:w="109"/>
        <w:gridCol w:w="109"/>
        <w:gridCol w:w="109"/>
        <w:gridCol w:w="214"/>
        <w:gridCol w:w="1027"/>
        <w:gridCol w:w="110"/>
        <w:gridCol w:w="110"/>
        <w:gridCol w:w="110"/>
        <w:gridCol w:w="110"/>
        <w:gridCol w:w="510"/>
        <w:gridCol w:w="848"/>
        <w:gridCol w:w="159"/>
        <w:gridCol w:w="109"/>
        <w:gridCol w:w="109"/>
        <w:gridCol w:w="109"/>
        <w:gridCol w:w="218"/>
        <w:gridCol w:w="1011"/>
        <w:gridCol w:w="112"/>
        <w:gridCol w:w="112"/>
        <w:gridCol w:w="112"/>
        <w:gridCol w:w="112"/>
        <w:gridCol w:w="538"/>
        <w:gridCol w:w="792"/>
        <w:gridCol w:w="243"/>
      </w:tblGrid>
      <w:tr>
        <w:trPr/>
        <w:tc>
          <w:tcPr>
            <w:tcW w:w="127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Earnings impact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Earnings per share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Earnings impact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Earnings per share impact</w:t>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(3,289,639)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1,257,068 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 subsidiary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(3,287,051)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1,248,184 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1,276,283 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1,031,584 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Share-based compensation </w:t>
            </w:r>
            <w:r>
              <w:rPr>
                <w:rFonts w:ascii="Times New Roman;serif" w:hAnsi="Times New Roman;serif"/>
                <w:b w:val="false"/>
                <w:color w:val="000000"/>
                <w:sz w:val="13"/>
              </w:rPr>
              <w:t xml:space="preserve">(a)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(125,709)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(1,892,247)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2,397,743 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14,960,210 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15,259,824 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Additional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Reduction in the carrying amount of right-of-use assets </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of intangible and right-of-use assets,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The Company defines these supplemental financial measures as follows: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4"/>
        </w:rPr>
        <w:t xml:space="preserve">Adjusted Earnings (loss): </w:t>
      </w:r>
      <w:r>
        <w:rPr>
          <w:rFonts w:ascii="Times New Roman;serif" w:hAnsi="Times New Roman;serif"/>
          <w:b w:val="false"/>
          <w:color w:val="000000"/>
          <w:sz w:val="24"/>
        </w:rPr>
        <w:t xml:space="preserve">Net income (loss) adjusted for the impact of income taxes, depreciation and amortization expense, share-based compensation, interest income and interest expense. </w:t>
      </w:r>
    </w:p>
    <w:p>
      <w:pPr>
        <w:pStyle w:val="TextBody"/>
        <w:bidi w:val="0"/>
        <w:spacing w:lineRule="auto" w:line="288" w:before="160" w:after="283"/>
        <w:jc w:val="left"/>
        <w:rPr>
          <w:rFonts w:ascii="Times New Roman;serif" w:hAnsi="Times New Roman;serif"/>
          <w:b w:val="false"/>
          <w:color w:val="000000"/>
          <w:sz w:val="24"/>
        </w:rPr>
      </w:pPr>
      <w:r>
        <w:rPr>
          <w:rFonts w:ascii="Times New Roman;serif" w:hAnsi="Times New Roman;serif"/>
          <w:b w:val="false"/>
          <w:color w:val="000000"/>
          <w:sz w:val="24"/>
        </w:rPr>
        <w:t>(a)    Represents the share-based compensation of Cumberland.</w:t>
      </w:r>
    </w:p>
    <w:p>
      <w:pPr>
        <w:pStyle w:val="TextBody"/>
        <w:bidi w:val="0"/>
        <w:spacing w:lineRule="auto" w:line="288" w:before="160" w:after="283"/>
        <w:jc w:val="left"/>
        <w:rPr>
          <w:rFonts w:ascii="Times New Roman;serif" w:hAnsi="Times New Roman;serif"/>
          <w:b w:val="false"/>
          <w:color w:val="000000"/>
          <w:sz w:val="24"/>
        </w:rPr>
      </w:pPr>
      <w:r>
        <w:rPr>
          <w:rFonts w:ascii="Times New Roman;serif" w:hAnsi="Times New Roman;serif"/>
          <w:b w:val="false"/>
          <w:color w:val="000000"/>
          <w:sz w:val="24"/>
        </w:rPr>
        <w:t>(b)    Represents the straight line reduction in carrying value of right-of-use assets.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4"/>
        </w:rPr>
        <w:t>Adjusted Diluted Earnings (loss) Per Share:</w:t>
      </w:r>
      <w:r>
        <w:rPr>
          <w:color w:val="000000"/>
        </w:rPr>
        <w:t xml:space="preserve"> </w:t>
      </w:r>
      <w:r>
        <w:rPr>
          <w:rFonts w:ascii="Times New Roman;serif" w:hAnsi="Times New Roman;serif"/>
          <w:b w:val="false"/>
          <w:color w:val="000000"/>
          <w:sz w:val="24"/>
        </w:rPr>
        <w:t xml:space="preserve">Adjusted Earnings (loss) divided by diluted weighted-average common shares outstanding. </w:t>
      </w:r>
    </w:p>
    <w:p>
      <w:pPr>
        <w:pStyle w:val="TextBody"/>
        <w:bidi w:val="0"/>
        <w:spacing w:before="0" w:after="0"/>
        <w:jc w:val="both"/>
        <w:rPr/>
      </w:pPr>
      <w:r>
        <w:rPr/>
      </w:r>
    </w:p>
    <w:p>
      <w:pPr>
        <w:pStyle w:val="TextBody"/>
        <w:bidi w:val="0"/>
        <w:spacing w:before="16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3653</Words>
  <Characters>22974</Characters>
  <CharactersWithSpaces>26370</CharactersWithSpaces>
  <Paragraphs>498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