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11, 2021 (May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9"/>
        </w:trPr>
        <w:tc>
          <w:tcPr>
            <w:tcW w:w="3340" w:type="dxa"/>
            <w:vAlign w:val="bottom"/>
            <w:gridSpan w:val="3"/>
          </w:tcPr>
          <w:p>
            <w:pPr>
              <w:jc w:val="center"/>
              <w:ind w:right="800"/>
              <w:spacing w:after="0"/>
              <w:rPr>
                <w:sz w:val="20"/>
                <w:szCs w:val="20"/>
                <w:color w:val="auto"/>
              </w:rPr>
            </w:pPr>
            <w:r>
              <w:rPr>
                <w:rFonts w:ascii="Arial" w:cs="Arial" w:eastAsia="Arial" w:hAnsi="Arial"/>
                <w:sz w:val="14"/>
                <w:szCs w:val="14"/>
                <w:color w:val="auto"/>
                <w:w w:val="95"/>
              </w:rPr>
              <w:t>(State or other jurisdiction of incorporation)</w:t>
            </w:r>
          </w:p>
        </w:tc>
        <w:tc>
          <w:tcPr>
            <w:tcW w:w="316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08"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46"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46" w:lineRule="exact"/>
        <w:rPr>
          <w:rFonts w:ascii="Arial" w:cs="Arial" w:eastAsia="Arial" w:hAnsi="Arial"/>
          <w:sz w:val="18"/>
          <w:szCs w:val="18"/>
          <w:color w:val="auto"/>
        </w:rPr>
      </w:pPr>
    </w:p>
    <w:p>
      <w:pPr>
        <w:ind w:right="2040" w:firstLine="552"/>
        <w:spacing w:after="0" w:line="508" w:lineRule="auto"/>
        <w:tabs>
          <w:tab w:leader="none" w:pos="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gridSpan w:val="2"/>
          </w:tcPr>
          <w:p>
            <w:pPr>
              <w:ind w:left="1560"/>
              <w:spacing w:after="0"/>
              <w:rPr>
                <w:sz w:val="20"/>
                <w:szCs w:val="20"/>
                <w:color w:val="auto"/>
              </w:rPr>
            </w:pPr>
            <w:r>
              <w:rPr>
                <w:rFonts w:ascii="Arial" w:cs="Arial" w:eastAsia="Arial" w:hAnsi="Arial"/>
                <w:sz w:val="18"/>
                <w:szCs w:val="18"/>
                <w:color w:val="auto"/>
              </w:rPr>
              <w:t>Class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24"/>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no par value</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7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1000" w:right="4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On May 11, 2021, Cumberland Pharmaceuticals Inc. (the "Company") issued a press release which provided a company update and the financial results for the three months ended March 31, 2021. A copy of the press release is attached as </w:t>
      </w:r>
      <w:hyperlink w:anchor="page4">
        <w:r>
          <w:rPr>
            <w:rFonts w:ascii="Arial" w:cs="Arial" w:eastAsia="Arial" w:hAnsi="Arial"/>
            <w:sz w:val="20"/>
            <w:szCs w:val="20"/>
            <w:u w:val="single" w:color="auto"/>
            <w:color w:val="0000FF"/>
          </w:rPr>
          <w:t>Exhibit 99.1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this Current Report on Form 8-K and is incorporated by reference into this Item 2.02.</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5760" w:type="dxa"/>
            <w:vAlign w:val="bottom"/>
            <w:gridSpan w:val="3"/>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351"/>
        </w:trPr>
        <w:tc>
          <w:tcPr>
            <w:tcW w:w="320" w:type="dxa"/>
            <w:vAlign w:val="bottom"/>
            <w:tcBorders>
              <w:top w:val="single" w:sz="8" w:color="auto"/>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3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760" w:type="dxa"/>
            <w:vAlign w:val="bottom"/>
            <w:tcBorders>
              <w:top w:val="single" w:sz="8" w:color="auto"/>
            </w:tcBorders>
            <w:gridSpan w:val="3"/>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May 11, 2021</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ectPr>
          <w:pgSz w:w="11900" w:h="16838" w:orient="portrait"/>
          <w:cols w:equalWidth="0" w:num="1">
            <w:col w:w="11240"/>
          </w:cols>
          <w:pgMar w:left="320" w:top="1093" w:right="339" w:bottom="1440" w:gutter="0" w:footer="0" w:header="0"/>
        </w:sectPr>
      </w:pPr>
    </w:p>
    <w:bookmarkStart w:id="2" w:name="page3"/>
    <w:bookmarkEnd w:id="2"/>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6920" w:type="dxa"/>
            <w:vAlign w:val="bottom"/>
            <w:gridSpan w:val="2"/>
          </w:tcPr>
          <w:p>
            <w:pPr>
              <w:ind w:left="274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40" w:type="dxa"/>
            <w:vAlign w:val="bottom"/>
          </w:tcPr>
          <w:p>
            <w:pPr>
              <w:spacing w:after="0"/>
              <w:rPr>
                <w:sz w:val="20"/>
                <w:szCs w:val="20"/>
                <w:color w:val="auto"/>
              </w:rPr>
            </w:pPr>
            <w:r>
              <w:rPr>
                <w:rFonts w:ascii="Arial" w:cs="Arial" w:eastAsia="Arial" w:hAnsi="Arial"/>
                <w:sz w:val="18"/>
                <w:szCs w:val="18"/>
                <w:color w:val="auto"/>
              </w:rPr>
              <w:t>Dated: May 11, 2021</w:t>
            </w:r>
          </w:p>
        </w:tc>
        <w:tc>
          <w:tcPr>
            <w:tcW w:w="4100" w:type="dxa"/>
            <w:vAlign w:val="bottom"/>
          </w:tcPr>
          <w:p>
            <w:pPr>
              <w:ind w:left="274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Bonner</w:t>
            </w:r>
          </w:p>
        </w:tc>
      </w:tr>
      <w:tr>
        <w:trPr>
          <w:trHeight w:val="222"/>
        </w:trPr>
        <w:tc>
          <w:tcPr>
            <w:tcW w:w="42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Michael Bonner</w:t>
            </w:r>
          </w:p>
        </w:tc>
      </w:tr>
      <w:tr>
        <w:trPr>
          <w:trHeight w:val="230"/>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CUMBERLAND PHARMACEUTICALS REPORTS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2021 FINANCIAL RESULTS &amp; COMPANY UPDATE</w:t>
      </w:r>
    </w:p>
    <w:p>
      <w:pPr>
        <w:spacing w:after="0" w:line="38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NASHVILLE, Tennessee (Tuesday, May 11, 2021) - Cumberland Pharmaceuticals Inc. (NASDAQ: CPIX)</w:t>
      </w:r>
      <w:r>
        <w:rPr>
          <w:rFonts w:ascii="Arial" w:cs="Arial" w:eastAsia="Arial" w:hAnsi="Arial"/>
          <w:sz w:val="22"/>
          <w:szCs w:val="22"/>
          <w:color w:val="auto"/>
        </w:rPr>
        <w:t>, a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company, today is providing a company update and first quarter 2021 financial results. Net revenues from continuing operations during the quarter were $10.5 million, a 26.5% increase over the prior year period. The company also recorded an additional $500,000 in revenue during the first quarter associated with divested product rights for two brands it is no longer distributing.</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Company's financial position included $93 million in total assets - with $25 million in cash, $46 million of total liabilities, and $47 million of shareholders’ equity at the end of the quarter.</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"As the novel coronavirus continues to affect lives over a year after its arrival in the U.S., we remain hopeful, as an overall reopening of our country is now in progress," said A.J. Kazimi, Chief Executive Officer of Cumberland Pharmaceuticals. “Given all the challenges of operating a business in the wake of a pandemic, Cumberland was able to generate solid financial performance by adjusting our market strategies, retooling our sales communications and reinventing the way in which we operate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Case Studies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Cumberland’s Vibativ product has been used across the country to help COVID-19 patients who develop secondary bacterial infections in their lungs. Vibativ is a patented, FDA-approved injectable anti-infective for the treatment of certain serious bacterial infections including hospital-acquired and ventilator-associated bacterial pneumonia that can result from COVID-19, flu, and other infections.</w:t>
      </w:r>
    </w:p>
    <w:p>
      <w:pPr>
        <w:spacing w:after="0" w:line="134" w:lineRule="exact"/>
        <w:rPr>
          <w:sz w:val="20"/>
          <w:szCs w:val="20"/>
          <w:color w:val="auto"/>
        </w:rPr>
      </w:pPr>
    </w:p>
    <w:p>
      <w:pPr>
        <w:ind w:right="640"/>
        <w:spacing w:after="0" w:line="312" w:lineRule="auto"/>
        <w:rPr>
          <w:sz w:val="20"/>
          <w:szCs w:val="20"/>
          <w:color w:val="auto"/>
        </w:rPr>
      </w:pPr>
      <w:r>
        <w:rPr>
          <w:rFonts w:ascii="Arial" w:cs="Arial" w:eastAsia="Arial" w:hAnsi="Arial"/>
          <w:sz w:val="19"/>
          <w:szCs w:val="19"/>
          <w:color w:val="auto"/>
        </w:rPr>
        <w:t>The Company subsequently compiled a dossier of patient case studies from across the country outlining several real-world instances where Vibativ effectively and safely treated the hospital-acquired bacterial pneumonia and ventilator-associated bacterial pneumonia resulting from MSSA and MRSA infections that developed in patients hospitalized with COVID-19.</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Launch</w:t>
      </w:r>
    </w:p>
    <w:p>
      <w:pPr>
        <w:spacing w:after="0" w:line="10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 is now finalizing plans for the full launch of its FDA-approved RediTrex product line. RediTrex is approved for patients with severe, active rheumatoid arthritis and polyarticular juvenile idiopathic arthritis who have difficulty tolerating or responding to orally delivered methotrexate. It is also approved for symptomatic control of severe, recalcitrant, disabling psoriasis in adults who are not adequately responsive to other forms of therapy. Cumberland initially implemented a soft launch during the fourth quarter of 2020 and is currently planning a national launch of the product line during the second half of 2021, once additional product supplies are received and market conditions return to normal.</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Hyponatremia Publication in Support of Vaprisol</w:t>
      </w:r>
      <w:r>
        <w:rPr>
          <w:rFonts w:ascii="Arial" w:cs="Arial" w:eastAsia="Arial" w:hAnsi="Arial"/>
          <w:sz w:val="28"/>
          <w:szCs w:val="28"/>
          <w:b w:val="1"/>
          <w:bCs w:val="1"/>
          <w:color w:val="auto"/>
          <w:vertAlign w:val="superscript"/>
        </w:rPr>
        <w:t>®</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 recent study publication called Health Outcome Predictive Evaluation (HOPE) COVID-19 Registry Analysis, an international study of over 4,000 patients, found that patients hospitalized with COVID-19 had a high risk of developing hyponatremia. These COVID-19 patients also had a higher incidence of mortality due to their hyponatremia. The study results support the use of an intravenous vaptan to treat hyponatremia in critically ill patients afflicted with COVID-19.</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Hyponatremia, an imbalance of serum sodium to body water, is the most common electrolyte disorder among hospitalized patients. Cumberland’s Vaprisol product is one of two branded prescription products indicated for the treatment of hyponatremia, and the only intravenously administered branded treatment. Vaprisol has a proven day-1 response to help normalize serum sodium levels in hyponatremic patients and move them out of the ICU as efficiently as possible.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 xml:space="preserve">Net Revenues: </w:t>
      </w:r>
      <w:r>
        <w:rPr>
          <w:rFonts w:ascii="Arial" w:cs="Arial" w:eastAsia="Arial" w:hAnsi="Arial"/>
          <w:sz w:val="22"/>
          <w:szCs w:val="22"/>
          <w:color w:val="auto"/>
        </w:rPr>
        <w:t>For the three months ended March 31, 2021, net revenues from ongoing operations were $10.5 million, up</w:t>
      </w:r>
      <w:r>
        <w:rPr>
          <w:rFonts w:ascii="Arial" w:cs="Arial" w:eastAsia="Arial" w:hAnsi="Arial"/>
          <w:sz w:val="22"/>
          <w:szCs w:val="22"/>
          <w:b w:val="1"/>
          <w:bCs w:val="1"/>
          <w:color w:val="auto"/>
        </w:rPr>
        <w:t xml:space="preserve"> </w:t>
      </w:r>
      <w:r>
        <w:rPr>
          <w:rFonts w:ascii="Arial" w:cs="Arial" w:eastAsia="Arial" w:hAnsi="Arial"/>
          <w:sz w:val="22"/>
          <w:szCs w:val="22"/>
          <w:color w:val="auto"/>
        </w:rPr>
        <w:t>26.5% from $8.3 million for the prior year period. The company also recorded an additional $500,000 in revenue during the first quarter associated with divested product rights.</w:t>
      </w:r>
    </w:p>
    <w:p>
      <w:pPr>
        <w:spacing w:after="0" w:line="128" w:lineRule="exact"/>
        <w:rPr>
          <w:sz w:val="20"/>
          <w:szCs w:val="20"/>
          <w:color w:val="auto"/>
        </w:rPr>
      </w:pPr>
    </w:p>
    <w:p>
      <w:pPr>
        <w:jc w:val="both"/>
        <w:ind w:right="80"/>
        <w:spacing w:after="0" w:line="234" w:lineRule="auto"/>
        <w:rPr>
          <w:sz w:val="20"/>
          <w:szCs w:val="20"/>
          <w:color w:val="auto"/>
        </w:rPr>
      </w:pPr>
      <w:r>
        <w:rPr>
          <w:rFonts w:ascii="Arial" w:cs="Arial" w:eastAsia="Arial" w:hAnsi="Arial"/>
          <w:sz w:val="22"/>
          <w:szCs w:val="22"/>
          <w:color w:val="auto"/>
        </w:rPr>
        <w:t>Net revenue by product for the three months ended March 31, 2021, included $5.1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$3.0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$1.5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and $1.1 million for Vaprisol</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41"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three months ended March 31, 2021, were $10.9 million,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$10.2 million during the prior year period. This increase in expenses resulted primarily from the additional cost of goods associated with our growth in Vibativ sales during the quarter.</w:t>
      </w:r>
    </w:p>
    <w:p>
      <w:pPr>
        <w:spacing w:after="0" w:line="122" w:lineRule="exact"/>
        <w:rPr>
          <w:sz w:val="20"/>
          <w:szCs w:val="20"/>
          <w:color w:val="auto"/>
        </w:rPr>
      </w:pPr>
    </w:p>
    <w:p>
      <w:pPr>
        <w:jc w:val="both"/>
        <w:ind w:right="80"/>
        <w:spacing w:after="0" w:line="269" w:lineRule="auto"/>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Net income for the first quarter 2021 was $0.2 million or $0.01 a share, compared to a loss of $1.1 million or $0.07 a</w:t>
      </w:r>
      <w:r>
        <w:rPr>
          <w:rFonts w:ascii="Arial" w:cs="Arial" w:eastAsia="Arial" w:hAnsi="Arial"/>
          <w:sz w:val="22"/>
          <w:szCs w:val="22"/>
          <w:b w:val="1"/>
          <w:bCs w:val="1"/>
          <w:color w:val="auto"/>
        </w:rPr>
        <w:t xml:space="preserve"> </w:t>
      </w:r>
      <w:r>
        <w:rPr>
          <w:rFonts w:ascii="Arial" w:cs="Arial" w:eastAsia="Arial" w:hAnsi="Arial"/>
          <w:sz w:val="22"/>
          <w:szCs w:val="22"/>
          <w:color w:val="auto"/>
        </w:rPr>
        <w:t>share for the prior year period.</w:t>
      </w:r>
    </w:p>
    <w:p>
      <w:pPr>
        <w:spacing w:after="0" w:line="114" w:lineRule="exact"/>
        <w:rPr>
          <w:sz w:val="20"/>
          <w:szCs w:val="20"/>
          <w:color w:val="auto"/>
        </w:rPr>
      </w:pPr>
    </w:p>
    <w:p>
      <w:pPr>
        <w:jc w:val="both"/>
        <w:ind w:right="80"/>
        <w:spacing w:after="0" w:line="263" w:lineRule="auto"/>
        <w:rPr>
          <w:sz w:val="20"/>
          <w:szCs w:val="20"/>
          <w:color w:val="auto"/>
        </w:rPr>
      </w:pPr>
      <w:r>
        <w:rPr>
          <w:rFonts w:ascii="Arial" w:cs="Arial" w:eastAsia="Arial" w:hAnsi="Arial"/>
          <w:sz w:val="22"/>
          <w:szCs w:val="22"/>
          <w:color w:val="auto"/>
        </w:rPr>
        <w:t>Adjusted Earnings for the first quarter were $1.1 million or $0.07 per diluted share, compared to a loss of $0.4 million or $0.03 per diluted share for the prior year period.</w:t>
      </w:r>
    </w:p>
    <w:p>
      <w:pPr>
        <w:spacing w:after="0" w:line="115"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March 31, 2021, Cumberland had $93.3 million in total assets including $24.9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Total liabilities were $46.5 million, including $15.0 million outstanding on the Company's revolving line of credit, resulting in total shareholders' equity of $47.0 million.</w:t>
      </w:r>
    </w:p>
    <w:p>
      <w:pPr>
        <w:sectPr>
          <w:pgSz w:w="11900" w:h="16838" w:orient="portrait"/>
          <w:cols w:equalWidth="0" w:num="1">
            <w:col w:w="11240"/>
          </w:cols>
          <w:pgMar w:left="320" w:top="118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Conference Call and Webcast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conference call and live internet webcast will be held on Tuesday, May 11, at 4:30 p.m. Eastern Time to discuss the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7973325. The live webcast and rebroadcast can be accessed via Cumberland’s website at http://investor.shareholder.com/cpix/events.cfm.</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Cumberland Pharmaceuticals Inc. is a specialty pharmaceutical company focused on the delivery of high quality prescription brands to improve patient care. The Company develops, acquires and commercializes brands for the hospital acute care, gastroenterology and rheumatology market segments. These medical specialties are categorized by moderately concentrated prescriber bases that the Company believes can be penetrated effectively by targeted sales forces. The Company’s portfolio of FDA-approved brands includes:</w:t>
      </w:r>
    </w:p>
    <w:p>
      <w:pPr>
        <w:spacing w:after="0" w:line="126"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96"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20"/>
          <w:szCs w:val="20"/>
          <w:b w:val="1"/>
          <w:bCs w:val="1"/>
          <w:color w:val="auto"/>
        </w:rPr>
        <w:t>Kristalose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lactulose</w:t>
      </w:r>
      <w:r>
        <w:rPr>
          <w:rFonts w:ascii="Arial" w:cs="Arial" w:eastAsia="Arial" w:hAnsi="Arial"/>
          <w:sz w:val="20"/>
          <w:szCs w:val="20"/>
          <w:color w:val="auto"/>
        </w:rPr>
        <w:t>) for Oral Solution, a prescription laxative, for the treatment of chronic and acute constipation;</w:t>
      </w:r>
    </w:p>
    <w:p>
      <w:pPr>
        <w:spacing w:after="0" w:line="119" w:lineRule="exact"/>
        <w:rPr>
          <w:rFonts w:ascii="Arial" w:cs="Arial" w:eastAsia="Arial" w:hAnsi="Arial"/>
          <w:sz w:val="17"/>
          <w:szCs w:val="17"/>
          <w:color w:val="auto"/>
        </w:rPr>
      </w:pPr>
    </w:p>
    <w:p>
      <w:pPr>
        <w:ind w:left="580" w:right="380" w:hanging="329"/>
        <w:spacing w:after="0" w:line="254" w:lineRule="auto"/>
        <w:tabs>
          <w:tab w:leader="none" w:pos="575" w:val="left"/>
        </w:tabs>
        <w:numPr>
          <w:ilvl w:val="0"/>
          <w:numId w:val="2"/>
        </w:numPr>
        <w:rPr>
          <w:rFonts w:ascii="Arial" w:cs="Arial" w:eastAsia="Arial" w:hAnsi="Arial"/>
          <w:sz w:val="17"/>
          <w:szCs w:val="17"/>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15" w:lineRule="exact"/>
        <w:rPr>
          <w:rFonts w:ascii="Arial" w:cs="Arial" w:eastAsia="Arial" w:hAnsi="Arial"/>
          <w:sz w:val="17"/>
          <w:szCs w:val="17"/>
          <w:color w:val="auto"/>
        </w:rPr>
      </w:pPr>
    </w:p>
    <w:p>
      <w:pPr>
        <w:ind w:left="580" w:right="680" w:hanging="329"/>
        <w:spacing w:after="0" w:line="226" w:lineRule="auto"/>
        <w:tabs>
          <w:tab w:leader="none" w:pos="575"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33" w:lineRule="exact"/>
        <w:rPr>
          <w:rFonts w:ascii="Arial" w:cs="Arial" w:eastAsia="Arial" w:hAnsi="Arial"/>
          <w:sz w:val="18"/>
          <w:szCs w:val="18"/>
          <w:color w:val="auto"/>
        </w:rPr>
      </w:pPr>
    </w:p>
    <w:p>
      <w:pPr>
        <w:ind w:left="580" w:right="380" w:hanging="329"/>
        <w:spacing w:after="0" w:line="226" w:lineRule="auto"/>
        <w:tabs>
          <w:tab w:leader="none" w:pos="575"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w:t>
      </w:r>
    </w:p>
    <w:p>
      <w:pPr>
        <w:spacing w:after="0" w:line="133" w:lineRule="exact"/>
        <w:rPr>
          <w:rFonts w:ascii="Arial" w:cs="Arial" w:eastAsia="Arial" w:hAnsi="Arial"/>
          <w:sz w:val="18"/>
          <w:szCs w:val="18"/>
          <w:color w:val="auto"/>
        </w:rPr>
      </w:pPr>
    </w:p>
    <w:p>
      <w:pPr>
        <w:ind w:left="580" w:right="380" w:hanging="329"/>
        <w:spacing w:after="0" w:line="226" w:lineRule="auto"/>
        <w:tabs>
          <w:tab w:leader="none" w:pos="575"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 and</w:t>
      </w:r>
    </w:p>
    <w:p>
      <w:pPr>
        <w:spacing w:after="0" w:line="133"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108" w:lineRule="exact"/>
        <w:rPr>
          <w:sz w:val="20"/>
          <w:szCs w:val="20"/>
          <w:color w:val="auto"/>
        </w:rPr>
      </w:pPr>
    </w:p>
    <w:p>
      <w:pPr>
        <w:jc w:val="both"/>
        <w:ind w:right="240"/>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links to the individual product websites,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121"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The Company has Phase II clinical programs underway evaluating its ifetroban product candidates in patients with cardiomyopathy associated with Duchenne Muscular Dystrophy (“DMD”), Systemic Sclerosis (“SSc”), and Aspirin-Exacerbated Respiratory Disease ("AERD").</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w:t>
      </w:r>
    </w:p>
    <w:p>
      <w:pPr>
        <w:sectPr>
          <w:pgSz w:w="11900" w:h="16838" w:orient="portrait"/>
          <w:cols w:equalWidth="0" w:num="1">
            <w:col w:w="11240"/>
          </w:cols>
          <w:pgMar w:left="320" w:top="949"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22"/>
          <w:szCs w:val="22"/>
          <w:color w:val="auto"/>
        </w:rPr>
        <w:t xml:space="preserve">peri-operative period in the setting of coronary artery bypass graft (CABG) surgery. For full prescribing and safety information, including boxed warning, visit </w:t>
      </w:r>
      <w:r>
        <w:rPr>
          <w:rFonts w:ascii="Arial" w:cs="Arial" w:eastAsia="Arial" w:hAnsi="Arial"/>
          <w:sz w:val="22"/>
          <w:szCs w:val="22"/>
          <w:u w:val="single" w:color="auto"/>
          <w:color w:val="0000FF"/>
        </w:rPr>
        <w:t>www.caldolor.com</w:t>
      </w:r>
      <w:r>
        <w:rPr>
          <w:rFonts w:ascii="Arial" w:cs="Arial" w:eastAsia="Arial" w:hAnsi="Arial"/>
          <w:sz w:val="22"/>
          <w:szCs w:val="22"/>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Arial" w:cs="Arial" w:eastAsia="Arial" w:hAnsi="Arial"/>
          <w:sz w:val="19"/>
          <w:szCs w:val="19"/>
          <w:u w:val="single" w:color="auto"/>
          <w:color w:val="0000FF"/>
        </w:rPr>
        <w:t>www.kristalose.com</w:t>
      </w:r>
      <w:r>
        <w:rPr>
          <w:rFonts w:ascii="Arial" w:cs="Arial" w:eastAsia="Arial" w:hAnsi="Arial"/>
          <w:sz w:val="19"/>
          <w:szCs w:val="19"/>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108"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19"/>
          <w:szCs w:val="19"/>
          <w:u w:val="single" w:color="auto"/>
          <w:color w:val="0563C1"/>
        </w:rPr>
        <w:t>www.vibativ.com.</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t>
      </w:r>
      <w:r>
        <w:rPr>
          <w:rFonts w:ascii="Arial" w:cs="Arial" w:eastAsia="Arial" w:hAnsi="Arial"/>
          <w:sz w:val="22"/>
          <w:szCs w:val="22"/>
          <w:u w:val="single" w:color="auto"/>
          <w:color w:val="0563C1"/>
        </w:rPr>
        <w:t>www.reditrex.com</w:t>
      </w:r>
      <w:r>
        <w:rPr>
          <w:rFonts w:ascii="Arial" w:cs="Arial" w:eastAsia="Arial" w:hAnsi="Arial"/>
          <w:sz w:val="22"/>
          <w:szCs w:val="22"/>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Arial" w:cs="Arial" w:eastAsia="Arial" w:hAnsi="Arial"/>
          <w:sz w:val="22"/>
          <w:szCs w:val="22"/>
          <w:u w:val="single" w:color="auto"/>
          <w:color w:val="0563C1"/>
        </w:rPr>
        <w:t>www.vaprisol.com</w:t>
      </w:r>
      <w:r>
        <w:rPr>
          <w:rFonts w:ascii="Arial" w:cs="Arial" w:eastAsia="Arial" w:hAnsi="Arial"/>
          <w:sz w:val="22"/>
          <w:szCs w:val="22"/>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Arial" w:cs="Arial" w:eastAsia="Arial" w:hAnsi="Arial"/>
          <w:sz w:val="22"/>
          <w:szCs w:val="22"/>
          <w:u w:val="single" w:color="auto"/>
          <w:color w:val="0000FF"/>
        </w:rPr>
        <w:t>www.omeclamox.com</w:t>
      </w:r>
      <w:r>
        <w:rPr>
          <w:rFonts w:ascii="Arial" w:cs="Arial" w:eastAsia="Arial" w:hAnsi="Arial"/>
          <w:sz w:val="22"/>
          <w:szCs w:val="22"/>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Acetadote, administered intravenously within 8 to 10 hours after ingestion of a potentially hepatotoxic quantity of acetaminophen, is indicated to prevent or lessen hepatic injury. Used in the emergency</w:t>
      </w:r>
    </w:p>
    <w:p>
      <w:pPr>
        <w:sectPr>
          <w:pgSz w:w="11900" w:h="16838" w:orient="portrait"/>
          <w:cols w:equalWidth="0" w:num="1">
            <w:col w:w="11240"/>
          </w:cols>
          <w:pgMar w:left="320" w:top="955" w:right="339" w:bottom="1440" w:gutter="0" w:footer="0" w:header="0"/>
        </w:sectPr>
      </w:pPr>
    </w:p>
    <w:bookmarkStart w:id="7" w:name="page8"/>
    <w:bookmarkEnd w:id="7"/>
    <w:p>
      <w:pPr>
        <w:jc w:val="both"/>
        <w:spacing w:after="0" w:line="312" w:lineRule="auto"/>
        <w:rPr>
          <w:sz w:val="20"/>
          <w:szCs w:val="20"/>
          <w:color w:val="auto"/>
        </w:rPr>
      </w:pPr>
      <w:r>
        <w:rPr>
          <w:rFonts w:ascii="Arial" w:cs="Arial" w:eastAsia="Arial" w:hAnsi="Arial"/>
          <w:sz w:val="19"/>
          <w:szCs w:val="19"/>
          <w:color w:val="auto"/>
        </w:rPr>
        <w:t xml:space="preserve">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Arial" w:cs="Arial" w:eastAsia="Arial" w:hAnsi="Arial"/>
          <w:sz w:val="19"/>
          <w:szCs w:val="19"/>
          <w:u w:val="single" w:color="auto"/>
          <w:color w:val="0000FF"/>
        </w:rPr>
        <w:t>www.acetadote.com</w:t>
      </w:r>
      <w:r>
        <w:rPr>
          <w:rFonts w:ascii="Arial" w:cs="Arial" w:eastAsia="Arial" w:hAnsi="Arial"/>
          <w:sz w:val="19"/>
          <w:szCs w:val="19"/>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u w:val="single" w:color="auto"/>
          <w:color w:val="0000FF"/>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5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400" w:type="dxa"/>
            <w:vAlign w:val="bottom"/>
            <w:gridSpan w:val="2"/>
          </w:tcPr>
          <w:p>
            <w:pPr>
              <w:ind w:left="1140"/>
              <w:spacing w:after="0"/>
              <w:rPr>
                <w:sz w:val="20"/>
                <w:szCs w:val="20"/>
                <w:color w:val="auto"/>
              </w:rPr>
            </w:pPr>
            <w:r>
              <w:rPr>
                <w:rFonts w:ascii="Arial" w:cs="Arial" w:eastAsia="Arial" w:hAnsi="Arial"/>
                <w:sz w:val="18"/>
                <w:szCs w:val="18"/>
                <w:b w:val="1"/>
                <w:bCs w:val="1"/>
                <w:color w:val="auto"/>
              </w:rPr>
              <w:t>Media Contacts:</w:t>
            </w:r>
          </w:p>
        </w:tc>
        <w:tc>
          <w:tcPr>
            <w:tcW w:w="2260" w:type="dxa"/>
            <w:vAlign w:val="bottom"/>
          </w:tcPr>
          <w:p>
            <w:pPr>
              <w:spacing w:after="0"/>
              <w:rPr>
                <w:sz w:val="20"/>
                <w:szCs w:val="20"/>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Erin Gull</w:t>
            </w:r>
          </w:p>
        </w:tc>
        <w:tc>
          <w:tcPr>
            <w:tcW w:w="3400" w:type="dxa"/>
            <w:vAlign w:val="bottom"/>
            <w:gridSpan w:val="2"/>
          </w:tcPr>
          <w:p>
            <w:pPr>
              <w:ind w:left="1140"/>
              <w:spacing w:after="0"/>
              <w:rPr>
                <w:sz w:val="20"/>
                <w:szCs w:val="20"/>
                <w:color w:val="auto"/>
              </w:rPr>
            </w:pPr>
            <w:r>
              <w:rPr>
                <w:rFonts w:ascii="Arial" w:cs="Arial" w:eastAsia="Arial" w:hAnsi="Arial"/>
                <w:sz w:val="18"/>
                <w:szCs w:val="18"/>
                <w:color w:val="auto"/>
              </w:rPr>
              <w:t>Jeff Bradford</w:t>
            </w:r>
          </w:p>
        </w:tc>
        <w:tc>
          <w:tcPr>
            <w:tcW w:w="2260" w:type="dxa"/>
            <w:vAlign w:val="bottom"/>
          </w:tcPr>
          <w:p>
            <w:pPr>
              <w:ind w:left="580"/>
              <w:spacing w:after="0"/>
              <w:rPr>
                <w:sz w:val="20"/>
                <w:szCs w:val="20"/>
                <w:color w:val="auto"/>
              </w:rPr>
            </w:pPr>
            <w:r>
              <w:rPr>
                <w:rFonts w:ascii="Arial" w:cs="Arial" w:eastAsia="Arial" w:hAnsi="Arial"/>
                <w:sz w:val="18"/>
                <w:szCs w:val="18"/>
                <w:color w:val="auto"/>
              </w:rPr>
              <w:t>Molly Aggas</w:t>
            </w: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Corporate Relations</w:t>
            </w:r>
          </w:p>
        </w:tc>
        <w:tc>
          <w:tcPr>
            <w:tcW w:w="3400" w:type="dxa"/>
            <w:vAlign w:val="bottom"/>
            <w:gridSpan w:val="2"/>
          </w:tcPr>
          <w:p>
            <w:pPr>
              <w:ind w:left="1140"/>
              <w:spacing w:after="0"/>
              <w:rPr>
                <w:sz w:val="20"/>
                <w:szCs w:val="20"/>
                <w:color w:val="auto"/>
              </w:rPr>
            </w:pPr>
            <w:r>
              <w:rPr>
                <w:rFonts w:ascii="Arial" w:cs="Arial" w:eastAsia="Arial" w:hAnsi="Arial"/>
                <w:sz w:val="18"/>
                <w:szCs w:val="18"/>
                <w:color w:val="auto"/>
              </w:rPr>
              <w:t>Bradford Dalton Group</w:t>
            </w:r>
          </w:p>
        </w:tc>
        <w:tc>
          <w:tcPr>
            <w:tcW w:w="2260" w:type="dxa"/>
            <w:vAlign w:val="bottom"/>
          </w:tcPr>
          <w:p>
            <w:pPr>
              <w:ind w:left="580"/>
              <w:spacing w:after="0"/>
              <w:rPr>
                <w:sz w:val="20"/>
                <w:szCs w:val="20"/>
                <w:color w:val="auto"/>
              </w:rPr>
            </w:pPr>
            <w:r>
              <w:rPr>
                <w:rFonts w:ascii="Arial" w:cs="Arial" w:eastAsia="Arial" w:hAnsi="Arial"/>
                <w:sz w:val="18"/>
                <w:szCs w:val="18"/>
                <w:color w:val="auto"/>
                <w:w w:val="91"/>
              </w:rPr>
              <w:t>Bradford Dalton Group</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(615) 255-0068</w:t>
            </w:r>
          </w:p>
        </w:tc>
        <w:tc>
          <w:tcPr>
            <w:tcW w:w="1540" w:type="dxa"/>
            <w:vAlign w:val="bottom"/>
          </w:tcPr>
          <w:p>
            <w:pPr>
              <w:ind w:left="1140"/>
              <w:spacing w:after="0"/>
              <w:rPr>
                <w:sz w:val="20"/>
                <w:szCs w:val="20"/>
                <w:color w:val="auto"/>
              </w:rPr>
            </w:pPr>
            <w:r>
              <w:rPr>
                <w:rFonts w:ascii="Arial" w:cs="Arial" w:eastAsia="Arial" w:hAnsi="Arial"/>
                <w:sz w:val="18"/>
                <w:szCs w:val="18"/>
                <w:color w:val="auto"/>
                <w:w w:val="90"/>
              </w:rPr>
              <w:t>(615)</w:t>
            </w:r>
          </w:p>
        </w:tc>
        <w:tc>
          <w:tcPr>
            <w:tcW w:w="1860" w:type="dxa"/>
            <w:vAlign w:val="bottom"/>
          </w:tcPr>
          <w:p>
            <w:pPr>
              <w:ind w:left="20"/>
              <w:spacing w:after="0"/>
              <w:rPr>
                <w:sz w:val="20"/>
                <w:szCs w:val="20"/>
                <w:color w:val="auto"/>
              </w:rPr>
            </w:pPr>
            <w:r>
              <w:rPr>
                <w:rFonts w:ascii="Arial" w:cs="Arial" w:eastAsia="Arial" w:hAnsi="Arial"/>
                <w:sz w:val="18"/>
                <w:szCs w:val="18"/>
                <w:color w:val="auto"/>
              </w:rPr>
              <w:t>515-4880 office</w:t>
            </w:r>
          </w:p>
        </w:tc>
        <w:tc>
          <w:tcPr>
            <w:tcW w:w="2260" w:type="dxa"/>
            <w:vAlign w:val="bottom"/>
          </w:tcPr>
          <w:p>
            <w:pPr>
              <w:ind w:left="580"/>
              <w:spacing w:after="0"/>
              <w:rPr>
                <w:sz w:val="20"/>
                <w:szCs w:val="20"/>
                <w:color w:val="auto"/>
              </w:rPr>
            </w:pPr>
            <w:r>
              <w:rPr>
                <w:rFonts w:ascii="Arial" w:cs="Arial" w:eastAsia="Arial" w:hAnsi="Arial"/>
                <w:sz w:val="18"/>
                <w:szCs w:val="18"/>
                <w:color w:val="auto"/>
                <w:w w:val="91"/>
              </w:rPr>
              <w:t>(704) 641-6641 mobile</w:t>
            </w:r>
          </w:p>
        </w:tc>
      </w:tr>
      <w:tr>
        <w:trPr>
          <w:trHeight w:val="230"/>
        </w:trPr>
        <w:tc>
          <w:tcPr>
            <w:tcW w:w="2600" w:type="dxa"/>
            <w:vAlign w:val="bottom"/>
          </w:tcPr>
          <w:p>
            <w:pPr>
              <w:spacing w:after="0"/>
              <w:rPr>
                <w:sz w:val="20"/>
                <w:szCs w:val="20"/>
                <w:color w:val="auto"/>
              </w:rPr>
            </w:pPr>
          </w:p>
        </w:tc>
        <w:tc>
          <w:tcPr>
            <w:tcW w:w="1540" w:type="dxa"/>
            <w:vAlign w:val="bottom"/>
          </w:tcPr>
          <w:p>
            <w:pPr>
              <w:ind w:left="1140"/>
              <w:spacing w:after="0"/>
              <w:rPr>
                <w:sz w:val="20"/>
                <w:szCs w:val="20"/>
                <w:color w:val="auto"/>
              </w:rPr>
            </w:pPr>
            <w:r>
              <w:rPr>
                <w:rFonts w:ascii="Arial" w:cs="Arial" w:eastAsia="Arial" w:hAnsi="Arial"/>
                <w:sz w:val="18"/>
                <w:szCs w:val="18"/>
                <w:color w:val="auto"/>
                <w:w w:val="90"/>
              </w:rPr>
              <w:t>(615)</w:t>
            </w:r>
          </w:p>
        </w:tc>
        <w:tc>
          <w:tcPr>
            <w:tcW w:w="1860" w:type="dxa"/>
            <w:vAlign w:val="bottom"/>
          </w:tcPr>
          <w:p>
            <w:pPr>
              <w:ind w:left="20"/>
              <w:spacing w:after="0"/>
              <w:rPr>
                <w:sz w:val="20"/>
                <w:szCs w:val="20"/>
                <w:color w:val="auto"/>
              </w:rPr>
            </w:pPr>
            <w:r>
              <w:rPr>
                <w:rFonts w:ascii="Arial" w:cs="Arial" w:eastAsia="Arial" w:hAnsi="Arial"/>
                <w:sz w:val="18"/>
                <w:szCs w:val="18"/>
                <w:color w:val="auto"/>
              </w:rPr>
              <w:t>337-0964 mobile</w:t>
            </w:r>
          </w:p>
        </w:tc>
        <w:tc>
          <w:tcPr>
            <w:tcW w:w="2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MORE -</w:t>
      </w:r>
    </w:p>
    <w:p>
      <w:pPr>
        <w:sectPr>
          <w:pgSz w:w="11900" w:h="16838" w:orient="portrait"/>
          <w:cols w:equalWidth="0" w:num="1">
            <w:col w:w="11240"/>
          </w:cols>
          <w:pgMar w:left="320" w:top="9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24,922,925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0" w:type="dxa"/>
            <w:vAlign w:val="bottom"/>
          </w:tcPr>
          <w:p>
            <w:pPr>
              <w:spacing w:after="0"/>
              <w:rPr>
                <w:sz w:val="1"/>
                <w:szCs w:val="1"/>
                <w:color w:val="auto"/>
              </w:rPr>
            </w:pPr>
          </w:p>
        </w:tc>
      </w:tr>
      <w:tr>
        <w:trPr>
          <w:trHeight w:val="229"/>
        </w:trPr>
        <w:tc>
          <w:tcPr>
            <w:tcW w:w="7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12,549,297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12,377,713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2,199,926</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49,969,592</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10,415,786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11,656,742</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574,169</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27,024,544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28,118,316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1,784,142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2,028,148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3,323,603</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c>
          <w:tcPr>
            <w:tcW w:w="0" w:type="dxa"/>
            <w:vAlign w:val="bottom"/>
          </w:tcPr>
          <w:p>
            <w:pPr>
              <w:spacing w:after="0"/>
              <w:rPr>
                <w:sz w:val="1"/>
                <w:szCs w:val="1"/>
                <w:color w:val="auto"/>
              </w:rPr>
            </w:pPr>
          </w:p>
        </w:tc>
      </w:tr>
      <w:tr>
        <w:trPr>
          <w:trHeight w:val="223"/>
        </w:trPr>
        <w:tc>
          <w:tcPr>
            <w:tcW w:w="722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93,348,025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13,396,286</w:t>
            </w:r>
          </w:p>
        </w:tc>
        <w:tc>
          <w:tcPr>
            <w:tcW w:w="0" w:type="dxa"/>
            <w:vAlign w:val="bottom"/>
          </w:tcPr>
          <w:p>
            <w:pPr>
              <w:spacing w:after="0"/>
              <w:rPr>
                <w:sz w:val="1"/>
                <w:szCs w:val="1"/>
                <w:color w:val="auto"/>
              </w:rPr>
            </w:pPr>
          </w:p>
        </w:tc>
      </w:tr>
      <w:tr>
        <w:trPr>
          <w:trHeight w:val="229"/>
        </w:trPr>
        <w:tc>
          <w:tcPr>
            <w:tcW w:w="722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1,042,074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1,016,779</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11,339,215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11,254,381</w:t>
            </w:r>
          </w:p>
        </w:tc>
        <w:tc>
          <w:tcPr>
            <w:tcW w:w="0" w:type="dxa"/>
            <w:vAlign w:val="bottom"/>
          </w:tcPr>
          <w:p>
            <w:pPr>
              <w:spacing w:after="0"/>
              <w:rPr>
                <w:sz w:val="1"/>
                <w:szCs w:val="1"/>
                <w:color w:val="auto"/>
              </w:rPr>
            </w:pPr>
          </w:p>
        </w:tc>
      </w:tr>
      <w:tr>
        <w:trPr>
          <w:trHeight w:val="223"/>
        </w:trPr>
        <w:tc>
          <w:tcPr>
            <w:tcW w:w="722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22,847,570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25,667,446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789,200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1,059,693</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7,833,328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7,862,772</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46,470,098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49,589,911</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560"/>
              <w:spacing w:after="0" w:line="176" w:lineRule="exact"/>
              <w:rPr>
                <w:sz w:val="20"/>
                <w:szCs w:val="20"/>
                <w:color w:val="auto"/>
              </w:rPr>
            </w:pPr>
            <w:r>
              <w:rPr>
                <w:rFonts w:ascii="Arial" w:cs="Arial" w:eastAsia="Arial" w:hAnsi="Arial"/>
                <w:sz w:val="18"/>
                <w:szCs w:val="18"/>
                <w:color w:val="auto"/>
                <w:w w:val="91"/>
              </w:rPr>
              <w:t>Common stock—no par value; 100,000,000 shares authorized; 15,084,464 and 14,988,429</w:t>
            </w:r>
          </w:p>
        </w:tc>
        <w:tc>
          <w:tcPr>
            <w:tcW w:w="2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48,981,395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49,121,523</w:t>
            </w:r>
          </w:p>
        </w:tc>
        <w:tc>
          <w:tcPr>
            <w:tcW w:w="0" w:type="dxa"/>
            <w:vAlign w:val="bottom"/>
          </w:tcPr>
          <w:p>
            <w:pPr>
              <w:spacing w:after="0"/>
              <w:rPr>
                <w:sz w:val="1"/>
                <w:szCs w:val="1"/>
                <w:color w:val="auto"/>
              </w:rPr>
            </w:pPr>
          </w:p>
        </w:tc>
      </w:tr>
      <w:tr>
        <w:trPr>
          <w:trHeight w:val="229"/>
        </w:trPr>
        <w:tc>
          <w:tcPr>
            <w:tcW w:w="7220" w:type="dxa"/>
            <w:vAlign w:val="bottom"/>
          </w:tcPr>
          <w:p>
            <w:pPr>
              <w:ind w:left="560"/>
              <w:spacing w:after="0"/>
              <w:rPr>
                <w:sz w:val="20"/>
                <w:szCs w:val="20"/>
                <w:color w:val="auto"/>
              </w:rPr>
            </w:pPr>
            <w:r>
              <w:rPr>
                <w:rFonts w:ascii="Arial" w:cs="Arial" w:eastAsia="Arial" w:hAnsi="Arial"/>
                <w:sz w:val="18"/>
                <w:szCs w:val="18"/>
                <w:color w:val="auto"/>
                <w:w w:val="92"/>
              </w:rPr>
              <w:t>shares issued and outstanding as of March 31, 2021 and December 31, 2020, respectively</w:t>
            </w:r>
          </w:p>
        </w:tc>
        <w:tc>
          <w:tcPr>
            <w:tcW w:w="2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Retained earnings (deficit)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0" w:type="dxa"/>
            <w:vAlign w:val="bottom"/>
          </w:tcPr>
          <w:p>
            <w:pPr>
              <w:spacing w:after="0"/>
              <w:rPr>
                <w:sz w:val="1"/>
                <w:szCs w:val="1"/>
                <w:color w:val="auto"/>
              </w:rPr>
            </w:pPr>
          </w:p>
        </w:tc>
      </w:tr>
      <w:tr>
        <w:trPr>
          <w:trHeight w:val="223"/>
        </w:trPr>
        <w:tc>
          <w:tcPr>
            <w:tcW w:w="7220" w:type="dxa"/>
            <w:vAlign w:val="bottom"/>
          </w:tcPr>
          <w:p>
            <w:pPr>
              <w:ind w:left="88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47,017,210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46,990,510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46,877,927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93,348,025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9" w:name="page10"/>
    <w:bookmarkEnd w:id="9"/>
    <w:p>
      <w:pPr>
        <w:jc w:val="center"/>
        <w:ind w:left="940" w:right="2320"/>
        <w:spacing w:after="0" w:line="266" w:lineRule="auto"/>
        <w:rPr>
          <w:sz w:val="20"/>
          <w:szCs w:val="20"/>
          <w:color w:val="auto"/>
        </w:rPr>
      </w:pPr>
      <w:r>
        <w:rPr>
          <w:rFonts w:ascii="Arial" w:cs="Arial" w:eastAsia="Arial" w:hAnsi="Arial"/>
          <w:sz w:val="18"/>
          <w:szCs w:val="18"/>
          <w:b w:val="1"/>
          <w:bCs w:val="1"/>
          <w:color w:val="auto"/>
        </w:rPr>
        <w:t>CUMBERLAND PHARMACEUTICALS INC. AND SUBSIDIARIES Condensed Consolidated Statements of Operations (Unaudited)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6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10,537,159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8,330,734</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2,417,329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1,634,181</w:t>
            </w:r>
          </w:p>
        </w:tc>
      </w:tr>
      <w:tr>
        <w:trPr>
          <w:trHeight w:val="230"/>
        </w:trPr>
        <w:tc>
          <w:tcPr>
            <w:tcW w:w="616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3,787,340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3,707,676</w:t>
            </w:r>
          </w:p>
        </w:tc>
      </w:tr>
      <w:tr>
        <w:trPr>
          <w:trHeight w:val="229"/>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1,257,367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1,722,555</w:t>
            </w:r>
          </w:p>
        </w:tc>
      </w:tr>
      <w:tr>
        <w:trPr>
          <w:trHeight w:val="229"/>
        </w:trPr>
        <w:tc>
          <w:tcPr>
            <w:tcW w:w="6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2,230,509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2,036,284</w:t>
            </w:r>
          </w:p>
        </w:tc>
      </w:tr>
      <w:tr>
        <w:trPr>
          <w:trHeight w:val="230"/>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1,168,914</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1,076,039</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10,861,459</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10,176,735</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(1,846,001)</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5,426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29,888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(33,065)</w:t>
            </w:r>
          </w:p>
        </w:tc>
      </w:tr>
      <w:tr>
        <w:trPr>
          <w:trHeight w:val="223"/>
        </w:trPr>
        <w:tc>
          <w:tcPr>
            <w:tcW w:w="616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before income taxes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(343,291)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(1,849,178)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(34,240)</w:t>
            </w:r>
          </w:p>
        </w:tc>
      </w:tr>
      <w:tr>
        <w:trPr>
          <w:trHeight w:val="223"/>
        </w:trPr>
        <w:tc>
          <w:tcPr>
            <w:tcW w:w="6160" w:type="dxa"/>
            <w:vAlign w:val="bottom"/>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(350,749)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(1,883,418)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495,410</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818,273</w:t>
            </w:r>
          </w:p>
        </w:tc>
      </w:tr>
      <w:tr>
        <w:trPr>
          <w:trHeight w:val="223"/>
        </w:trPr>
        <w:tc>
          <w:tcPr>
            <w:tcW w:w="61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144,661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(1,065,145)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 subsidiary 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r>
      <w:tr>
        <w:trPr>
          <w:trHeight w:val="223"/>
        </w:trPr>
        <w:tc>
          <w:tcPr>
            <w:tcW w:w="6160" w:type="dxa"/>
            <w:vAlign w:val="bottom"/>
          </w:tcPr>
          <w:p>
            <w:pPr>
              <w:ind w:left="340"/>
              <w:spacing w:after="0"/>
              <w:rPr>
                <w:sz w:val="20"/>
                <w:szCs w:val="20"/>
                <w:color w:val="auto"/>
              </w:rPr>
            </w:pPr>
            <w:r>
              <w:rPr>
                <w:rFonts w:ascii="Arial" w:cs="Arial" w:eastAsia="Arial" w:hAnsi="Arial"/>
                <w:sz w:val="18"/>
                <w:szCs w:val="18"/>
                <w:color w:val="auto"/>
              </w:rPr>
              <w:t>Net income (loss) attributable to common shareholders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166,828</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(1,055,620)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attributable to common shareholders</w:t>
            </w: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6160" w:type="dxa"/>
            <w:vAlign w:val="bottom"/>
          </w:tcPr>
          <w:p>
            <w:pPr>
              <w:ind w:left="340"/>
              <w:spacing w:after="0"/>
              <w:rPr>
                <w:sz w:val="20"/>
                <w:szCs w:val="20"/>
                <w:color w:val="auto"/>
              </w:rPr>
            </w:pPr>
            <w:r>
              <w:rPr>
                <w:rFonts w:ascii="Arial" w:cs="Arial" w:eastAsia="Arial" w:hAnsi="Arial"/>
                <w:sz w:val="18"/>
                <w:szCs w:val="18"/>
                <w:color w:val="auto"/>
              </w:rPr>
              <w:t>- Continuing operations - basic</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Discontinued operations - basic</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6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6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6160" w:type="dxa"/>
            <w:vAlign w:val="bottom"/>
          </w:tcPr>
          <w:p>
            <w:pPr>
              <w:ind w:left="340"/>
              <w:spacing w:after="0"/>
              <w:rPr>
                <w:sz w:val="20"/>
                <w:szCs w:val="20"/>
                <w:color w:val="auto"/>
              </w:rPr>
            </w:pPr>
            <w:r>
              <w:rPr>
                <w:rFonts w:ascii="Arial" w:cs="Arial" w:eastAsia="Arial" w:hAnsi="Arial"/>
                <w:sz w:val="18"/>
                <w:szCs w:val="18"/>
                <w:color w:val="auto"/>
              </w:rPr>
              <w:t>- Continuing operations - diluted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Discontinued operations - diluted</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6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160" w:type="dxa"/>
            <w:vAlign w:val="bottom"/>
          </w:tcPr>
          <w:p>
            <w:pPr>
              <w:ind w:left="340"/>
              <w:spacing w:after="0"/>
              <w:rPr>
                <w:sz w:val="20"/>
                <w:szCs w:val="20"/>
                <w:color w:val="auto"/>
              </w:rPr>
            </w:pPr>
            <w:r>
              <w:rPr>
                <w:rFonts w:ascii="Arial" w:cs="Arial" w:eastAsia="Arial" w:hAnsi="Arial"/>
                <w:sz w:val="18"/>
                <w:szCs w:val="18"/>
                <w:color w:val="auto"/>
              </w:rPr>
              <w:t>- basic</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14,974,663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15,240,614</w:t>
            </w:r>
          </w:p>
        </w:tc>
      </w:tr>
      <w:tr>
        <w:trPr>
          <w:trHeight w:val="230"/>
        </w:trPr>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15,244,146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15,578,309</w:t>
            </w:r>
          </w:p>
        </w:tc>
      </w:tr>
    </w:tbl>
    <w:p>
      <w:pPr>
        <w:sectPr>
          <w:pgSz w:w="11900" w:h="16838" w:orient="portrait"/>
          <w:cols w:equalWidth="0" w:num="1">
            <w:col w:w="10040"/>
          </w:cols>
          <w:pgMar w:left="920" w:top="891" w:right="9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144,661</w:t>
            </w:r>
          </w:p>
        </w:tc>
        <w:tc>
          <w:tcPr>
            <w:tcW w:w="14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(1,065,145)</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495,410</w:t>
            </w:r>
          </w:p>
        </w:tc>
        <w:tc>
          <w:tcPr>
            <w:tcW w:w="14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818,273</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Net income(loss) from continuing operations</w:t>
            </w:r>
          </w:p>
        </w:tc>
        <w:tc>
          <w:tcPr>
            <w:tcW w:w="4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(350,749)</w:t>
            </w:r>
          </w:p>
        </w:tc>
        <w:tc>
          <w:tcPr>
            <w:tcW w:w="800" w:type="dxa"/>
            <w:vAlign w:val="bottom"/>
          </w:tcPr>
          <w:p>
            <w:pPr>
              <w:spacing w:after="0"/>
              <w:rPr>
                <w:sz w:val="19"/>
                <w:szCs w:val="19"/>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(1,883,418)</w:t>
            </w:r>
          </w:p>
        </w:tc>
        <w:tc>
          <w:tcPr>
            <w:tcW w:w="0" w:type="dxa"/>
            <w:vAlign w:val="bottom"/>
          </w:tcPr>
          <w:p>
            <w:pPr>
              <w:spacing w:after="0"/>
              <w:rPr>
                <w:sz w:val="1"/>
                <w:szCs w:val="1"/>
                <w:color w:val="auto"/>
              </w:rPr>
            </w:pPr>
          </w:p>
        </w:tc>
      </w:tr>
      <w:tr>
        <w:trPr>
          <w:trHeight w:val="176"/>
        </w:trPr>
        <w:tc>
          <w:tcPr>
            <w:tcW w:w="68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Adjustments to reconcile net income (loss) from continuing operations to net cash</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provided by (used in) operating activities: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1,227,607</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1,152,062</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162,960</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264,574</w:t>
            </w:r>
          </w:p>
        </w:tc>
        <w:tc>
          <w:tcPr>
            <w:tcW w:w="0" w:type="dxa"/>
            <w:vAlign w:val="bottom"/>
          </w:tcPr>
          <w:p>
            <w:pPr>
              <w:spacing w:after="0"/>
              <w:rPr>
                <w:sz w:val="1"/>
                <w:szCs w:val="1"/>
                <w:color w:val="auto"/>
              </w:rPr>
            </w:pP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(280,020)</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(543,006)</w:t>
            </w: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1"/>
              </w:rPr>
              <w:t>Decrease (increase) in cash surrender value of life insurance policies over premiums</w:t>
            </w:r>
          </w:p>
        </w:tc>
        <w:tc>
          <w:tcPr>
            <w:tcW w:w="4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(76,300)</w:t>
            </w: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548,261</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paid</w:t>
            </w:r>
          </w:p>
        </w:tc>
        <w:tc>
          <w:tcPr>
            <w:tcW w:w="4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13,833</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(171,584)</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2,014,438</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1,868,350</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706,102</w:t>
            </w:r>
          </w:p>
        </w:tc>
        <w:tc>
          <w:tcPr>
            <w:tcW w:w="0" w:type="dxa"/>
            <w:vAlign w:val="bottom"/>
          </w:tcPr>
          <w:p>
            <w:pPr>
              <w:spacing w:after="0"/>
              <w:rPr>
                <w:sz w:val="1"/>
                <w:szCs w:val="1"/>
                <w:color w:val="auto"/>
              </w:rPr>
            </w:pPr>
          </w:p>
        </w:tc>
      </w:tr>
      <w:tr>
        <w:trPr>
          <w:trHeight w:val="229"/>
        </w:trPr>
        <w:tc>
          <w:tcPr>
            <w:tcW w:w="6880" w:type="dxa"/>
            <w:vAlign w:val="bottom"/>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507,102</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545,256</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(1,311,123)</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(2,394,824)</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(299,937)</w:t>
            </w:r>
          </w:p>
        </w:tc>
        <w:tc>
          <w:tcPr>
            <w:tcW w:w="8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(865,109)</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1,290,139</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(444,331)</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Discontinued operations</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495,410</w:t>
            </w:r>
          </w:p>
        </w:tc>
        <w:tc>
          <w:tcPr>
            <w:tcW w:w="8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1,332,870</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1,785,549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1,785,549</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888,539</w:t>
            </w: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and equipment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(22,726)</w:t>
            </w: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Note receivable investment funding</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(200,000)</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intangibles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(98,883)</w:t>
            </w:r>
          </w:p>
        </w:tc>
        <w:tc>
          <w:tcPr>
            <w:tcW w:w="8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(548,435)</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(318,341)</w:t>
            </w:r>
          </w:p>
        </w:tc>
        <w:tc>
          <w:tcPr>
            <w:tcW w:w="8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(571,161)</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Borrowings on line of credit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18,500,000</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line of credit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Cash payment of contingent consideration</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(995,277)</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(260,735)</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subsidiary shares to noncontrolling interest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Repurchase of common shares</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(302,802)</w:t>
            </w:r>
          </w:p>
        </w:tc>
        <w:tc>
          <w:tcPr>
            <w:tcW w:w="8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(442,544)</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(1,298,079)</w:t>
            </w:r>
          </w:p>
        </w:tc>
        <w:tc>
          <w:tcPr>
            <w:tcW w:w="8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(1,503,279)</w:t>
            </w:r>
          </w:p>
        </w:tc>
        <w:tc>
          <w:tcPr>
            <w:tcW w:w="0" w:type="dxa"/>
            <w:vAlign w:val="bottom"/>
          </w:tcPr>
          <w:p>
            <w:pPr>
              <w:spacing w:after="0"/>
              <w:rPr>
                <w:sz w:val="1"/>
                <w:szCs w:val="1"/>
                <w:color w:val="auto"/>
              </w:rPr>
            </w:pPr>
          </w:p>
        </w:tc>
      </w:tr>
      <w:tr>
        <w:trPr>
          <w:trHeight w:val="223"/>
        </w:trPr>
        <w:tc>
          <w:tcPr>
            <w:tcW w:w="6880" w:type="dxa"/>
            <w:vAlign w:val="bottom"/>
          </w:tcPr>
          <w:p>
            <w:pPr>
              <w:ind w:left="68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169,129</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(1,185,901)</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14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28,212,635</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24,922,925</w:t>
            </w:r>
          </w:p>
        </w:tc>
        <w:tc>
          <w:tcPr>
            <w:tcW w:w="8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27,026,734</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91" w:right="379" w:bottom="1440" w:gutter="0" w:footer="0" w:header="0"/>
        </w:sectPr>
      </w:pPr>
    </w:p>
    <w:bookmarkStart w:id="11" w:name="page12"/>
    <w:bookmarkEnd w:id="11"/>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Three months ended March 31, 2021</w:t>
            </w:r>
          </w:p>
        </w:tc>
        <w:tc>
          <w:tcPr>
            <w:tcW w:w="140" w:type="dxa"/>
            <w:vAlign w:val="bottom"/>
          </w:tcPr>
          <w:p>
            <w:pPr>
              <w:spacing w:after="0"/>
              <w:rPr>
                <w:sz w:val="20"/>
                <w:szCs w:val="20"/>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Three months ended March 31, 2020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69" w:lineRule="exact"/>
              <w:rPr>
                <w:sz w:val="20"/>
                <w:szCs w:val="20"/>
                <w:color w:val="auto"/>
              </w:rPr>
            </w:pPr>
            <w:r>
              <w:rPr>
                <w:rFonts w:ascii="Arial" w:cs="Arial" w:eastAsia="Arial" w:hAnsi="Arial"/>
                <w:sz w:val="18"/>
                <w:szCs w:val="18"/>
                <w:color w:val="auto"/>
                <w:w w:val="88"/>
              </w:rPr>
              <w:t>Earnings per 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w w:val="99"/>
              </w:rPr>
              <w:t>Less: Net (income) loss at subsidiary attributable to noncontrolling</w:t>
            </w:r>
          </w:p>
        </w:tc>
        <w:tc>
          <w:tcPr>
            <w:tcW w:w="3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22,167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9,525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495,410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818,273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1,227,607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1,152,062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(a)</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(29,888)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5"/>
              </w:rPr>
              <w:t>Adjusted Diluted Earnings (loss) from continuing operations Per</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1,066,267</w:t>
            </w:r>
          </w:p>
        </w:tc>
        <w:tc>
          <w:tcPr>
            <w:tcW w:w="140" w:type="dxa"/>
            <w:vAlign w:val="bottom"/>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(429,365)</w:t>
            </w:r>
          </w:p>
        </w:tc>
        <w:tc>
          <w:tcPr>
            <w:tcW w:w="12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3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2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15,244,146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15,578,309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5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w:t>
      </w:r>
    </w:p>
    <w:p>
      <w:pPr>
        <w:sectPr>
          <w:pgSz w:w="11900" w:h="16838" w:orient="portrait"/>
          <w:cols w:equalWidth="0" w:num="1">
            <w:col w:w="11240"/>
          </w:cols>
          <w:pgMar w:left="320" w:top="963" w:right="33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22"/>
          <w:szCs w:val="22"/>
          <w:color w:val="auto"/>
        </w:rPr>
        <w:t>information used by management in its financial and operational decision-making, including the evaluation of the Company's operating performance.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92" w:lineRule="exact"/>
        <w:rPr>
          <w:sz w:val="20"/>
          <w:szCs w:val="20"/>
          <w:color w:val="auto"/>
        </w:rPr>
      </w:pPr>
    </w:p>
    <w:p>
      <w:pPr>
        <w:ind w:left="660" w:hanging="328"/>
        <w:spacing w:after="0" w:line="293"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Adjusted Earnings (loss): </w:t>
      </w:r>
      <w:r>
        <w:rPr>
          <w:rFonts w:ascii="Arial" w:cs="Arial" w:eastAsia="Arial" w:hAnsi="Arial"/>
          <w:sz w:val="21"/>
          <w:szCs w:val="21"/>
          <w:color w:val="auto"/>
        </w:rPr>
        <w:t>net income (loss) adjusted for the impact of discontinued operations, income taxes,</w:t>
      </w:r>
      <w:r>
        <w:rPr>
          <w:rFonts w:ascii="Arial" w:cs="Arial" w:eastAsia="Arial" w:hAnsi="Arial"/>
          <w:sz w:val="21"/>
          <w:szCs w:val="21"/>
          <w:b w:val="1"/>
          <w:bCs w:val="1"/>
          <w:color w:val="auto"/>
        </w:rPr>
        <w:t xml:space="preserve"> </w:t>
      </w:r>
      <w:r>
        <w:rPr>
          <w:rFonts w:ascii="Arial" w:cs="Arial" w:eastAsia="Arial" w:hAnsi="Arial"/>
          <w:sz w:val="21"/>
          <w:szCs w:val="21"/>
          <w:color w:val="auto"/>
        </w:rPr>
        <w:t>depreciation and amortization expense, share-based compensation and interest income and interest expense.</w:t>
      </w:r>
    </w:p>
    <w:p>
      <w:pPr>
        <w:spacing w:after="0" w:line="172" w:lineRule="exact"/>
        <w:rPr>
          <w:rFonts w:ascii="Arial" w:cs="Arial" w:eastAsia="Arial" w:hAnsi="Arial"/>
          <w:sz w:val="21"/>
          <w:szCs w:val="21"/>
          <w:color w:val="auto"/>
        </w:rPr>
      </w:pPr>
    </w:p>
    <w:p>
      <w:pPr>
        <w:ind w:left="1160" w:hanging="288"/>
        <w:spacing w:after="0"/>
        <w:tabs>
          <w:tab w:leader="none" w:pos="1160" w:val="left"/>
        </w:tabs>
        <w:numPr>
          <w:ilvl w:val="1"/>
          <w:numId w:val="3"/>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54"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9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2021-05-11T16:56:57Z</dcterms:created>
  <dcterms:modified xsi:type="dcterms:W3CDTF">2021-05-11T16:56:57Z</dcterms:modified>
</cp:coreProperties>
</file>