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November 4, 2024 (November 4, 2024)</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 of Report (date of earliest event reported)</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CUMBERLAND PHARMACEUTICALS INC.</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202" w:lineRule="exact"/>
        <w:rPr>
          <w:sz w:val="24"/>
          <w:szCs w:val="24"/>
          <w:color w:val="auto"/>
        </w:rPr>
      </w:pPr>
    </w:p>
    <w:tbl>
      <w:tblPr>
        <w:tblLayout w:type="fixed"/>
        <w:tblInd w:w="500" w:type="dxa"/>
        <w:tblCellMar>
          <w:top w:w="0" w:type="dxa"/>
          <w:left w:w="0" w:type="dxa"/>
          <w:bottom w:w="0" w:type="dxa"/>
          <w:right w:w="0" w:type="dxa"/>
        </w:tblCellMar>
      </w:tblPr>
      <w:tr>
        <w:trPr>
          <w:trHeight w:val="252"/>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7"/>
              </w:rPr>
              <w:t>Tennessee</w:t>
            </w: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001-33637</w:t>
            </w:r>
          </w:p>
        </w:tc>
        <w:tc>
          <w:tcPr>
            <w:tcW w:w="320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62-1765329</w:t>
            </w:r>
          </w:p>
        </w:tc>
        <w:tc>
          <w:tcPr>
            <w:tcW w:w="0" w:type="dxa"/>
            <w:vAlign w:val="bottom"/>
          </w:tcPr>
          <w:p>
            <w:pPr>
              <w:spacing w:after="0"/>
              <w:rPr>
                <w:sz w:val="1"/>
                <w:szCs w:val="1"/>
                <w:color w:val="auto"/>
              </w:rPr>
            </w:pPr>
          </w:p>
        </w:tc>
      </w:tr>
      <w:tr>
        <w:trPr>
          <w:trHeight w:val="203"/>
        </w:trPr>
        <w:tc>
          <w:tcPr>
            <w:tcW w:w="3700" w:type="dxa"/>
            <w:vAlign w:val="bottom"/>
          </w:tcPr>
          <w:p>
            <w:pPr>
              <w:jc w:val="center"/>
              <w:ind w:right="310"/>
              <w:spacing w:after="0" w:line="202" w:lineRule="exact"/>
              <w:rPr>
                <w:sz w:val="20"/>
                <w:szCs w:val="20"/>
                <w:color w:val="auto"/>
              </w:rPr>
            </w:pPr>
            <w:r>
              <w:rPr>
                <w:rFonts w:ascii="Times New Roman" w:cs="Times New Roman" w:eastAsia="Times New Roman" w:hAnsi="Times New Roman"/>
                <w:sz w:val="18"/>
                <w:szCs w:val="18"/>
                <w:color w:val="auto"/>
                <w:w w:val="99"/>
              </w:rPr>
              <w:t>(State or other jurisdiction of incorporation or</w:t>
            </w:r>
          </w:p>
        </w:tc>
        <w:tc>
          <w:tcPr>
            <w:tcW w:w="30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200" w:type="dxa"/>
            <w:vAlign w:val="bottom"/>
          </w:tcPr>
          <w:p>
            <w:pPr>
              <w:jc w:val="center"/>
              <w:ind w:left="490"/>
              <w:spacing w:after="0" w:line="202" w:lineRule="exact"/>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234"/>
        </w:trPr>
        <w:tc>
          <w:tcPr>
            <w:tcW w:w="370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1600 West End Avenue, Suite 1300 Nashville, Tennessee 37203</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(615) 255-0068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0" w:lineRule="exact"/>
        <w:rPr>
          <w:sz w:val="24"/>
          <w:szCs w:val="24"/>
          <w:color w:val="auto"/>
        </w:rPr>
      </w:pP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9"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400" w:hanging="352"/>
        <w:spacing w:after="0"/>
        <w:tabs>
          <w:tab w:leader="none" w:pos="4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right="2800" w:firstLine="48"/>
        <w:spacing w:after="0" w:line="480" w:lineRule="auto"/>
        <w:tabs>
          <w:tab w:leader="none" w:pos="3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 xml:space="preserve">Pre-commencement communications pursuant to Rule 13e-4(c) under the Exchange Act (17 CFR 240.13e-4(c)) </w:t>
      </w:r>
      <w:r>
        <w:rPr>
          <w:rFonts w:ascii="Times New Roman" w:cs="Times New Roman" w:eastAsia="Times New Roman" w:hAnsi="Times New Roman"/>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3"/>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306"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321310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44"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0"/>
          <w:szCs w:val="20"/>
          <w:color w:val="auto"/>
        </w:rPr>
        <w:t>I</w:t>
      </w:r>
      <w:r>
        <w:rPr>
          <w:rFonts w:ascii="Times New Roman" w:cs="Times New Roman" w:eastAsia="Times New Roman" w:hAnsi="Times New Roman"/>
          <w:sz w:val="17"/>
          <w:szCs w:val="17"/>
          <w:color w:val="auto"/>
        </w:rPr>
        <w:t>n April 2023, we announced that we expected that our Caldolor product would be eligible for separate Medicare reimbursement under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i w:val="1"/>
          <w:iCs w:val="1"/>
          <w:color w:val="auto"/>
        </w:rPr>
        <w:t>Non-Opioids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7"/>
          <w:szCs w:val="17"/>
          <w:i w:val="1"/>
          <w:iCs w:val="1"/>
          <w:color w:val="auto"/>
        </w:rPr>
        <w:t xml:space="preserve">Prevent Addiction in the Nation Act </w:t>
      </w:r>
      <w:r>
        <w:rPr>
          <w:rFonts w:ascii="Times New Roman" w:cs="Times New Roman" w:eastAsia="Times New Roman" w:hAnsi="Times New Roman"/>
          <w:sz w:val="17"/>
          <w:szCs w:val="17"/>
          <w:color w:val="auto"/>
        </w:rPr>
        <w:t>(the “NOPAIN Act”), which was enacted as part of the Consolidated Appropriations Act of 2023.</w:t>
      </w:r>
    </w:p>
    <w:p>
      <w:pPr>
        <w:spacing w:after="0" w:line="64"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This Act requires the Centers for Medicare &amp; Medicaid Services (“CMS”) to provide separate reimbursement for non-opioid products that are used to manage pain during surgeries conducted in hospital outpatient departments or in ambulatory surgical centers. The NOPAIN Act applies, in part, to products that are indicated to provide analgesia without acting upon the body’s opioid receptors. The reimbursement for non-opioid pain alternatives under the NOPAIN Act will apply to those products that are furnished between January 1, 2025, and January 1, 2028.</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Cumberland submitted comments to CMS in July 2023 and July 2024, arguing, among other things, that Caldolor meets the statutory requirements for separate payment under the NOPAIN Act because the U.S. Food and Drug Administration (“FDA”) approved Caldolor for a general acute pain indication that encompasses use for the reduction of postoperative pain based on clinical studies in patients with postoperative pain.</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November 1, 2024, CMS announced a list of products for separate payment under the NOPAIN Act through their Calendar Year 2025 </w:t>
      </w:r>
      <w:r>
        <w:rPr>
          <w:rFonts w:ascii="Times New Roman" w:cs="Times New Roman" w:eastAsia="Times New Roman" w:hAnsi="Times New Roman"/>
          <w:sz w:val="18"/>
          <w:szCs w:val="18"/>
          <w:i w:val="1"/>
          <w:iCs w:val="1"/>
          <w:color w:val="auto"/>
        </w:rPr>
        <w:t>Medicare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Outpatient Prospective Payment System </w:t>
      </w:r>
      <w:r>
        <w:rPr>
          <w:rFonts w:ascii="Times New Roman" w:cs="Times New Roman" w:eastAsia="Times New Roman" w:hAnsi="Times New Roman"/>
          <w:sz w:val="18"/>
          <w:szCs w:val="18"/>
          <w:color w:val="auto"/>
        </w:rPr>
        <w:t>(“OPPS”) Ruling. The list does not include Caldolor. CMS concluded that Caldolor and certain other products 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qualify for separate payment under the NOPAIN Act because “there is no mention of post-operative or post-surgical use in the FDA-approved indications.”</w:t>
      </w:r>
    </w:p>
    <w:p>
      <w:pPr>
        <w:spacing w:after="0" w:line="1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was surprised and disappointed with this determination, as the majority of Caldolor’s use is associated with surgery and the FDA approval of the product’s pain indication was based on studies of patients with post-surgical pain.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CMS’s November 1 list of products eligible for separate payment under the NOPAIN Act does not appear to add any new pharmaceuticals.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Cumberland does not believe that CMS’s determination regarding Caldolor is consistent with the intent of the NOPAIN legislation.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evaluating our potential options, and next initiatives for continuing to seek separate payment for Caldolor.</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62"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which are subject to certain risks and reflect the companies’ current views on future events based on what it believes are reasonable assumptions. No assurance can be given that these events will occur. As with any business, all phases of the companies’ operations are subject to factors outside of its control, and any one or combination of these factors could materially affect results of operations. There can be no assurance that anticipated results associated with the brand will be realized or that they will have the expected effects. Readers are cautioned not to place undue reliance on forward-looking statements, which speak only as of the date hereof. The companies do not undertake any obligation to publicly revise these statements to reflect events after the date hereof. Investors should refer to filings with the government securities agencies for more information, including the risk factors associated an investment in each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538480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2" w:name="page3"/>
    <w:bookmarkEnd w:id="2"/>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674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Cumberland Pharmaceuticals Inc.</w:t>
            </w:r>
          </w:p>
        </w:tc>
      </w:tr>
      <w:tr>
        <w:trPr>
          <w:trHeight w:val="49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4, 2024</w:t>
            </w:r>
          </w:p>
        </w:tc>
        <w:tc>
          <w:tcPr>
            <w:tcW w:w="392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John Hamm</w:t>
            </w:r>
          </w:p>
        </w:tc>
      </w:tr>
      <w:tr>
        <w:trPr>
          <w:trHeight w:val="218"/>
        </w:trPr>
        <w:tc>
          <w:tcPr>
            <w:tcW w:w="442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Hamm</w:t>
            </w:r>
          </w:p>
        </w:tc>
      </w:tr>
      <w:tr>
        <w:trPr>
          <w:trHeight w:val="234"/>
        </w:trPr>
        <w:tc>
          <w:tcPr>
            <w:tcW w:w="44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2024-11-04T16:33:44Z</dcterms:created>
  <dcterms:modified xsi:type="dcterms:W3CDTF">2024-11-04T16:33:44Z</dcterms:modified>
</cp:coreProperties>
</file>