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4" w:lineRule="exact"/>
        <w:rPr>
          <w:sz w:val="24"/>
          <w:szCs w:val="24"/>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 w:lineRule="exact"/>
        <w:rPr>
          <w:sz w:val="24"/>
          <w:szCs w:val="24"/>
          <w:color w:val="auto"/>
        </w:rPr>
      </w:pPr>
    </w:p>
    <w:p>
      <w:pPr>
        <w:ind w:left="580" w:hanging="248"/>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9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 of Filing Fee </w:t>
      </w:r>
      <w:r>
        <w:rPr>
          <w:rFonts w:ascii="Times New Roman" w:cs="Times New Roman" w:eastAsia="Times New Roman" w:hAnsi="Times New Roman"/>
          <w:sz w:val="16"/>
          <w:szCs w:val="16"/>
          <w:color w:val="auto"/>
        </w:rPr>
        <w:t>(Check the appropriate box):</w:t>
      </w:r>
    </w:p>
    <w:p>
      <w:pPr>
        <w:spacing w:after="0" w:line="144" w:lineRule="exact"/>
        <w:rPr>
          <w:sz w:val="24"/>
          <w:szCs w:val="24"/>
          <w:color w:val="auto"/>
        </w:rPr>
      </w:pPr>
    </w:p>
    <w:p>
      <w:pPr>
        <w:ind w:left="560" w:hanging="534"/>
        <w:spacing w:after="0"/>
        <w:tabs>
          <w:tab w:leader="none" w:pos="5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60" w:hanging="534"/>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44" w:lineRule="exact"/>
        <w:rPr>
          <w:rFonts w:ascii="Wingdings" w:cs="Wingdings" w:eastAsia="Wingdings" w:hAnsi="Wingdings"/>
          <w:sz w:val="18"/>
          <w:szCs w:val="18"/>
          <w:b w:val="1"/>
          <w:bCs w:val="1"/>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52" w:lineRule="exact"/>
        <w:rPr>
          <w:rFonts w:ascii="Times New Roman" w:cs="Times New Roman" w:eastAsia="Times New Roman" w:hAnsi="Times New Roman"/>
          <w:sz w:val="18"/>
          <w:szCs w:val="18"/>
          <w:color w:val="auto"/>
        </w:rPr>
      </w:pPr>
    </w:p>
    <w:p>
      <w:pPr>
        <w:ind w:left="760" w:right="1379" w:hanging="410"/>
        <w:spacing w:after="0" w:line="237" w:lineRule="auto"/>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98"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-1464945</wp:posOffset>
            </wp:positionV>
            <wp:extent cx="6360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-1182370</wp:posOffset>
            </wp:positionV>
            <wp:extent cx="5109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-890905</wp:posOffset>
            </wp:positionV>
            <wp:extent cx="5109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-496570</wp:posOffset>
            </wp:positionV>
            <wp:extent cx="5109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-213360</wp:posOffset>
            </wp:positionV>
            <wp:extent cx="5109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77470</wp:posOffset>
            </wp:positionV>
            <wp:extent cx="510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32" w:lineRule="exact"/>
        <w:rPr>
          <w:sz w:val="24"/>
          <w:szCs w:val="24"/>
          <w:color w:val="auto"/>
        </w:rPr>
      </w:pPr>
    </w:p>
    <w:p>
      <w:pPr>
        <w:ind w:left="680" w:hanging="478"/>
        <w:spacing w:after="0"/>
        <w:tabs>
          <w:tab w:leader="none" w:pos="68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sz w:val="24"/>
          <w:szCs w:val="24"/>
          <w:color w:val="auto"/>
        </w:rPr>
      </w:pPr>
    </w:p>
    <w:p>
      <w:pPr>
        <w:ind w:left="680" w:right="179" w:hanging="421"/>
        <w:spacing w:after="0" w:line="226" w:lineRule="auto"/>
        <w:tabs>
          <w:tab w:leader="none" w:pos="680" w:val="left"/>
        </w:tabs>
        <w:numPr>
          <w:ilvl w:val="1"/>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0"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-1096645</wp:posOffset>
            </wp:positionV>
            <wp:extent cx="601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-796290</wp:posOffset>
            </wp:positionV>
            <wp:extent cx="453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-487680</wp:posOffset>
            </wp:positionV>
            <wp:extent cx="4534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-213360</wp:posOffset>
            </wp:positionV>
            <wp:extent cx="4534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68580</wp:posOffset>
            </wp:positionV>
            <wp:extent cx="4534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019" w:right="1440" w:bottom="1440" w:gutter="0" w:footer="0" w:header="0"/>
        </w:sectPr>
      </w:pPr>
    </w:p>
    <w:bookmarkStart w:id="1" w:name="page2"/>
    <w:bookmarkEnd w:id="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22, 2024.</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0" w:type="dxa"/>
            <w:vAlign w:val="bottom"/>
            <w:tcBorders>
              <w:top w:val="single" w:sz="8" w:color="auto"/>
              <w:left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4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left w:val="single" w:sz="8" w:color="auto"/>
            </w:tcBorders>
          </w:tcPr>
          <w:p>
            <w:pPr>
              <w:spacing w:after="0"/>
              <w:rPr>
                <w:sz w:val="15"/>
                <w:szCs w:val="15"/>
                <w:color w:val="auto"/>
              </w:rPr>
            </w:pPr>
          </w:p>
        </w:tc>
        <w:tc>
          <w:tcPr>
            <w:tcW w:w="24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Vote Your Proxy on the Internet:</w:t>
            </w:r>
          </w:p>
        </w:tc>
        <w:tc>
          <w:tcPr>
            <w:tcW w:w="4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400" w:type="dxa"/>
            <w:vAlign w:val="bottom"/>
          </w:tcPr>
          <w:p>
            <w:pPr>
              <w:spacing w:after="0"/>
              <w:rPr>
                <w:sz w:val="15"/>
                <w:szCs w:val="15"/>
                <w:color w:val="auto"/>
              </w:rPr>
            </w:pPr>
          </w:p>
        </w:tc>
        <w:tc>
          <w:tcPr>
            <w:tcW w:w="288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on your Mobile:</w:t>
            </w: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540" w:type="dxa"/>
            <w:vAlign w:val="bottom"/>
          </w:tcPr>
          <w:p>
            <w:pPr>
              <w:spacing w:after="0"/>
              <w:rPr>
                <w:sz w:val="15"/>
                <w:szCs w:val="15"/>
                <w:color w:val="auto"/>
              </w:rPr>
            </w:pPr>
          </w:p>
        </w:tc>
        <w:tc>
          <w:tcPr>
            <w:tcW w:w="274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via the mail:</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0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Go to www.cstproxyvote.com</w:t>
            </w:r>
          </w:p>
        </w:tc>
        <w:tc>
          <w:tcPr>
            <w:tcW w:w="700" w:type="dxa"/>
            <w:vAlign w:val="bottom"/>
            <w:tcBorders>
              <w:right w:val="single" w:sz="8" w:color="auto"/>
            </w:tcBorders>
            <w:vMerge w:val="continue"/>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right w:val="single" w:sz="8" w:color="auto"/>
            </w:tcBorders>
            <w:gridSpan w:val="3"/>
            <w:vMerge w:val="continue"/>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Have your proxy card available when you</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 your Smartphone/Tablet, open the QR</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 sign, and date your proxy card, then</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access the above website. Follow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81" w:lineRule="exact"/>
              <w:rPr>
                <w:sz w:val="20"/>
                <w:szCs w:val="20"/>
                <w:color w:val="auto"/>
              </w:rPr>
            </w:pPr>
            <w:r>
              <w:rPr>
                <w:rFonts w:ascii="Times New Roman" w:cs="Times New Roman" w:eastAsia="Times New Roman" w:hAnsi="Times New Roman"/>
                <w:sz w:val="18"/>
                <w:szCs w:val="18"/>
                <w:color w:val="auto"/>
              </w:rPr>
              <w:t>Reader and scan the below image. Once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detach it, and return it in the postage-paid</w:t>
            </w:r>
          </w:p>
        </w:tc>
        <w:tc>
          <w:tcPr>
            <w:tcW w:w="0" w:type="dxa"/>
            <w:vAlign w:val="bottom"/>
          </w:tcPr>
          <w:p>
            <w:pPr>
              <w:spacing w:after="0"/>
              <w:rPr>
                <w:sz w:val="1"/>
                <w:szCs w:val="1"/>
                <w:color w:val="auto"/>
              </w:rPr>
            </w:pPr>
          </w:p>
        </w:tc>
      </w:tr>
      <w:tr>
        <w:trPr>
          <w:trHeight w:val="176"/>
        </w:trPr>
        <w:tc>
          <w:tcPr>
            <w:tcW w:w="330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prompts to vote your shares.</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voting site is displayed, enter your Control</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envelope provided.</w:t>
            </w:r>
          </w:p>
        </w:tc>
        <w:tc>
          <w:tcPr>
            <w:tcW w:w="0" w:type="dxa"/>
            <w:vAlign w:val="bottom"/>
          </w:tcPr>
          <w:p>
            <w:pPr>
              <w:spacing w:after="0"/>
              <w:rPr>
                <w:sz w:val="1"/>
                <w:szCs w:val="1"/>
                <w:color w:val="auto"/>
              </w:rPr>
            </w:pPr>
          </w:p>
        </w:tc>
      </w:tr>
      <w:tr>
        <w:trPr>
          <w:trHeight w:val="184"/>
        </w:trPr>
        <w:tc>
          <w:tcPr>
            <w:tcW w:w="440" w:type="dxa"/>
            <w:vAlign w:val="bottom"/>
            <w:tcBorders>
              <w:lef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280" w:type="dxa"/>
            <w:vAlign w:val="bottom"/>
            <w:tcBorders>
              <w:right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color w:val="auto"/>
              </w:rPr>
              <w:t>Number from the proxy card and vote your</w:t>
            </w:r>
          </w:p>
        </w:tc>
        <w:tc>
          <w:tcPr>
            <w:tcW w:w="7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-157480</wp:posOffset>
            </wp:positionV>
            <wp:extent cx="426021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ELECTRONICALLY OR BY PHONE</w:t>
      </w:r>
    </w:p>
    <w:p>
      <w:pPr>
        <w:spacing w:after="0" w:line="354" w:lineRule="exact"/>
        <w:rPr>
          <w:sz w:val="20"/>
          <w:szCs w:val="20"/>
          <w:color w:val="auto"/>
        </w:rPr>
      </w:pPr>
    </w:p>
    <w:p>
      <w:pPr>
        <w:jc w:val="center"/>
        <w:ind w:right="20"/>
        <w:spacing w:after="0"/>
        <w:rPr>
          <w:sz w:val="20"/>
          <w:szCs w:val="20"/>
          <w:color w:val="auto"/>
        </w:rPr>
      </w:pPr>
      <w:r>
        <w:rPr>
          <w:rFonts w:ascii="Wingdings" w:cs="Wingdings" w:eastAsia="Wingdings" w:hAnsi="Wingdings"/>
          <w:sz w:val="16"/>
          <w:szCs w:val="16"/>
          <w:b w:val="1"/>
          <w:bCs w:val="1"/>
          <w:color w:val="auto"/>
        </w:rPr>
        <w:t>Ú</w:t>
      </w:r>
      <w:r>
        <w:rPr>
          <w:rFonts w:ascii="Times New Roman" w:cs="Times New Roman" w:eastAsia="Times New Roman" w:hAnsi="Times New Roman"/>
          <w:sz w:val="16"/>
          <w:szCs w:val="16"/>
          <w:b w:val="1"/>
          <w:bCs w:val="1"/>
          <w:color w:val="auto"/>
        </w:rPr>
        <w:t>FOLD AND DETACH HERE AND READ THE REVERSE SIDE</w:t>
      </w:r>
      <w:r>
        <w:rPr>
          <w:rFonts w:ascii="Wingdings" w:cs="Wingdings" w:eastAsia="Wingdings" w:hAnsi="Wingdings"/>
          <w:sz w:val="16"/>
          <w:szCs w:val="16"/>
          <w:b w:val="1"/>
          <w:bCs w:val="1"/>
          <w:color w:val="auto"/>
        </w:rPr>
        <w:t xml:space="preserve"> Ú</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90805</wp:posOffset>
            </wp:positionV>
            <wp:extent cx="702945"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pacing w:after="0" w:line="236" w:lineRule="exact"/>
        <w:rPr>
          <w:sz w:val="20"/>
          <w:szCs w:val="20"/>
          <w:color w:val="auto"/>
        </w:rPr>
      </w:pPr>
    </w:p>
    <w:p>
      <w:pPr>
        <w:ind w:left="40" w:right="2400"/>
        <w:spacing w:after="0" w:line="23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FOR Proposals 1 AND 2.</w:t>
      </w:r>
    </w:p>
    <w:p>
      <w:pPr>
        <w:spacing w:after="0" w:line="4" w:lineRule="exact"/>
        <w:rPr>
          <w:sz w:val="20"/>
          <w:szCs w:val="20"/>
          <w:color w:val="auto"/>
        </w:rPr>
      </w:pPr>
    </w:p>
    <w:p>
      <w:pPr>
        <w:ind w:left="9500"/>
        <w:spacing w:after="0"/>
        <w:tabs>
          <w:tab w:leader="none" w:pos="10000" w:val="left"/>
          <w:tab w:leader="none" w:pos="1064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ectPr>
          <w:pgSz w:w="11900" w:h="16838" w:orient="portrait"/>
          <w:cols w:equalWidth="0" w:num="1">
            <w:col w:w="11260"/>
          </w:cols>
          <w:pgMar w:left="320" w:top="1440" w:right="319" w:bottom="1440" w:gutter="0" w:footer="0" w:header="0"/>
        </w:sectPr>
      </w:pPr>
    </w:p>
    <w:p>
      <w:pPr>
        <w:spacing w:after="0" w:line="102" w:lineRule="exact"/>
        <w:rPr>
          <w:sz w:val="20"/>
          <w:szCs w:val="20"/>
          <w:color w:val="auto"/>
        </w:rPr>
      </w:pPr>
    </w:p>
    <w:p>
      <w:pPr>
        <w:ind w:left="40" w:hanging="1"/>
        <w:spacing w:after="0" w:line="231"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as directors of the nominees listed below, except to the extent that authority is specifically withheld.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0" w:type="dxa"/>
            <w:vAlign w:val="bottom"/>
          </w:tcPr>
          <w:p>
            <w:pPr>
              <w:spacing w:after="0"/>
              <w:rPr>
                <w:sz w:val="1"/>
                <w:szCs w:val="1"/>
                <w:color w:val="auto"/>
              </w:rPr>
            </w:pPr>
          </w:p>
        </w:tc>
      </w:tr>
      <w:tr>
        <w:trPr>
          <w:trHeight w:val="146"/>
        </w:trPr>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w:t>
            </w:r>
          </w:p>
        </w:tc>
        <w:tc>
          <w:tcPr>
            <w:tcW w:w="112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AUTHORITY </w:t>
            </w:r>
            <w:r>
              <w:rPr>
                <w:rFonts w:ascii="Times New Roman" w:cs="Times New Roman" w:eastAsia="Times New Roman" w:hAnsi="Times New Roman"/>
                <w:sz w:val="14"/>
                <w:szCs w:val="14"/>
                <w:color w:val="auto"/>
              </w:rPr>
              <w:t>to</w:t>
            </w: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vote (except as</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Nominees</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marked to the</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line="139" w:lineRule="exact"/>
              <w:rPr>
                <w:sz w:val="20"/>
                <w:szCs w:val="20"/>
                <w:color w:val="auto"/>
              </w:rPr>
            </w:pPr>
            <w:r>
              <w:rPr>
                <w:rFonts w:ascii="Times New Roman" w:cs="Times New Roman" w:eastAsia="Times New Roman" w:hAnsi="Times New Roman"/>
                <w:sz w:val="14"/>
                <w:szCs w:val="14"/>
                <w:color w:val="auto"/>
              </w:rPr>
              <w:t>listed to the</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contrary for all</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w w:val="96"/>
              </w:rPr>
              <w:t>left</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760" w:type="dxa"/>
            <w:vAlign w:val="bottom"/>
            <w:vMerge w:val="continue"/>
          </w:tcPr>
          <w:p>
            <w:pPr>
              <w:spacing w:after="0"/>
              <w:rPr>
                <w:sz w:val="10"/>
                <w:szCs w:val="10"/>
                <w:color w:val="auto"/>
              </w:rPr>
            </w:pPr>
          </w:p>
        </w:tc>
        <w:tc>
          <w:tcPr>
            <w:tcW w:w="1120" w:type="dxa"/>
            <w:vAlign w:val="bottom"/>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nominees listed to</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60" w:type="dxa"/>
            <w:vAlign w:val="bottom"/>
          </w:tcPr>
          <w:p>
            <w:pPr>
              <w:spacing w:after="0"/>
              <w:rPr>
                <w:sz w:val="16"/>
                <w:szCs w:val="16"/>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the left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7" w:hanging="7"/>
        <w:spacing w:after="0" w:line="224" w:lineRule="auto"/>
        <w:tabs>
          <w:tab w:leader="none" w:pos="1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Carr, Riggs &amp; Ingram, LLC as independent registered accounting firm of the Company for fiscal year ending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Wingdings" w:cs="Wingdings" w:eastAsia="Wingdings" w:hAnsi="Wingdings"/>
          <w:sz w:val="34"/>
          <w:szCs w:val="34"/>
          <w:b w:val="1"/>
          <w:bCs w:val="1"/>
          <w:color w:val="auto"/>
          <w:highlight w:val="black"/>
        </w:rPr>
        <w:t>o o o</w:t>
      </w:r>
    </w:p>
    <w:p>
      <w:pPr>
        <w:spacing w:after="0" w:line="495" w:lineRule="exact"/>
        <w:rPr>
          <w:sz w:val="20"/>
          <w:szCs w:val="20"/>
          <w:color w:val="auto"/>
        </w:rPr>
      </w:pPr>
    </w:p>
    <w:p>
      <w:pPr>
        <w:sectPr>
          <w:pgSz w:w="11900" w:h="16838" w:orient="portrait"/>
          <w:cols w:equalWidth="0" w:num="4">
            <w:col w:w="3580" w:space="260"/>
            <w:col w:w="1880" w:space="273"/>
            <w:col w:w="3267" w:space="200"/>
            <w:col w:w="1800"/>
          </w:cols>
          <w:pgMar w:left="320" w:top="1440" w:right="31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NOMINEES: (1) Martin S. Brown, Jr. (2) James R.</w:t>
            </w:r>
          </w:p>
        </w:tc>
        <w:tc>
          <w:tcPr>
            <w:tcW w:w="800" w:type="dxa"/>
            <w:vAlign w:val="bottom"/>
            <w:vMerge w:val="restart"/>
          </w:tcPr>
          <w:p>
            <w:pPr>
              <w:ind w:left="140"/>
              <w:spacing w:after="0"/>
              <w:rPr>
                <w:sz w:val="20"/>
                <w:szCs w:val="20"/>
                <w:color w:val="auto"/>
              </w:rPr>
            </w:pPr>
            <w:r>
              <w:rPr>
                <w:rFonts w:ascii="Wingdings" w:cs="Wingdings" w:eastAsia="Wingdings" w:hAnsi="Wingdings"/>
                <w:sz w:val="36"/>
                <w:szCs w:val="36"/>
                <w:b w:val="1"/>
                <w:bCs w:val="1"/>
                <w:color w:val="auto"/>
                <w:highlight w:val="black"/>
              </w:rPr>
              <w:t>o</w:t>
            </w:r>
          </w:p>
        </w:tc>
        <w:tc>
          <w:tcPr>
            <w:tcW w:w="680" w:type="dxa"/>
            <w:vAlign w:val="bottom"/>
            <w:vMerge w:val="restart"/>
          </w:tcPr>
          <w:p>
            <w:pPr>
              <w:ind w:left="360"/>
              <w:spacing w:after="0"/>
              <w:rPr>
                <w:sz w:val="20"/>
                <w:szCs w:val="20"/>
                <w:color w:val="auto"/>
              </w:rPr>
            </w:pPr>
            <w:r>
              <w:rPr>
                <w:rFonts w:ascii="Wingdings" w:cs="Wingdings" w:eastAsia="Wingdings" w:hAnsi="Wingdings"/>
                <w:sz w:val="36"/>
                <w:szCs w:val="36"/>
                <w:b w:val="1"/>
                <w:bCs w:val="1"/>
                <w:color w:val="auto"/>
                <w:highlight w:val="black"/>
                <w:w w:val="93"/>
              </w:rPr>
              <w:t>o</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Jones</w:t>
            </w:r>
          </w:p>
        </w:tc>
        <w:tc>
          <w:tcPr>
            <w:tcW w:w="8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(INSTRUCTION: To withhold authority to</w:t>
      </w:r>
    </w:p>
    <w:p>
      <w:pPr>
        <w:ind w:left="40"/>
        <w:spacing w:after="0" w:line="219" w:lineRule="auto"/>
        <w:rPr>
          <w:sz w:val="20"/>
          <w:szCs w:val="20"/>
          <w:color w:val="auto"/>
        </w:rPr>
      </w:pPr>
      <w:r>
        <w:rPr>
          <w:rFonts w:ascii="Times New Roman" w:cs="Times New Roman" w:eastAsia="Times New Roman" w:hAnsi="Times New Roman"/>
          <w:sz w:val="18"/>
          <w:szCs w:val="18"/>
          <w:b w:val="1"/>
          <w:bCs w:val="1"/>
          <w:color w:val="auto"/>
        </w:rPr>
        <w:t>vote for any individual nominee, write that</w:t>
      </w:r>
    </w:p>
    <w:p>
      <w:pPr>
        <w:ind w:left="40"/>
        <w:spacing w:after="0" w:line="203" w:lineRule="auto"/>
        <w:rPr>
          <w:sz w:val="20"/>
          <w:szCs w:val="20"/>
          <w:color w:val="auto"/>
        </w:rPr>
      </w:pPr>
      <w:r>
        <w:rPr>
          <w:rFonts w:ascii="Times New Roman" w:cs="Times New Roman" w:eastAsia="Times New Roman" w:hAnsi="Times New Roman"/>
          <w:sz w:val="18"/>
          <w:szCs w:val="18"/>
          <w:b w:val="1"/>
          <w:bCs w:val="1"/>
          <w:color w:val="auto"/>
        </w:rPr>
        <w:t>nominee's name on the space provided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w:t>
      </w:r>
    </w:p>
    <w:p>
      <w:pPr>
        <w:spacing w:after="0" w:line="27" w:lineRule="exact"/>
        <w:rPr>
          <w:sz w:val="20"/>
          <w:szCs w:val="20"/>
          <w:color w:val="auto"/>
        </w:rPr>
      </w:pPr>
    </w:p>
    <w:p>
      <w:pPr>
        <w:ind w:left="40" w:right="100"/>
        <w:spacing w:after="0" w:line="232" w:lineRule="auto"/>
        <w:rPr>
          <w:sz w:val="20"/>
          <w:szCs w:val="20"/>
          <w:color w:val="auto"/>
        </w:rPr>
      </w:pPr>
      <w:r>
        <w:rPr>
          <w:rFonts w:ascii="Times New Roman" w:cs="Times New Roman" w:eastAsia="Times New Roman" w:hAnsi="Times New Roman"/>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0"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COMPANY ID:</w:t>
      </w:r>
    </w:p>
    <w:p>
      <w:pPr>
        <w:spacing w:after="0" w:line="3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PROXY NUMBER:</w:t>
      </w:r>
    </w:p>
    <w:p>
      <w:pPr>
        <w:spacing w:after="0" w:line="1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Signature _________________________________ Signature if Held Jointly____________________________________ Date____________ , 2024.</w:t>
      </w:r>
    </w:p>
    <w:p>
      <w:pPr>
        <w:spacing w:after="0" w:line="28" w:lineRule="exact"/>
        <w:rPr>
          <w:sz w:val="20"/>
          <w:szCs w:val="20"/>
          <w:color w:val="auto"/>
        </w:rPr>
      </w:pPr>
    </w:p>
    <w:p>
      <w:pPr>
        <w:ind w:left="80" w:right="1280"/>
        <w:spacing w:after="0" w:line="214" w:lineRule="auto"/>
        <w:rPr>
          <w:sz w:val="20"/>
          <w:szCs w:val="20"/>
          <w:color w:val="auto"/>
        </w:rPr>
      </w:pPr>
      <w:r>
        <w:rPr>
          <w:rFonts w:ascii="Times New Roman" w:cs="Times New Roman" w:eastAsia="Times New Roman" w:hAnsi="Times New Roman"/>
          <w:sz w:val="11"/>
          <w:szCs w:val="11"/>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20" w:top="1440" w:right="31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line="287" w:lineRule="auto"/>
        <w:rPr>
          <w:sz w:val="20"/>
          <w:szCs w:val="20"/>
          <w:color w:val="auto"/>
        </w:rPr>
      </w:pPr>
      <w:r>
        <w:rPr>
          <w:rFonts w:ascii="Times New Roman" w:cs="Times New Roman" w:eastAsia="Times New Roman" w:hAnsi="Times New Roman"/>
          <w:sz w:val="29"/>
          <w:szCs w:val="29"/>
          <w:b w:val="1"/>
          <w:bCs w:val="1"/>
          <w:color w:val="auto"/>
        </w:rPr>
        <w:t>Important Notice Regarding the Availability of Proxy Materials for the Annual Meeting of Shareholders to be held April 23, 2024</w:t>
      </w:r>
    </w:p>
    <w:p>
      <w:pPr>
        <w:spacing w:after="0" w:line="147" w:lineRule="exact"/>
        <w:rPr>
          <w:sz w:val="20"/>
          <w:szCs w:val="20"/>
          <w:color w:val="auto"/>
        </w:rPr>
      </w:pPr>
    </w:p>
    <w:p>
      <w:pPr>
        <w:jc w:val="center"/>
        <w:ind w:left="420" w:right="180"/>
        <w:spacing w:after="0" w:line="261" w:lineRule="auto"/>
        <w:rPr>
          <w:sz w:val="20"/>
          <w:szCs w:val="20"/>
          <w:color w:val="auto"/>
        </w:rPr>
      </w:pPr>
      <w:r>
        <w:rPr>
          <w:rFonts w:ascii="Times New Roman" w:cs="Times New Roman" w:eastAsia="Times New Roman" w:hAnsi="Times New Roman"/>
          <w:sz w:val="29"/>
          <w:szCs w:val="29"/>
          <w:b w:val="1"/>
          <w:bCs w:val="1"/>
          <w:color w:val="auto"/>
        </w:rPr>
        <w:t>The Notice, Proxy Statement, and our Annual Report on Form 10-K for the year ended December 31, 2023 are available at: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http://www.cstproxy.com/cumberlandpharma/2024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FOLD AND DETACH HERE AND READ THE REVERSE SIDE</w:t>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To Be Held April 23, 2024</w:t>
      </w:r>
    </w:p>
    <w:p>
      <w:pPr>
        <w:spacing w:after="0" w:line="260" w:lineRule="exact"/>
        <w:rPr>
          <w:sz w:val="20"/>
          <w:szCs w:val="20"/>
          <w:color w:val="auto"/>
        </w:rPr>
      </w:pPr>
    </w:p>
    <w:p>
      <w:pPr>
        <w:jc w:val="both"/>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undersigned hereby appoints A.J. Kazimi and Kenneth J. Krogulski, or either of them, as proxies, with full power of substitution, and hereby authorizes each of them to represent and vote, as designated on the reverse side, all of the shares of Common Stock of Cumberland Pharmaceuticals Inc., held of record by the undersigned on March 1, 2024 at the Annual Meeting of Shareholders to be held at the Cumberland Pharmaceuticals Inc., 1600 West End Avenue, Suite 1300, Nashville, Tennessee 37203 on Tuesday, April 23, 2024,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4"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 2.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(Continued, and to be marked, dated and signed, on the other side)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lvl w:ilvl="1">
      <w:lvlJc w:val="left"/>
      <w:lvlText w:val="(%2)"/>
      <w:numFmt w:val="decimal"/>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1)"/>
      <w:numFmt w:val="decimal"/>
    </w:lvl>
    <w:lvl w:ilvl="1">
      <w:lvlJc w:val="left"/>
      <w:lvlText w:val="o"/>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2024-03-13T16:12:29Z</dcterms:created>
  <dcterms:modified xsi:type="dcterms:W3CDTF">2024-03-13T16:12:29Z</dcterms:modified>
</cp:coreProperties>
</file>