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434340</wp:posOffset>
            </wp:positionV>
            <wp:extent cx="7772400" cy="9624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624060"/>
                    </a:xfrm>
                    <a:prstGeom prst="rect">
                      <a:avLst/>
                    </a:prstGeom>
                    <a:noFill/>
                  </pic:spPr>
                </pic:pic>
              </a:graphicData>
            </a:graphic>
          </wp:anchor>
        </w:drawing>
      </w:r>
    </w:p>
    <w:p>
      <w:pPr>
        <w:spacing w:after="0" w:line="321" w:lineRule="exact"/>
        <w:rPr>
          <w:sz w:val="24"/>
          <w:szCs w:val="24"/>
          <w:color w:val="auto"/>
        </w:rPr>
      </w:pPr>
    </w:p>
    <w:p>
      <w:pPr>
        <w:ind w:left="340"/>
        <w:spacing w:after="0"/>
        <w:rPr>
          <w:sz w:val="20"/>
          <w:szCs w:val="20"/>
          <w:color w:val="auto"/>
        </w:rPr>
      </w:pPr>
      <w:r>
        <w:rPr>
          <w:rFonts w:ascii="Arial" w:cs="Arial" w:eastAsia="Arial" w:hAnsi="Arial"/>
          <w:sz w:val="46"/>
          <w:szCs w:val="46"/>
          <w:b w:val="1"/>
          <w:bCs w:val="1"/>
          <w:color w:val="00004D"/>
        </w:rPr>
        <w:t xml:space="preserve">Working together </w:t>
      </w:r>
      <w:r>
        <w:rPr>
          <w:rFonts w:ascii="Arial" w:cs="Arial" w:eastAsia="Arial" w:hAnsi="Arial"/>
          <w:sz w:val="46"/>
          <w:szCs w:val="46"/>
          <w:color w:val="00004D"/>
        </w:rPr>
        <w:t>to provide</w:t>
      </w:r>
    </w:p>
    <w:p>
      <w:pPr>
        <w:spacing w:after="0" w:line="51" w:lineRule="exact"/>
        <w:rPr>
          <w:sz w:val="24"/>
          <w:szCs w:val="24"/>
          <w:color w:val="auto"/>
        </w:rPr>
      </w:pPr>
    </w:p>
    <w:p>
      <w:pPr>
        <w:ind w:left="840"/>
        <w:spacing w:after="0"/>
        <w:rPr>
          <w:sz w:val="20"/>
          <w:szCs w:val="20"/>
          <w:color w:val="auto"/>
        </w:rPr>
      </w:pPr>
      <w:r>
        <w:rPr>
          <w:rFonts w:ascii="Arial" w:cs="Arial" w:eastAsia="Arial" w:hAnsi="Arial"/>
          <w:sz w:val="46"/>
          <w:szCs w:val="46"/>
          <w:color w:val="00004D"/>
        </w:rPr>
        <w:t>unique products that improve patient care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38"/>
          <w:szCs w:val="38"/>
          <w:color w:val="377FA7"/>
        </w:rPr>
        <w:t>2023 Annual Report</w:t>
      </w:r>
    </w:p>
    <w:p>
      <w:pPr>
        <w:sectPr>
          <w:pgSz w:w="12240" w:h="15840" w:orient="portrait"/>
          <w:cols w:equalWidth="0" w:num="1">
            <w:col w:w="10020"/>
          </w:cols>
          <w:pgMar w:left="780" w:top="1440" w:right="1440" w:bottom="495"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55448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448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40"/>
        <w:spacing w:after="0"/>
        <w:rPr>
          <w:sz w:val="20"/>
          <w:szCs w:val="20"/>
          <w:color w:val="auto"/>
        </w:rPr>
      </w:pPr>
      <w:r>
        <w:rPr>
          <w:rFonts w:ascii="Arial" w:cs="Arial" w:eastAsia="Arial" w:hAnsi="Arial"/>
          <w:sz w:val="54"/>
          <w:szCs w:val="54"/>
          <w:color w:val="FFFFFF"/>
        </w:rPr>
        <w:t>2023 Highlights</w:t>
      </w:r>
    </w:p>
    <w:p>
      <w:pPr>
        <w:spacing w:after="0" w:line="81" w:lineRule="exact"/>
        <w:rPr>
          <w:sz w:val="20"/>
          <w:szCs w:val="20"/>
          <w:color w:val="auto"/>
        </w:rPr>
      </w:pPr>
    </w:p>
    <w:p>
      <w:pPr>
        <w:ind w:left="740"/>
        <w:spacing w:after="0"/>
        <w:rPr>
          <w:sz w:val="20"/>
          <w:szCs w:val="20"/>
          <w:color w:val="auto"/>
        </w:rPr>
      </w:pPr>
      <w:r>
        <w:rPr>
          <w:rFonts w:ascii="Arial" w:cs="Arial" w:eastAsia="Arial" w:hAnsi="Arial"/>
          <w:sz w:val="35"/>
          <w:szCs w:val="35"/>
          <w:b w:val="1"/>
          <w:bCs w:val="1"/>
          <w:color w:val="FFFFFF"/>
        </w:rPr>
        <w:t>Delivering Our Products to New Patients</w:t>
      </w:r>
    </w:p>
    <w:p>
      <w:pPr>
        <w:spacing w:after="0" w:line="20" w:lineRule="exact"/>
        <w:rPr>
          <w:sz w:val="20"/>
          <w:szCs w:val="20"/>
          <w:color w:val="auto"/>
        </w:rPr>
      </w:pPr>
      <w:r>
        <w:rPr>
          <w:sz w:val="20"/>
          <w:szCs w:val="20"/>
          <w:color w:val="auto"/>
        </w:rPr>
        <w:br w:type="column"/>
      </w:r>
    </w:p>
    <w:p>
      <w:pPr>
        <w:ind w:right="1340"/>
        <w:spacing w:after="0" w:line="287" w:lineRule="auto"/>
        <w:rPr>
          <w:sz w:val="20"/>
          <w:szCs w:val="20"/>
          <w:color w:val="auto"/>
        </w:rPr>
      </w:pPr>
      <w:r>
        <w:rPr>
          <w:rFonts w:ascii="Arial" w:cs="Arial" w:eastAsia="Arial" w:hAnsi="Arial"/>
          <w:sz w:val="53"/>
          <w:szCs w:val="53"/>
          <w:color w:val="377FA7"/>
        </w:rPr>
        <w:t>To Our Shareholders, Employees &amp; Partners:</w:t>
      </w:r>
    </w:p>
    <w:p>
      <w:pPr>
        <w:spacing w:after="0" w:line="914" w:lineRule="exact"/>
        <w:rPr>
          <w:sz w:val="20"/>
          <w:szCs w:val="20"/>
          <w:color w:val="auto"/>
        </w:rPr>
      </w:pPr>
    </w:p>
    <w:p>
      <w:pPr>
        <w:sectPr>
          <w:pgSz w:w="24480" w:h="15840" w:orient="landscape"/>
          <w:cols w:equalWidth="0" w:num="2">
            <w:col w:w="16100" w:space="720"/>
            <w:col w:w="6840"/>
          </w:cols>
          <w:pgMar w:left="400" w:top="1203" w:right="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377FA7"/>
        </w:rPr>
        <w:t xml:space="preserve">May </w:t>
      </w:r>
      <w:r>
        <w:rPr>
          <w:rFonts w:ascii="Arial" w:cs="Arial" w:eastAsia="Arial" w:hAnsi="Arial"/>
          <w:sz w:val="32"/>
          <w:szCs w:val="32"/>
          <w:color w:val="00471F"/>
        </w:rPr>
        <w:t>|</w:t>
      </w:r>
      <w:r>
        <w:rPr>
          <w:rFonts w:ascii="Arial" w:cs="Arial" w:eastAsia="Arial" w:hAnsi="Arial"/>
          <w:sz w:val="32"/>
          <w:szCs w:val="32"/>
          <w:b w:val="1"/>
          <w:bCs w:val="1"/>
          <w:color w:val="377FA7"/>
        </w:rPr>
        <w:t xml:space="preserve"> </w:t>
      </w:r>
      <w:r>
        <w:rPr>
          <w:rFonts w:ascii="Arial" w:cs="Arial" w:eastAsia="Arial" w:hAnsi="Arial"/>
          <w:sz w:val="32"/>
          <w:szCs w:val="32"/>
          <w:color w:val="00004D"/>
        </w:rPr>
        <w:t>Caldolor</w:t>
      </w:r>
      <w:r>
        <w:rPr>
          <w:rFonts w:ascii="Arial" w:cs="Arial" w:eastAsia="Arial" w:hAnsi="Arial"/>
          <w:sz w:val="18"/>
          <w:szCs w:val="18"/>
          <w:color w:val="00004D"/>
        </w:rPr>
        <w:t>®</w:t>
      </w:r>
      <w:r>
        <w:rPr>
          <w:rFonts w:ascii="Arial" w:cs="Arial" w:eastAsia="Arial" w:hAnsi="Arial"/>
          <w:sz w:val="32"/>
          <w:szCs w:val="32"/>
          <w:b w:val="1"/>
          <w:bCs w:val="1"/>
          <w:color w:val="377FA7"/>
        </w:rPr>
        <w:t xml:space="preserve"> </w:t>
      </w:r>
      <w:r>
        <w:rPr>
          <w:rFonts w:ascii="Arial" w:cs="Arial" w:eastAsia="Arial" w:hAnsi="Arial"/>
          <w:sz w:val="32"/>
          <w:szCs w:val="32"/>
          <w:color w:val="00004D"/>
        </w:rPr>
        <w:t>Newborn Indication &amp; Study Publication</w:t>
      </w:r>
    </w:p>
    <w:p>
      <w:pPr>
        <w:spacing w:after="0" w:line="134" w:lineRule="exact"/>
        <w:rPr>
          <w:sz w:val="20"/>
          <w:szCs w:val="20"/>
          <w:color w:val="auto"/>
        </w:rPr>
      </w:pPr>
    </w:p>
    <w:p>
      <w:pPr>
        <w:ind w:left="740" w:right="1380"/>
        <w:spacing w:after="0" w:line="296" w:lineRule="auto"/>
        <w:rPr>
          <w:sz w:val="20"/>
          <w:szCs w:val="20"/>
          <w:color w:val="auto"/>
        </w:rPr>
      </w:pPr>
      <w:r>
        <w:rPr>
          <w:rFonts w:ascii="Arial" w:cs="Arial" w:eastAsia="Arial" w:hAnsi="Arial"/>
          <w:sz w:val="22"/>
          <w:szCs w:val="22"/>
          <w:color w:val="auto"/>
        </w:rPr>
        <w:t>The FDA approved expanded labeling for our Caldolor product, an intravenously delivered formulation of ibuprofen, to include use in infants. The non-narcotic agent may now be administered for the treatment of pain and fever in patients 3 to 6 months of age. With this newly approved labeling, Caldolor is the only non-opioid product approved to treat pain in infants that is delivered through injection.</w:t>
      </w:r>
    </w:p>
    <w:p>
      <w:pPr>
        <w:spacing w:after="0" w:line="240" w:lineRule="exact"/>
        <w:rPr>
          <w:sz w:val="20"/>
          <w:szCs w:val="20"/>
          <w:color w:val="auto"/>
        </w:rPr>
      </w:pPr>
    </w:p>
    <w:p>
      <w:pPr>
        <w:ind w:left="740" w:right="1380"/>
        <w:spacing w:after="0" w:line="299" w:lineRule="auto"/>
        <w:rPr>
          <w:sz w:val="20"/>
          <w:szCs w:val="20"/>
          <w:color w:val="auto"/>
        </w:rPr>
      </w:pPr>
      <w:r>
        <w:rPr>
          <w:rFonts w:ascii="Arial" w:cs="Arial" w:eastAsia="Arial" w:hAnsi="Arial"/>
          <w:sz w:val="22"/>
          <w:szCs w:val="22"/>
          <w:color w:val="auto"/>
        </w:rPr>
        <w:t xml:space="preserve">We also shared the positive results from a clinical study investigating the safety and pharmacokinetics of Caldolor in newborns, published in the journal </w:t>
      </w:r>
      <w:r>
        <w:rPr>
          <w:rFonts w:ascii="Arial" w:cs="Arial" w:eastAsia="Arial" w:hAnsi="Arial"/>
          <w:sz w:val="22"/>
          <w:szCs w:val="22"/>
          <w:i w:val="1"/>
          <w:iCs w:val="1"/>
          <w:color w:val="auto"/>
        </w:rPr>
        <w:t>Pediatric Drugs.</w:t>
      </w:r>
      <w:r>
        <w:rPr>
          <w:rFonts w:ascii="Arial" w:cs="Arial" w:eastAsia="Arial" w:hAnsi="Arial"/>
          <w:sz w:val="22"/>
          <w:szCs w:val="22"/>
          <w:color w:val="auto"/>
        </w:rPr>
        <w:t xml:space="preserve"> The results of the study support the growing body of evidence that demonstrates Caldolor is a safe therapeutic option available to practitioners for the treatment of fever and pain in infants, children and adults.</w:t>
      </w:r>
    </w:p>
    <w:p>
      <w:pPr>
        <w:spacing w:after="0" w:line="200" w:lineRule="exact"/>
        <w:rPr>
          <w:sz w:val="20"/>
          <w:szCs w:val="20"/>
          <w:color w:val="auto"/>
        </w:rPr>
      </w:pPr>
    </w:p>
    <w:p>
      <w:pPr>
        <w:spacing w:after="0" w:line="307"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377FA7"/>
        </w:rPr>
        <w:t xml:space="preserve">June </w:t>
      </w:r>
      <w:r>
        <w:rPr>
          <w:rFonts w:ascii="Arial" w:cs="Arial" w:eastAsia="Arial" w:hAnsi="Arial"/>
          <w:sz w:val="32"/>
          <w:szCs w:val="32"/>
          <w:color w:val="00471F"/>
        </w:rPr>
        <w:t>|</w:t>
      </w:r>
      <w:r>
        <w:rPr>
          <w:rFonts w:ascii="Arial" w:cs="Arial" w:eastAsia="Arial" w:hAnsi="Arial"/>
          <w:sz w:val="32"/>
          <w:szCs w:val="32"/>
          <w:b w:val="1"/>
          <w:bCs w:val="1"/>
          <w:color w:val="377FA7"/>
        </w:rPr>
        <w:t xml:space="preserve"> </w:t>
      </w:r>
      <w:r>
        <w:rPr>
          <w:rFonts w:ascii="Arial" w:cs="Arial" w:eastAsia="Arial" w:hAnsi="Arial"/>
          <w:sz w:val="32"/>
          <w:szCs w:val="32"/>
          <w:color w:val="00004D"/>
        </w:rPr>
        <w:t>Expanded Oncology Sales Division</w:t>
      </w:r>
    </w:p>
    <w:p>
      <w:pPr>
        <w:spacing w:after="0" w:line="134" w:lineRule="exact"/>
        <w:rPr>
          <w:sz w:val="20"/>
          <w:szCs w:val="20"/>
          <w:color w:val="auto"/>
        </w:rPr>
      </w:pPr>
    </w:p>
    <w:p>
      <w:pPr>
        <w:ind w:left="740" w:right="1440"/>
        <w:spacing w:after="0" w:line="299" w:lineRule="auto"/>
        <w:rPr>
          <w:sz w:val="20"/>
          <w:szCs w:val="20"/>
          <w:color w:val="auto"/>
        </w:rPr>
      </w:pPr>
      <w:r>
        <w:rPr>
          <w:rFonts w:ascii="Arial" w:cs="Arial" w:eastAsia="Arial" w:hAnsi="Arial"/>
          <w:sz w:val="22"/>
          <w:szCs w:val="22"/>
          <w:color w:val="auto"/>
        </w:rPr>
        <w:t>We expanded our oncology sales division as we work to deliver our newest brand Sancuso</w:t>
      </w:r>
      <w:r>
        <w:rPr>
          <w:rFonts w:ascii="Arial" w:cs="Arial" w:eastAsia="Arial" w:hAnsi="Arial"/>
          <w:sz w:val="12"/>
          <w:szCs w:val="12"/>
          <w:color w:val="auto"/>
        </w:rPr>
        <w:t>®</w:t>
      </w:r>
      <w:r>
        <w:rPr>
          <w:rFonts w:ascii="Arial" w:cs="Arial" w:eastAsia="Arial" w:hAnsi="Arial"/>
          <w:sz w:val="22"/>
          <w:szCs w:val="22"/>
          <w:color w:val="auto"/>
        </w:rPr>
        <w:t xml:space="preserve"> – to help cancer patients tolerate their chemotherapy treatments. Sancuso is the first and only FDA-approved prescription patch for the prevention of nausea and vomiting in patients receiving certain types of chemotherapy.</w:t>
      </w: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Arial" w:cs="Arial" w:eastAsia="Arial" w:hAnsi="Arial"/>
          <w:sz w:val="32"/>
          <w:szCs w:val="32"/>
          <w:b w:val="1"/>
          <w:bCs w:val="1"/>
          <w:color w:val="377FA7"/>
        </w:rPr>
        <w:t xml:space="preserve">October </w:t>
      </w:r>
      <w:r>
        <w:rPr>
          <w:rFonts w:ascii="Arial" w:cs="Arial" w:eastAsia="Arial" w:hAnsi="Arial"/>
          <w:sz w:val="32"/>
          <w:szCs w:val="32"/>
          <w:color w:val="00471F"/>
        </w:rPr>
        <w:t>|</w:t>
      </w:r>
      <w:r>
        <w:rPr>
          <w:rFonts w:ascii="Arial" w:cs="Arial" w:eastAsia="Arial" w:hAnsi="Arial"/>
          <w:sz w:val="32"/>
          <w:szCs w:val="32"/>
          <w:b w:val="1"/>
          <w:bCs w:val="1"/>
          <w:color w:val="377FA7"/>
        </w:rPr>
        <w:t xml:space="preserve"> </w:t>
      </w:r>
      <w:r>
        <w:rPr>
          <w:rFonts w:ascii="Arial" w:cs="Arial" w:eastAsia="Arial" w:hAnsi="Arial"/>
          <w:sz w:val="32"/>
          <w:szCs w:val="32"/>
          <w:color w:val="00004D"/>
        </w:rPr>
        <w:t>New Vibativ</w:t>
      </w:r>
      <w:r>
        <w:rPr>
          <w:rFonts w:ascii="Arial" w:cs="Arial" w:eastAsia="Arial" w:hAnsi="Arial"/>
          <w:sz w:val="18"/>
          <w:szCs w:val="18"/>
          <w:color w:val="00004D"/>
        </w:rPr>
        <w:t>®</w:t>
      </w:r>
      <w:r>
        <w:rPr>
          <w:rFonts w:ascii="Arial" w:cs="Arial" w:eastAsia="Arial" w:hAnsi="Arial"/>
          <w:sz w:val="32"/>
          <w:szCs w:val="32"/>
          <w:b w:val="1"/>
          <w:bCs w:val="1"/>
          <w:color w:val="377FA7"/>
        </w:rPr>
        <w:t xml:space="preserve"> </w:t>
      </w:r>
      <w:r>
        <w:rPr>
          <w:rFonts w:ascii="Arial" w:cs="Arial" w:eastAsia="Arial" w:hAnsi="Arial"/>
          <w:sz w:val="32"/>
          <w:szCs w:val="32"/>
          <w:color w:val="00004D"/>
        </w:rPr>
        <w:t>Pediatric Study Publication</w:t>
      </w:r>
    </w:p>
    <w:p>
      <w:pPr>
        <w:spacing w:after="0" w:line="134" w:lineRule="exact"/>
        <w:rPr>
          <w:sz w:val="20"/>
          <w:szCs w:val="20"/>
          <w:color w:val="auto"/>
        </w:rPr>
      </w:pPr>
    </w:p>
    <w:p>
      <w:pPr>
        <w:ind w:left="740" w:right="1620"/>
        <w:spacing w:after="0" w:line="292" w:lineRule="auto"/>
        <w:rPr>
          <w:sz w:val="20"/>
          <w:szCs w:val="20"/>
          <w:color w:val="auto"/>
        </w:rPr>
      </w:pPr>
      <w:r>
        <w:rPr>
          <w:rFonts w:ascii="Arial" w:cs="Arial" w:eastAsia="Arial" w:hAnsi="Arial"/>
          <w:sz w:val="22"/>
          <w:szCs w:val="22"/>
          <w:color w:val="auto"/>
        </w:rPr>
        <w:t xml:space="preserve">We announced a new publication in </w:t>
      </w:r>
      <w:r>
        <w:rPr>
          <w:rFonts w:ascii="Arial" w:cs="Arial" w:eastAsia="Arial" w:hAnsi="Arial"/>
          <w:sz w:val="22"/>
          <w:szCs w:val="22"/>
          <w:i w:val="1"/>
          <w:iCs w:val="1"/>
          <w:color w:val="auto"/>
        </w:rPr>
        <w:t>Antimicrobial Agents and Chemotherapy</w:t>
      </w:r>
      <w:r>
        <w:rPr>
          <w:rFonts w:ascii="Arial" w:cs="Arial" w:eastAsia="Arial" w:hAnsi="Arial"/>
          <w:sz w:val="22"/>
          <w:szCs w:val="22"/>
          <w:color w:val="auto"/>
        </w:rPr>
        <w:t xml:space="preserve"> detailing the results of the first clinical study investigating the safety and pharmacokinetics of our Vibativ product in children 2 to 17 years of age. Vibativ is an intravenous antibiotic approved by the FDA for the treatment of hospital-acquired and ventilator-associated bacterial pneumonia, as well as complicated skin and skin structure infections caused by certain gram-positive bacteria. The results of the study suggest that a single dose of Vibativ is safe in children and they experience reduced exposure to Vibativ, compared with the same body weight-based dosing in adults.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100"/>
        <w:spacing w:after="0" w:line="273" w:lineRule="auto"/>
        <w:rPr>
          <w:sz w:val="20"/>
          <w:szCs w:val="20"/>
          <w:color w:val="auto"/>
        </w:rPr>
      </w:pPr>
      <w:r>
        <w:rPr>
          <w:rFonts w:ascii="Arial" w:cs="Arial" w:eastAsia="Arial" w:hAnsi="Arial"/>
          <w:sz w:val="20"/>
          <w:szCs w:val="20"/>
          <w:color w:val="auto"/>
        </w:rPr>
        <w:t>In many ways 2023 was a building year for Cumberland, as we continued to integrate our newest products, while also delivering several significant achievements.</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20"/>
          <w:szCs w:val="20"/>
          <w:color w:val="auto"/>
        </w:rPr>
        <w:t xml:space="preserve">During the year we took a fresh look at our mission statement and refined it to better capture the spirit of what we do each day at Cumberland. Our mission is now: </w:t>
      </w:r>
      <w:r>
        <w:rPr>
          <w:rFonts w:ascii="Arial" w:cs="Arial" w:eastAsia="Arial" w:hAnsi="Arial"/>
          <w:sz w:val="20"/>
          <w:szCs w:val="20"/>
          <w:b w:val="1"/>
          <w:bCs w:val="1"/>
          <w:color w:val="auto"/>
        </w:rPr>
        <w:t>working together to provide unique products that</w:t>
      </w:r>
      <w:r>
        <w:rPr>
          <w:rFonts w:ascii="Arial" w:cs="Arial" w:eastAsia="Arial" w:hAnsi="Arial"/>
          <w:sz w:val="20"/>
          <w:szCs w:val="20"/>
          <w:color w:val="auto"/>
        </w:rPr>
        <w:t xml:space="preserve"> </w:t>
      </w:r>
      <w:r>
        <w:rPr>
          <w:rFonts w:ascii="Arial" w:cs="Arial" w:eastAsia="Arial" w:hAnsi="Arial"/>
          <w:sz w:val="20"/>
          <w:szCs w:val="20"/>
          <w:b w:val="1"/>
          <w:bCs w:val="1"/>
          <w:color w:val="auto"/>
        </w:rPr>
        <w:t>improve the quality of patient care.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In designing this statement, we considered several factors.</w:t>
      </w:r>
    </w:p>
    <w:p>
      <w:pPr>
        <w:spacing w:after="0" w:line="250"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color w:val="auto"/>
        </w:rPr>
        <w:t>First, we wanted our mission to address the constituencies we serve, which include patients in need of care, as well as health care providers, our employees, shareholders, partners and community.</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color w:val="auto"/>
        </w:rPr>
        <w:t>We also sought to reflect Cumberland’s culture, where teamwork is prized, emphasized and expected – in order to achieve our goals.</w:t>
      </w:r>
    </w:p>
    <w:p>
      <w:pPr>
        <w:spacing w:after="0" w:line="175" w:lineRule="exact"/>
        <w:rPr>
          <w:sz w:val="20"/>
          <w:szCs w:val="20"/>
          <w:color w:val="auto"/>
        </w:rPr>
      </w:pPr>
    </w:p>
    <w:p>
      <w:pPr>
        <w:ind w:right="60"/>
        <w:spacing w:after="0" w:line="296" w:lineRule="auto"/>
        <w:rPr>
          <w:sz w:val="20"/>
          <w:szCs w:val="20"/>
          <w:color w:val="auto"/>
        </w:rPr>
      </w:pPr>
      <w:r>
        <w:rPr>
          <w:rFonts w:ascii="Arial" w:cs="Arial" w:eastAsia="Arial" w:hAnsi="Arial"/>
          <w:sz w:val="20"/>
          <w:szCs w:val="20"/>
          <w:color w:val="auto"/>
        </w:rPr>
        <w:t>Next, it needed to demonstrate our focus on developing, acquiring and distributing differentiated brands.</w:t>
      </w:r>
    </w:p>
    <w:p>
      <w:pPr>
        <w:spacing w:after="0" w:line="153"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And finally, we wanted to emphasize that the patient is at the core of everything we do. Our collective efforts are directed at providing unique products that serve as better alternatives for poorly met medical needs.</w:t>
      </w:r>
    </w:p>
    <w:p>
      <w:pPr>
        <w:spacing w:after="0" w:line="184"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color w:val="auto"/>
        </w:rPr>
        <w:t>Now, as we report on the progress we made throughout 2023, we are pleased to share a few exciting updates including the growth opportunities for our portfolio of branded medicines.</w:t>
      </w:r>
    </w:p>
    <w:p>
      <w:pPr>
        <w:spacing w:after="0" w:line="184" w:lineRule="exact"/>
        <w:rPr>
          <w:sz w:val="20"/>
          <w:szCs w:val="20"/>
          <w:color w:val="auto"/>
        </w:rPr>
      </w:pPr>
    </w:p>
    <w:p>
      <w:pPr>
        <w:ind w:right="160"/>
        <w:spacing w:after="0" w:line="256" w:lineRule="auto"/>
        <w:rPr>
          <w:sz w:val="20"/>
          <w:szCs w:val="20"/>
          <w:color w:val="auto"/>
        </w:rPr>
      </w:pPr>
      <w:r>
        <w:rPr>
          <w:rFonts w:ascii="Arial" w:cs="Arial" w:eastAsia="Arial" w:hAnsi="Arial"/>
          <w:sz w:val="20"/>
          <w:szCs w:val="20"/>
          <w:color w:val="auto"/>
        </w:rPr>
        <w:t>Following the FDA’s approval to expand the labeling for Caldolor, our non-narcotic agent may now be administered for the treatment of pain and fever in patients 3 to 6 months of age. This expanded use was further supported by the publication of positive results from a clinical study investigating the safety and pharmacokinetics of Caldolor in newborns. We are thrilled to extend Caldolor’s labeling for these youngest of patients.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40"/>
        <w:spacing w:after="0" w:line="261" w:lineRule="auto"/>
        <w:rPr>
          <w:sz w:val="20"/>
          <w:szCs w:val="20"/>
          <w:color w:val="auto"/>
        </w:rPr>
      </w:pPr>
      <w:r>
        <w:rPr>
          <w:rFonts w:ascii="Arial" w:cs="Arial" w:eastAsia="Arial" w:hAnsi="Arial"/>
          <w:sz w:val="20"/>
          <w:szCs w:val="20"/>
          <w:color w:val="auto"/>
        </w:rPr>
        <w:t>Additionally, we shared the results of the first pediatric study investigating the safety and pharmacokinetics of our Vibativ product. The results suggest that a single dose of Vibativ can be safely administered to children to fight certain serious skin and lung infections.</w:t>
      </w:r>
    </w:p>
    <w:p>
      <w:pPr>
        <w:spacing w:after="0" w:line="189" w:lineRule="exact"/>
        <w:rPr>
          <w:sz w:val="20"/>
          <w:szCs w:val="20"/>
          <w:color w:val="auto"/>
        </w:rPr>
      </w:pPr>
    </w:p>
    <w:p>
      <w:pPr>
        <w:ind w:right="360"/>
        <w:spacing w:after="0" w:line="273" w:lineRule="auto"/>
        <w:rPr>
          <w:sz w:val="20"/>
          <w:szCs w:val="20"/>
          <w:color w:val="auto"/>
        </w:rPr>
      </w:pPr>
      <w:r>
        <w:rPr>
          <w:rFonts w:ascii="Arial" w:cs="Arial" w:eastAsia="Arial" w:hAnsi="Arial"/>
          <w:sz w:val="20"/>
          <w:szCs w:val="20"/>
          <w:color w:val="auto"/>
        </w:rPr>
        <w:t>Meanwhile, we completed the expansion of our oncology sales division as we work to deliver our newest brand, Sancuso, to cancer patients.</w:t>
      </w:r>
    </w:p>
    <w:p>
      <w:pPr>
        <w:spacing w:after="0" w:line="175" w:lineRule="exact"/>
        <w:rPr>
          <w:sz w:val="20"/>
          <w:szCs w:val="20"/>
          <w:color w:val="auto"/>
        </w:rPr>
      </w:pPr>
    </w:p>
    <w:p>
      <w:pPr>
        <w:ind w:right="660"/>
        <w:spacing w:after="0" w:line="261" w:lineRule="auto"/>
        <w:rPr>
          <w:sz w:val="20"/>
          <w:szCs w:val="20"/>
          <w:color w:val="auto"/>
        </w:rPr>
      </w:pPr>
      <w:r>
        <w:rPr>
          <w:rFonts w:ascii="Arial" w:cs="Arial" w:eastAsia="Arial" w:hAnsi="Arial"/>
          <w:sz w:val="20"/>
          <w:szCs w:val="20"/>
          <w:color w:val="auto"/>
        </w:rPr>
        <w:t>As we remain focused on delivering our products to patients within the U.S., we continue to work with our partners in their efforts to register and launch Vibativ in several international markets, which should provide significant future catalysts for the brand.</w:t>
      </w:r>
    </w:p>
    <w:p>
      <w:pPr>
        <w:spacing w:after="0" w:line="189" w:lineRule="exact"/>
        <w:rPr>
          <w:sz w:val="20"/>
          <w:szCs w:val="20"/>
          <w:color w:val="auto"/>
        </w:rPr>
      </w:pPr>
    </w:p>
    <w:p>
      <w:pPr>
        <w:ind w:right="400"/>
        <w:spacing w:after="0" w:line="261" w:lineRule="auto"/>
        <w:rPr>
          <w:sz w:val="20"/>
          <w:szCs w:val="20"/>
          <w:color w:val="auto"/>
        </w:rPr>
      </w:pPr>
      <w:r>
        <w:rPr>
          <w:rFonts w:ascii="Arial" w:cs="Arial" w:eastAsia="Arial" w:hAnsi="Arial"/>
          <w:sz w:val="20"/>
          <w:szCs w:val="20"/>
          <w:color w:val="auto"/>
        </w:rPr>
        <w:t>We also continue to progress our pipeline of innovative products designed to improve patient care and patients’ quality of life. Our ifetroban product candidate is being evaluated in a number of Phase II clinical trials for patients with a series of unmet medical needs.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20"/>
          <w:szCs w:val="20"/>
          <w:color w:val="auto"/>
        </w:rPr>
        <w:t>It has now been dosed in nearly 1,400 subjects and has been found to be safe and well tolerated in those individuals. We look forward to sharing the results from these studies as they emerge and then deciding on the best development path for the product, which we believe has the potential to benefit many patients.</w:t>
      </w:r>
    </w:p>
    <w:p>
      <w:pPr>
        <w:spacing w:after="0" w:line="191" w:lineRule="exact"/>
        <w:rPr>
          <w:sz w:val="20"/>
          <w:szCs w:val="20"/>
          <w:color w:val="auto"/>
        </w:rPr>
      </w:pPr>
    </w:p>
    <w:p>
      <w:pPr>
        <w:ind w:right="480"/>
        <w:spacing w:after="0" w:line="261" w:lineRule="auto"/>
        <w:rPr>
          <w:sz w:val="20"/>
          <w:szCs w:val="20"/>
          <w:color w:val="auto"/>
        </w:rPr>
      </w:pPr>
      <w:r>
        <w:rPr>
          <w:rFonts w:ascii="Arial" w:cs="Arial" w:eastAsia="Arial" w:hAnsi="Arial"/>
          <w:sz w:val="20"/>
          <w:szCs w:val="20"/>
          <w:color w:val="auto"/>
        </w:rPr>
        <w:t>We remain committed to fulfilling our newly refined mission by building a portfolio of specialty pharmaceutical brands, which we do by maximizing the potential of our commercial brands, progressing our pipeline and also pursuing select acquisitions.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All the best,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A.J. Kazimi</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Chairman and Chief Executive Officer</w:t>
      </w:r>
    </w:p>
    <w:p>
      <w:pPr>
        <w:spacing w:after="0" w:line="257" w:lineRule="exact"/>
        <w:rPr>
          <w:sz w:val="20"/>
          <w:szCs w:val="20"/>
          <w:color w:val="auto"/>
        </w:rPr>
      </w:pPr>
    </w:p>
    <w:p>
      <w:pPr>
        <w:sectPr>
          <w:pgSz w:w="24480" w:h="15840" w:orient="landscape"/>
          <w:cols w:equalWidth="0" w:num="3">
            <w:col w:w="11840" w:space="720"/>
            <w:col w:w="5300" w:space="180"/>
            <w:col w:w="5620"/>
          </w:cols>
          <w:pgMar w:left="400" w:top="1203" w:right="420" w:bottom="0" w:gutter="0" w:footer="0" w:header="0"/>
          <w:type w:val="continuous"/>
        </w:sectPr>
      </w:pPr>
    </w:p>
    <w:p>
      <w:pPr>
        <w:spacing w:after="0" w:line="362" w:lineRule="exact"/>
        <w:rPr>
          <w:sz w:val="20"/>
          <w:szCs w:val="20"/>
          <w:color w:val="auto"/>
        </w:rPr>
      </w:pPr>
    </w:p>
    <w:p>
      <w:pPr>
        <w:spacing w:after="0"/>
        <w:tabs>
          <w:tab w:leader="none" w:pos="280" w:val="left"/>
          <w:tab w:leader="none" w:pos="21780" w:val="left"/>
          <w:tab w:leader="none" w:pos="23580" w:val="left"/>
        </w:tabs>
        <w:rPr>
          <w:sz w:val="20"/>
          <w:szCs w:val="20"/>
          <w:color w:val="auto"/>
        </w:rPr>
      </w:pPr>
      <w:r>
        <w:rPr>
          <w:rFonts w:ascii="Arial" w:cs="Arial" w:eastAsia="Arial" w:hAnsi="Arial"/>
          <w:sz w:val="16"/>
          <w:szCs w:val="16"/>
          <w:color w:val="377FA7"/>
        </w:rPr>
        <w:t>2</w:t>
      </w:r>
      <w:r>
        <w:rPr>
          <w:rFonts w:ascii="Arial" w:cs="Arial" w:eastAsia="Arial" w:hAnsi="Arial"/>
          <w:sz w:val="16"/>
          <w:szCs w:val="16"/>
          <w:color w:val="00004D"/>
        </w:rPr>
        <w:tab/>
        <w:t>Cumberland Pharmaceuticals</w:t>
      </w:r>
      <w:r>
        <w:rPr>
          <w:sz w:val="20"/>
          <w:szCs w:val="20"/>
          <w:color w:val="auto"/>
        </w:rPr>
        <w:tab/>
      </w:r>
      <w:r>
        <w:rPr>
          <w:rFonts w:ascii="Arial" w:cs="Arial" w:eastAsia="Arial" w:hAnsi="Arial"/>
          <w:sz w:val="16"/>
          <w:szCs w:val="16"/>
          <w:color w:val="00004D"/>
        </w:rPr>
        <w:t>2023 Annual Report</w:t>
      </w:r>
      <w:r>
        <w:rPr>
          <w:sz w:val="20"/>
          <w:szCs w:val="20"/>
          <w:color w:val="auto"/>
        </w:rPr>
        <w:tab/>
      </w:r>
      <w:r>
        <w:rPr>
          <w:rFonts w:ascii="Arial" w:cs="Arial" w:eastAsia="Arial" w:hAnsi="Arial"/>
          <w:sz w:val="10"/>
          <w:szCs w:val="10"/>
          <w:color w:val="377FA7"/>
        </w:rPr>
        <w:t>1</w:t>
      </w:r>
    </w:p>
    <w:p>
      <w:pPr>
        <w:sectPr>
          <w:pgSz w:w="24480" w:h="15840" w:orient="landscape"/>
          <w:cols w:equalWidth="0" w:num="1">
            <w:col w:w="23660"/>
          </w:cols>
          <w:pgMar w:left="400" w:top="1203" w:right="420" w:bottom="0" w:gutter="0" w:footer="0" w:header="0"/>
          <w:type w:val="continuous"/>
        </w:sectPr>
      </w:pPr>
    </w:p>
    <w:bookmarkStart w:id="2" w:name="page3"/>
    <w:bookmarkEnd w:id="2"/>
    <w:p>
      <w:pPr>
        <w:ind w:left="3060"/>
        <w:spacing w:after="0"/>
        <w:rPr>
          <w:sz w:val="20"/>
          <w:szCs w:val="20"/>
          <w:color w:val="auto"/>
        </w:rPr>
      </w:pPr>
      <w:r>
        <w:rPr>
          <w:rFonts w:ascii="Arial" w:cs="Arial" w:eastAsia="Arial" w:hAnsi="Arial"/>
          <w:sz w:val="54"/>
          <w:szCs w:val="54"/>
          <w:color w:val="00065C"/>
        </w:rPr>
        <w:t>Products to</w:t>
      </w:r>
    </w:p>
    <w:p>
      <w:pPr>
        <w:ind w:left="3520"/>
        <w:spacing w:after="0"/>
        <w:rPr>
          <w:sz w:val="20"/>
          <w:szCs w:val="20"/>
          <w:color w:val="auto"/>
        </w:rPr>
      </w:pPr>
      <w:r>
        <w:rPr>
          <w:rFonts w:ascii="Arial" w:cs="Arial" w:eastAsia="Arial" w:hAnsi="Arial"/>
          <w:sz w:val="54"/>
          <w:szCs w:val="54"/>
          <w:color w:val="00065C"/>
        </w:rPr>
        <w:t>enhance patients’ lives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right="5440"/>
        <w:spacing w:after="0" w:line="297" w:lineRule="auto"/>
        <w:rPr>
          <w:sz w:val="20"/>
          <w:szCs w:val="20"/>
          <w:color w:val="auto"/>
        </w:rPr>
      </w:pPr>
      <w:r>
        <w:rPr>
          <w:rFonts w:ascii="Arial" w:cs="Arial" w:eastAsia="Arial" w:hAnsi="Arial"/>
          <w:sz w:val="34"/>
          <w:szCs w:val="34"/>
          <w:b w:val="1"/>
          <w:bCs w:val="1"/>
          <w:color w:val="377FA7"/>
        </w:rPr>
        <w:t>Addressing unmet medical needs through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-8330565</wp:posOffset>
            </wp:positionH>
            <wp:positionV relativeFrom="paragraph">
              <wp:posOffset>-1674495</wp:posOffset>
            </wp:positionV>
            <wp:extent cx="15544800" cy="10058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44800" cy="10058400"/>
                    </a:xfrm>
                    <a:prstGeom prst="rect">
                      <a:avLst/>
                    </a:prstGeom>
                    <a:noFill/>
                  </pic:spPr>
                </pic:pic>
              </a:graphicData>
            </a:graphic>
          </wp:anchor>
        </w:drawing>
      </w:r>
    </w:p>
    <w:p>
      <w:pPr>
        <w:spacing w:after="0" w:line="117" w:lineRule="exact"/>
        <w:rPr>
          <w:sz w:val="20"/>
          <w:szCs w:val="20"/>
          <w:color w:val="auto"/>
        </w:rPr>
      </w:pPr>
    </w:p>
    <w:p>
      <w:pPr>
        <w:jc w:val="both"/>
        <w:ind w:right="3600"/>
        <w:spacing w:after="0" w:line="288" w:lineRule="auto"/>
        <w:rPr>
          <w:sz w:val="20"/>
          <w:szCs w:val="20"/>
          <w:color w:val="auto"/>
        </w:rPr>
      </w:pPr>
      <w:r>
        <w:rPr>
          <w:rFonts w:ascii="Arial" w:cs="Arial" w:eastAsia="Arial" w:hAnsi="Arial"/>
          <w:sz w:val="22"/>
          <w:szCs w:val="22"/>
          <w:color w:val="auto"/>
        </w:rPr>
        <w:t>With a focus on underserved, specialty markets, including hospital acute care, gastroenterology and oncology, we develop and acquire medicines that are designed to offer distinct advantages over prior treatments.</w:t>
      </w:r>
    </w:p>
    <w:p>
      <w:pPr>
        <w:spacing w:after="0" w:line="209" w:lineRule="exact"/>
        <w:rPr>
          <w:sz w:val="20"/>
          <w:szCs w:val="20"/>
          <w:color w:val="auto"/>
        </w:rPr>
      </w:pPr>
    </w:p>
    <w:p>
      <w:pPr>
        <w:ind w:right="4220"/>
        <w:spacing w:after="0" w:line="288" w:lineRule="auto"/>
        <w:rPr>
          <w:sz w:val="20"/>
          <w:szCs w:val="20"/>
          <w:color w:val="auto"/>
        </w:rPr>
      </w:pPr>
      <w:r>
        <w:rPr>
          <w:rFonts w:ascii="Arial" w:cs="Arial" w:eastAsia="Arial" w:hAnsi="Arial"/>
          <w:sz w:val="22"/>
          <w:szCs w:val="22"/>
          <w:color w:val="auto"/>
        </w:rPr>
        <w:t>Our portfolio of FDA-approved brands is supported through our hospital, field, and oncology sales divisions along with our national accounts and field-based medical teams across the United States.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Our commercial product line includes the brands shown below.</w:t>
      </w:r>
    </w:p>
    <w:p>
      <w:pPr>
        <w:spacing w:after="0" w:line="200" w:lineRule="exact"/>
        <w:rPr>
          <w:sz w:val="20"/>
          <w:szCs w:val="20"/>
          <w:color w:val="auto"/>
        </w:rPr>
      </w:pPr>
    </w:p>
    <w:p>
      <w:pPr>
        <w:sectPr>
          <w:pgSz w:w="24480" w:h="15840" w:orient="landscape"/>
          <w:cols w:equalWidth="0" w:num="2">
            <w:col w:w="12000" w:space="720"/>
            <w:col w:w="10980"/>
          </w:cols>
          <w:pgMar w:left="400" w:top="1293"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Arial" w:cs="Arial" w:eastAsia="Arial" w:hAnsi="Arial"/>
          <w:sz w:val="22"/>
          <w:szCs w:val="22"/>
          <w:color w:val="FFFFFF"/>
        </w:rPr>
        <w:t>For more information on Cumberland’s approved products,</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2"/>
          <w:szCs w:val="22"/>
          <w:color w:val="FFFFFF"/>
        </w:rPr>
        <w:t>including safety and full prescribing information, please visit</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2"/>
          <w:szCs w:val="22"/>
          <w:color w:val="FFFFFF"/>
        </w:rPr>
        <w:t>links to the individual product websites, which can be found</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22"/>
          <w:szCs w:val="22"/>
          <w:color w:val="FFFFFF"/>
        </w:rPr>
        <w:t xml:space="preserve">on our corporate website, </w:t>
      </w:r>
      <w:r>
        <w:rPr>
          <w:rFonts w:ascii="Arial" w:cs="Arial" w:eastAsia="Arial" w:hAnsi="Arial"/>
          <w:sz w:val="22"/>
          <w:szCs w:val="22"/>
          <w:b w:val="1"/>
          <w:bCs w:val="1"/>
          <w:color w:val="FFFFFF"/>
        </w:rPr>
        <w:t>www.cumberlandpharma.com.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740"/>
        <w:spacing w:after="0" w:line="255" w:lineRule="auto"/>
        <w:rPr>
          <w:sz w:val="20"/>
          <w:szCs w:val="20"/>
          <w:color w:val="auto"/>
        </w:rPr>
      </w:pPr>
      <w:r>
        <w:rPr>
          <w:rFonts w:ascii="Arial" w:cs="Arial" w:eastAsia="Arial" w:hAnsi="Arial"/>
          <w:sz w:val="28"/>
          <w:szCs w:val="28"/>
          <w:b w:val="1"/>
          <w:bCs w:val="1"/>
          <w:color w:val="377FA7"/>
        </w:rPr>
        <w:t xml:space="preserve">(acetylcysteine) </w:t>
      </w:r>
      <w:r>
        <w:rPr>
          <w:rFonts w:ascii="Arial" w:cs="Arial" w:eastAsia="Arial" w:hAnsi="Arial"/>
          <w:sz w:val="22"/>
          <w:szCs w:val="22"/>
          <w:color w:val="00004D"/>
        </w:rPr>
        <w:t>An injection used</w:t>
      </w:r>
      <w:r>
        <w:rPr>
          <w:rFonts w:ascii="Arial" w:cs="Arial" w:eastAsia="Arial" w:hAnsi="Arial"/>
          <w:sz w:val="28"/>
          <w:szCs w:val="28"/>
          <w:b w:val="1"/>
          <w:bCs w:val="1"/>
          <w:color w:val="377FA7"/>
        </w:rPr>
        <w:t xml:space="preserve"> </w:t>
      </w:r>
      <w:r>
        <w:rPr>
          <w:rFonts w:ascii="Arial" w:cs="Arial" w:eastAsia="Arial" w:hAnsi="Arial"/>
          <w:sz w:val="22"/>
          <w:szCs w:val="22"/>
          <w:color w:val="00004D"/>
        </w:rPr>
        <w:t>for the treatment of acetaminophen poisoning, which is the leading cause of drug toxicity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60"/>
        <w:spacing w:after="0" w:line="255" w:lineRule="auto"/>
        <w:rPr>
          <w:sz w:val="20"/>
          <w:szCs w:val="20"/>
          <w:color w:val="auto"/>
        </w:rPr>
      </w:pPr>
      <w:r>
        <w:rPr>
          <w:rFonts w:ascii="Arial" w:cs="Arial" w:eastAsia="Arial" w:hAnsi="Arial"/>
          <w:sz w:val="28"/>
          <w:szCs w:val="28"/>
          <w:b w:val="1"/>
          <w:bCs w:val="1"/>
          <w:color w:val="377FA7"/>
        </w:rPr>
        <w:t xml:space="preserve">(granisetron) </w:t>
      </w:r>
      <w:r>
        <w:rPr>
          <w:rFonts w:ascii="Arial" w:cs="Arial" w:eastAsia="Arial" w:hAnsi="Arial"/>
          <w:sz w:val="22"/>
          <w:szCs w:val="22"/>
          <w:color w:val="00004D"/>
        </w:rPr>
        <w:t>The first and only FDA-approved prescription patch that prevents nausea and vomiting in patients receiving certain types of chemotherapy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760"/>
        <w:spacing w:after="0" w:line="242" w:lineRule="auto"/>
        <w:rPr>
          <w:sz w:val="20"/>
          <w:szCs w:val="20"/>
          <w:color w:val="auto"/>
        </w:rPr>
      </w:pPr>
      <w:r>
        <w:rPr>
          <w:rFonts w:ascii="Arial" w:cs="Arial" w:eastAsia="Arial" w:hAnsi="Arial"/>
          <w:sz w:val="28"/>
          <w:szCs w:val="28"/>
          <w:b w:val="1"/>
          <w:bCs w:val="1"/>
          <w:color w:val="377FA7"/>
        </w:rPr>
        <w:t xml:space="preserve">(conivaptan) </w:t>
      </w:r>
      <w:r>
        <w:rPr>
          <w:rFonts w:ascii="Arial" w:cs="Arial" w:eastAsia="Arial" w:hAnsi="Arial"/>
          <w:sz w:val="22"/>
          <w:szCs w:val="22"/>
          <w:color w:val="00004D"/>
        </w:rPr>
        <w:t>The first and only</w:t>
      </w:r>
      <w:r>
        <w:rPr>
          <w:rFonts w:ascii="Arial" w:cs="Arial" w:eastAsia="Arial" w:hAnsi="Arial"/>
          <w:sz w:val="28"/>
          <w:szCs w:val="28"/>
          <w:b w:val="1"/>
          <w:bCs w:val="1"/>
          <w:color w:val="377FA7"/>
        </w:rPr>
        <w:t xml:space="preserve"> </w:t>
      </w:r>
      <w:r>
        <w:rPr>
          <w:rFonts w:ascii="Arial" w:cs="Arial" w:eastAsia="Arial" w:hAnsi="Arial"/>
          <w:sz w:val="22"/>
          <w:szCs w:val="22"/>
          <w:color w:val="00004D"/>
        </w:rPr>
        <w:t>intravenously administered vasopressin receptor antagonist, which is used</w:t>
      </w:r>
    </w:p>
    <w:p>
      <w:pPr>
        <w:spacing w:after="0" w:line="3" w:lineRule="exact"/>
        <w:rPr>
          <w:sz w:val="20"/>
          <w:szCs w:val="20"/>
          <w:color w:val="auto"/>
        </w:rPr>
      </w:pPr>
    </w:p>
    <w:p>
      <w:pPr>
        <w:ind w:right="1060"/>
        <w:spacing w:after="0" w:line="288" w:lineRule="auto"/>
        <w:rPr>
          <w:sz w:val="20"/>
          <w:szCs w:val="20"/>
          <w:color w:val="auto"/>
        </w:rPr>
      </w:pPr>
      <w:r>
        <w:rPr>
          <w:rFonts w:ascii="Arial" w:cs="Arial" w:eastAsia="Arial" w:hAnsi="Arial"/>
          <w:sz w:val="22"/>
          <w:szCs w:val="22"/>
          <w:color w:val="00004D"/>
        </w:rPr>
        <w:t>to raise serum sodium levels in hospitalized patients with euvolemic and hypervolemic hyponatremia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right="500"/>
        <w:spacing w:after="0" w:line="257" w:lineRule="auto"/>
        <w:rPr>
          <w:sz w:val="20"/>
          <w:szCs w:val="20"/>
          <w:color w:val="auto"/>
        </w:rPr>
      </w:pPr>
      <w:r>
        <w:rPr>
          <w:rFonts w:ascii="Arial" w:cs="Arial" w:eastAsia="Arial" w:hAnsi="Arial"/>
          <w:sz w:val="28"/>
          <w:szCs w:val="28"/>
          <w:b w:val="1"/>
          <w:bCs w:val="1"/>
          <w:color w:val="377FA7"/>
        </w:rPr>
        <w:t xml:space="preserve">(lactulose) </w:t>
      </w:r>
      <w:r>
        <w:rPr>
          <w:rFonts w:ascii="Arial" w:cs="Arial" w:eastAsia="Arial" w:hAnsi="Arial"/>
          <w:sz w:val="22"/>
          <w:szCs w:val="22"/>
          <w:color w:val="00004D"/>
        </w:rPr>
        <w:t>The only branded prescription</w:t>
      </w:r>
      <w:r>
        <w:rPr>
          <w:rFonts w:ascii="Arial" w:cs="Arial" w:eastAsia="Arial" w:hAnsi="Arial"/>
          <w:sz w:val="28"/>
          <w:szCs w:val="28"/>
          <w:b w:val="1"/>
          <w:bCs w:val="1"/>
          <w:color w:val="377FA7"/>
        </w:rPr>
        <w:t xml:space="preserve"> </w:t>
      </w:r>
      <w:r>
        <w:rPr>
          <w:rFonts w:ascii="Arial" w:cs="Arial" w:eastAsia="Arial" w:hAnsi="Arial"/>
          <w:sz w:val="22"/>
          <w:szCs w:val="22"/>
          <w:color w:val="00004D"/>
        </w:rPr>
        <w:t>laxative product that combines the established safety and efficacy of lactulose with the convenience and portability of a pre-measured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60" w:right="740"/>
        <w:spacing w:after="0" w:line="252" w:lineRule="auto"/>
        <w:rPr>
          <w:sz w:val="20"/>
          <w:szCs w:val="20"/>
          <w:color w:val="auto"/>
        </w:rPr>
      </w:pPr>
      <w:r>
        <w:rPr>
          <w:rFonts w:ascii="Arial" w:cs="Arial" w:eastAsia="Arial" w:hAnsi="Arial"/>
          <w:sz w:val="28"/>
          <w:szCs w:val="28"/>
          <w:b w:val="1"/>
          <w:bCs w:val="1"/>
          <w:color w:val="377FA7"/>
        </w:rPr>
        <w:t xml:space="preserve">(ibuprofen) </w:t>
      </w:r>
      <w:r>
        <w:rPr>
          <w:rFonts w:ascii="Arial" w:cs="Arial" w:eastAsia="Arial" w:hAnsi="Arial"/>
          <w:sz w:val="22"/>
          <w:szCs w:val="22"/>
          <w:color w:val="00004D"/>
        </w:rPr>
        <w:t>The first injectable therapy</w:t>
      </w:r>
      <w:r>
        <w:rPr>
          <w:rFonts w:ascii="Arial" w:cs="Arial" w:eastAsia="Arial" w:hAnsi="Arial"/>
          <w:sz w:val="28"/>
          <w:szCs w:val="28"/>
          <w:b w:val="1"/>
          <w:bCs w:val="1"/>
          <w:color w:val="377FA7"/>
        </w:rPr>
        <w:t xml:space="preserve"> </w:t>
      </w:r>
      <w:r>
        <w:rPr>
          <w:rFonts w:ascii="Arial" w:cs="Arial" w:eastAsia="Arial" w:hAnsi="Arial"/>
          <w:sz w:val="22"/>
          <w:szCs w:val="22"/>
          <w:color w:val="00004D"/>
        </w:rPr>
        <w:t>approved in the U.S. for the treatment of both pain and fever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40"/>
        <w:spacing w:after="0" w:line="259" w:lineRule="auto"/>
        <w:rPr>
          <w:sz w:val="20"/>
          <w:szCs w:val="20"/>
          <w:color w:val="auto"/>
        </w:rPr>
      </w:pPr>
      <w:r>
        <w:rPr>
          <w:rFonts w:ascii="Arial" w:cs="Arial" w:eastAsia="Arial" w:hAnsi="Arial"/>
          <w:sz w:val="28"/>
          <w:szCs w:val="28"/>
          <w:b w:val="1"/>
          <w:bCs w:val="1"/>
          <w:color w:val="377FA7"/>
        </w:rPr>
        <w:t xml:space="preserve">(telavancin) </w:t>
      </w:r>
      <w:r>
        <w:rPr>
          <w:rFonts w:ascii="Arial" w:cs="Arial" w:eastAsia="Arial" w:hAnsi="Arial"/>
          <w:sz w:val="22"/>
          <w:szCs w:val="22"/>
          <w:color w:val="00004D"/>
        </w:rPr>
        <w:t>An injection used for the</w:t>
      </w:r>
      <w:r>
        <w:rPr>
          <w:rFonts w:ascii="Arial" w:cs="Arial" w:eastAsia="Arial" w:hAnsi="Arial"/>
          <w:sz w:val="28"/>
          <w:szCs w:val="28"/>
          <w:b w:val="1"/>
          <w:bCs w:val="1"/>
          <w:color w:val="377FA7"/>
        </w:rPr>
        <w:t xml:space="preserve"> </w:t>
      </w:r>
      <w:r>
        <w:rPr>
          <w:rFonts w:ascii="Arial" w:cs="Arial" w:eastAsia="Arial" w:hAnsi="Arial"/>
          <w:sz w:val="22"/>
          <w:szCs w:val="22"/>
          <w:color w:val="00004D"/>
        </w:rPr>
        <w:t>treatment of certain serious bacterial infections, including hospital-acquired and ventilator-associated bacterial pneumonia, as well as complicated skin and skin structure infections</w:t>
      </w:r>
    </w:p>
    <w:p>
      <w:pPr>
        <w:spacing w:after="0" w:line="231" w:lineRule="exact"/>
        <w:rPr>
          <w:sz w:val="20"/>
          <w:szCs w:val="20"/>
          <w:color w:val="auto"/>
        </w:rPr>
      </w:pPr>
    </w:p>
    <w:p>
      <w:pPr>
        <w:sectPr>
          <w:pgSz w:w="24480" w:h="15840" w:orient="landscape"/>
          <w:cols w:equalWidth="0" w:num="3">
            <w:col w:w="12280" w:space="720"/>
            <w:col w:w="4780" w:space="720"/>
            <w:col w:w="5200"/>
          </w:cols>
          <w:pgMar w:left="400" w:top="1293" w:right="380" w:bottom="0" w:gutter="0" w:footer="0" w:header="0"/>
          <w:type w:val="continuous"/>
        </w:sectPr>
      </w:pPr>
    </w:p>
    <w:p>
      <w:pPr>
        <w:spacing w:after="0" w:line="121" w:lineRule="exact"/>
        <w:rPr>
          <w:sz w:val="20"/>
          <w:szCs w:val="20"/>
          <w:color w:val="auto"/>
        </w:rPr>
      </w:pPr>
    </w:p>
    <w:p>
      <w:pPr>
        <w:spacing w:after="0"/>
        <w:tabs>
          <w:tab w:leader="none" w:pos="280" w:val="left"/>
          <w:tab w:leader="none" w:pos="21780" w:val="left"/>
          <w:tab w:leader="none" w:pos="23580" w:val="left"/>
        </w:tabs>
        <w:rPr>
          <w:sz w:val="20"/>
          <w:szCs w:val="20"/>
          <w:color w:val="auto"/>
        </w:rPr>
      </w:pPr>
      <w:r>
        <w:rPr>
          <w:rFonts w:ascii="Arial" w:cs="Arial" w:eastAsia="Arial" w:hAnsi="Arial"/>
          <w:sz w:val="16"/>
          <w:szCs w:val="16"/>
          <w:color w:val="377FA7"/>
        </w:rPr>
        <w:t>2</w:t>
      </w:r>
      <w:r>
        <w:rPr>
          <w:rFonts w:ascii="Arial" w:cs="Arial" w:eastAsia="Arial" w:hAnsi="Arial"/>
          <w:sz w:val="16"/>
          <w:szCs w:val="16"/>
          <w:color w:val="00004D"/>
        </w:rPr>
        <w:tab/>
        <w:t>Cumberland Pharmaceuticals</w:t>
      </w:r>
      <w:r>
        <w:rPr>
          <w:sz w:val="20"/>
          <w:szCs w:val="20"/>
          <w:color w:val="auto"/>
        </w:rPr>
        <w:tab/>
      </w:r>
      <w:r>
        <w:rPr>
          <w:rFonts w:ascii="Arial" w:cs="Arial" w:eastAsia="Arial" w:hAnsi="Arial"/>
          <w:sz w:val="16"/>
          <w:szCs w:val="16"/>
          <w:color w:val="00004D"/>
        </w:rPr>
        <w:t>2023 Annual Report</w:t>
      </w:r>
      <w:r>
        <w:rPr>
          <w:rFonts w:ascii="Arial" w:cs="Arial" w:eastAsia="Arial" w:hAnsi="Arial"/>
          <w:sz w:val="16"/>
          <w:szCs w:val="16"/>
          <w:color w:val="377FA7"/>
        </w:rPr>
        <w:tab/>
        <w:t>3</w:t>
      </w:r>
    </w:p>
    <w:p>
      <w:pPr>
        <w:sectPr>
          <w:pgSz w:w="24480" w:h="15840" w:orient="landscape"/>
          <w:cols w:equalWidth="0" w:num="1">
            <w:col w:w="23700"/>
          </w:cols>
          <w:pgMar w:left="400" w:top="1293" w:right="380" w:bottom="0" w:gutter="0" w:footer="0" w:header="0"/>
          <w:type w:val="continuous"/>
        </w:sectPr>
      </w:pPr>
    </w:p>
    <w:bookmarkStart w:id="3" w:name="page4"/>
    <w:bookmarkEnd w:id="3"/>
    <w:p>
      <w:pPr>
        <w:ind w:left="320"/>
        <w:spacing w:after="0"/>
        <w:rPr>
          <w:sz w:val="20"/>
          <w:szCs w:val="20"/>
          <w:color w:val="auto"/>
        </w:rPr>
      </w:pPr>
      <w:r>
        <w:rPr>
          <w:rFonts w:ascii="Arial" w:cs="Arial" w:eastAsia="Arial" w:hAnsi="Arial"/>
          <w:sz w:val="54"/>
          <w:szCs w:val="54"/>
          <w:color w:val="377FA7"/>
        </w:rPr>
        <w:drawing>
          <wp:anchor simplePos="0" relativeHeight="251657728" behindDoc="1" locked="0" layoutInCell="0" allowOverlap="1">
            <wp:simplePos x="0" y="0"/>
            <wp:positionH relativeFrom="page">
              <wp:posOffset>0</wp:posOffset>
            </wp:positionH>
            <wp:positionV relativeFrom="page">
              <wp:posOffset>0</wp:posOffset>
            </wp:positionV>
            <wp:extent cx="15544800" cy="10058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44800" cy="10058400"/>
                    </a:xfrm>
                    <a:prstGeom prst="rect">
                      <a:avLst/>
                    </a:prstGeom>
                    <a:noFill/>
                  </pic:spPr>
                </pic:pic>
              </a:graphicData>
            </a:graphic>
          </wp:anchor>
        </w:drawing>
        <w:t>Building a Pipeline of</w:t>
      </w:r>
    </w:p>
    <w:p>
      <w:pPr>
        <w:ind w:left="320"/>
        <w:spacing w:after="0"/>
        <w:rPr>
          <w:sz w:val="20"/>
          <w:szCs w:val="20"/>
          <w:color w:val="auto"/>
        </w:rPr>
      </w:pPr>
      <w:r>
        <w:rPr>
          <w:rFonts w:ascii="Arial" w:cs="Arial" w:eastAsia="Arial" w:hAnsi="Arial"/>
          <w:sz w:val="54"/>
          <w:szCs w:val="54"/>
          <w:color w:val="377FA7"/>
        </w:rPr>
        <w:t>Differentiated Products</w:t>
      </w:r>
    </w:p>
    <w:p>
      <w:pPr>
        <w:spacing w:after="0" w:line="391" w:lineRule="exact"/>
        <w:rPr>
          <w:sz w:val="20"/>
          <w:szCs w:val="20"/>
          <w:color w:val="auto"/>
        </w:rPr>
      </w:pPr>
    </w:p>
    <w:p>
      <w:pPr>
        <w:ind w:left="340" w:right="1360"/>
        <w:spacing w:after="0" w:line="280" w:lineRule="auto"/>
        <w:rPr>
          <w:sz w:val="20"/>
          <w:szCs w:val="20"/>
          <w:color w:val="auto"/>
        </w:rPr>
      </w:pPr>
      <w:r>
        <w:rPr>
          <w:rFonts w:ascii="Arial" w:cs="Arial" w:eastAsia="Arial" w:hAnsi="Arial"/>
          <w:sz w:val="22"/>
          <w:szCs w:val="22"/>
          <w:color w:val="auto"/>
        </w:rPr>
        <w:t>In addition to our portfolio of FDA-approved brands, we continue to advance our pipeline of new product candidates. All part of our ifetroban program, our development candidates have the potential to help multiple patient populations and are designed to treat conditions for which there is currently no FDA-approved pharmaceutical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30"/>
          <w:szCs w:val="30"/>
          <w:color w:val="00004D"/>
        </w:rPr>
        <w:t>Our Pipeline Includes:</w:t>
      </w:r>
    </w:p>
    <w:p>
      <w:pPr>
        <w:spacing w:after="0" w:line="200" w:lineRule="exact"/>
        <w:rPr>
          <w:sz w:val="20"/>
          <w:szCs w:val="20"/>
          <w:color w:val="auto"/>
        </w:rPr>
      </w:pP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1560" w:type="dxa"/>
            <w:vAlign w:val="bottom"/>
          </w:tcPr>
          <w:p>
            <w:pPr>
              <w:spacing w:after="0"/>
              <w:rPr>
                <w:sz w:val="20"/>
                <w:szCs w:val="20"/>
                <w:color w:val="auto"/>
              </w:rPr>
            </w:pPr>
            <w:r>
              <w:rPr>
                <w:rFonts w:ascii="Arial" w:cs="Arial" w:eastAsia="Arial" w:hAnsi="Arial"/>
                <w:sz w:val="19"/>
                <w:szCs w:val="19"/>
                <w:color w:val="377FA7"/>
              </w:rPr>
              <w:t>Preclinical</w:t>
            </w:r>
          </w:p>
        </w:tc>
        <w:tc>
          <w:tcPr>
            <w:tcW w:w="1640" w:type="dxa"/>
            <w:vAlign w:val="bottom"/>
          </w:tcPr>
          <w:p>
            <w:pPr>
              <w:ind w:left="600"/>
              <w:spacing w:after="0"/>
              <w:rPr>
                <w:sz w:val="20"/>
                <w:szCs w:val="20"/>
                <w:color w:val="auto"/>
              </w:rPr>
            </w:pPr>
            <w:r>
              <w:rPr>
                <w:rFonts w:ascii="Arial" w:cs="Arial" w:eastAsia="Arial" w:hAnsi="Arial"/>
                <w:sz w:val="19"/>
                <w:szCs w:val="19"/>
                <w:color w:val="377FA7"/>
              </w:rPr>
              <w:t>IND</w:t>
            </w:r>
          </w:p>
        </w:tc>
        <w:tc>
          <w:tcPr>
            <w:tcW w:w="1920" w:type="dxa"/>
            <w:vAlign w:val="bottom"/>
          </w:tcPr>
          <w:p>
            <w:pPr>
              <w:ind w:left="680"/>
              <w:spacing w:after="0"/>
              <w:rPr>
                <w:sz w:val="20"/>
                <w:szCs w:val="20"/>
                <w:color w:val="auto"/>
              </w:rPr>
            </w:pPr>
            <w:r>
              <w:rPr>
                <w:rFonts w:ascii="Arial" w:cs="Arial" w:eastAsia="Arial" w:hAnsi="Arial"/>
                <w:sz w:val="19"/>
                <w:szCs w:val="19"/>
                <w:color w:val="377FA7"/>
              </w:rPr>
              <w:t>Phase I</w:t>
            </w:r>
          </w:p>
        </w:tc>
        <w:tc>
          <w:tcPr>
            <w:tcW w:w="1880" w:type="dxa"/>
            <w:vAlign w:val="bottom"/>
          </w:tcPr>
          <w:p>
            <w:pPr>
              <w:ind w:left="600"/>
              <w:spacing w:after="0"/>
              <w:rPr>
                <w:sz w:val="20"/>
                <w:szCs w:val="20"/>
                <w:color w:val="auto"/>
              </w:rPr>
            </w:pPr>
            <w:r>
              <w:rPr>
                <w:rFonts w:ascii="Arial" w:cs="Arial" w:eastAsia="Arial" w:hAnsi="Arial"/>
                <w:sz w:val="19"/>
                <w:szCs w:val="19"/>
                <w:color w:val="377FA7"/>
              </w:rPr>
              <w:t>Phase II</w:t>
            </w:r>
          </w:p>
        </w:tc>
        <w:tc>
          <w:tcPr>
            <w:tcW w:w="1960" w:type="dxa"/>
            <w:vAlign w:val="bottom"/>
          </w:tcPr>
          <w:p>
            <w:pPr>
              <w:ind w:left="560"/>
              <w:spacing w:after="0"/>
              <w:rPr>
                <w:sz w:val="20"/>
                <w:szCs w:val="20"/>
                <w:color w:val="auto"/>
              </w:rPr>
            </w:pPr>
            <w:r>
              <w:rPr>
                <w:rFonts w:ascii="Arial" w:cs="Arial" w:eastAsia="Arial" w:hAnsi="Arial"/>
                <w:sz w:val="19"/>
                <w:szCs w:val="19"/>
                <w:color w:val="377FA7"/>
              </w:rPr>
              <w:t>Phase III</w:t>
            </w:r>
          </w:p>
        </w:tc>
        <w:tc>
          <w:tcPr>
            <w:tcW w:w="1060" w:type="dxa"/>
            <w:vAlign w:val="bottom"/>
          </w:tcPr>
          <w:p>
            <w:pPr>
              <w:ind w:left="640"/>
              <w:spacing w:after="0"/>
              <w:rPr>
                <w:sz w:val="20"/>
                <w:szCs w:val="20"/>
                <w:color w:val="auto"/>
              </w:rPr>
            </w:pPr>
            <w:r>
              <w:rPr>
                <w:rFonts w:ascii="Arial" w:cs="Arial" w:eastAsia="Arial" w:hAnsi="Arial"/>
                <w:sz w:val="19"/>
                <w:szCs w:val="19"/>
                <w:color w:val="377FA7"/>
                <w:w w:val="99"/>
              </w:rPr>
              <w:t>NDA</w:t>
            </w:r>
          </w:p>
        </w:tc>
      </w:tr>
    </w:tbl>
    <w:p>
      <w:pPr>
        <w:spacing w:after="0" w:line="393" w:lineRule="exact"/>
        <w:rPr>
          <w:sz w:val="20"/>
          <w:szCs w:val="20"/>
          <w:color w:val="auto"/>
        </w:rPr>
      </w:pPr>
    </w:p>
    <w:p>
      <w:pPr>
        <w:ind w:left="660"/>
        <w:spacing w:after="0"/>
        <w:rPr>
          <w:sz w:val="20"/>
          <w:szCs w:val="20"/>
          <w:color w:val="auto"/>
        </w:rPr>
      </w:pPr>
      <w:r>
        <w:rPr>
          <w:rFonts w:ascii="Arial" w:cs="Arial" w:eastAsia="Arial" w:hAnsi="Arial"/>
          <w:sz w:val="30"/>
          <w:szCs w:val="30"/>
          <w:b w:val="1"/>
          <w:bCs w:val="1"/>
          <w:color w:val="00004D"/>
        </w:rPr>
        <w:t>Dyscorban</w:t>
      </w:r>
      <w:r>
        <w:rPr>
          <w:rFonts w:ascii="Arial" w:cs="Arial" w:eastAsia="Arial" w:hAnsi="Arial"/>
          <w:sz w:val="17"/>
          <w:szCs w:val="17"/>
          <w:b w:val="1"/>
          <w:bCs w:val="1"/>
          <w:color w:val="00004D"/>
        </w:rPr>
        <w:t>®</w:t>
      </w:r>
    </w:p>
    <w:p>
      <w:pPr>
        <w:ind w:left="660" w:right="5300"/>
        <w:spacing w:after="0" w:line="275" w:lineRule="auto"/>
        <w:rPr>
          <w:sz w:val="20"/>
          <w:szCs w:val="20"/>
          <w:color w:val="auto"/>
        </w:rPr>
      </w:pPr>
      <w:r>
        <w:rPr>
          <w:rFonts w:ascii="Arial" w:cs="Arial" w:eastAsia="Arial" w:hAnsi="Arial"/>
          <w:sz w:val="20"/>
          <w:szCs w:val="20"/>
          <w:i w:val="1"/>
          <w:iCs w:val="1"/>
          <w:color w:val="auto"/>
        </w:rPr>
        <w:t>An oral capsule to treat cardiomyopathy associated with duchenne muscular dystrophy (DMD), a fatal, genetic neuromuscular disease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54"/>
          <w:szCs w:val="54"/>
          <w:color w:val="FFFFFF"/>
        </w:rPr>
        <w:t>Cumberland</w:t>
      </w:r>
    </w:p>
    <w:p>
      <w:pPr>
        <w:spacing w:after="0"/>
        <w:rPr>
          <w:sz w:val="20"/>
          <w:szCs w:val="20"/>
          <w:color w:val="auto"/>
        </w:rPr>
      </w:pPr>
      <w:r>
        <w:rPr>
          <w:rFonts w:ascii="Arial" w:cs="Arial" w:eastAsia="Arial" w:hAnsi="Arial"/>
          <w:sz w:val="54"/>
          <w:szCs w:val="54"/>
          <w:color w:val="FFFFFF"/>
        </w:rPr>
        <w:t>Emerging Technologies</w:t>
      </w:r>
    </w:p>
    <w:p>
      <w:pPr>
        <w:spacing w:after="0" w:line="81" w:lineRule="exact"/>
        <w:rPr>
          <w:sz w:val="20"/>
          <w:szCs w:val="20"/>
          <w:color w:val="auto"/>
        </w:rPr>
      </w:pPr>
    </w:p>
    <w:p>
      <w:pPr>
        <w:spacing w:after="0"/>
        <w:rPr>
          <w:sz w:val="20"/>
          <w:szCs w:val="20"/>
          <w:color w:val="auto"/>
        </w:rPr>
      </w:pPr>
      <w:r>
        <w:rPr>
          <w:rFonts w:ascii="Arial" w:cs="Arial" w:eastAsia="Arial" w:hAnsi="Arial"/>
          <w:sz w:val="34"/>
          <w:szCs w:val="34"/>
          <w:b w:val="1"/>
          <w:bCs w:val="1"/>
          <w:color w:val="FFFFFF"/>
        </w:rPr>
        <w:t>A collaboration to advance biomedical innovation</w:t>
      </w:r>
    </w:p>
    <w:p>
      <w:pPr>
        <w:spacing w:after="0" w:line="895" w:lineRule="exact"/>
        <w:rPr>
          <w:sz w:val="20"/>
          <w:szCs w:val="20"/>
          <w:color w:val="auto"/>
        </w:rPr>
      </w:pPr>
    </w:p>
    <w:p>
      <w:pPr>
        <w:sectPr>
          <w:pgSz w:w="24480" w:h="15840" w:orient="landscape"/>
          <w:cols w:equalWidth="0" w:num="2">
            <w:col w:w="12200" w:space="720"/>
            <w:col w:w="10780"/>
          </w:cols>
          <w:pgMar w:left="400" w:top="1369" w:right="380" w:bottom="0" w:gutter="0" w:footer="0" w:header="0"/>
        </w:sectPr>
      </w:pPr>
    </w:p>
    <w:p>
      <w:pPr>
        <w:ind w:left="660"/>
        <w:spacing w:after="0"/>
        <w:rPr>
          <w:sz w:val="20"/>
          <w:szCs w:val="20"/>
          <w:color w:val="auto"/>
        </w:rPr>
      </w:pPr>
      <w:r>
        <w:rPr>
          <w:rFonts w:ascii="Arial" w:cs="Arial" w:eastAsia="Arial" w:hAnsi="Arial"/>
          <w:sz w:val="20"/>
          <w:szCs w:val="20"/>
          <w:color w:val="auto"/>
        </w:rPr>
        <w:t>The FDA has cleared the Investigational New Drug (IND) application</w:t>
      </w:r>
    </w:p>
    <w:p>
      <w:pPr>
        <w:ind w:left="660"/>
        <w:spacing w:after="0" w:line="229" w:lineRule="auto"/>
        <w:rPr>
          <w:sz w:val="20"/>
          <w:szCs w:val="20"/>
          <w:color w:val="auto"/>
        </w:rPr>
      </w:pPr>
      <w:r>
        <w:rPr>
          <w:rFonts w:ascii="Arial" w:cs="Arial" w:eastAsia="Arial" w:hAnsi="Arial"/>
          <w:sz w:val="20"/>
          <w:szCs w:val="20"/>
          <w:color w:val="auto"/>
        </w:rPr>
        <w:t>for this program and a Phase II clinical trial in DMD patients has been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initiated, with enrollment advancing.</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FDA has also provided grant awards of over $1 million to</w:t>
      </w:r>
    </w:p>
    <w:p>
      <w:pPr>
        <w:ind w:left="660"/>
        <w:spacing w:after="0"/>
        <w:rPr>
          <w:sz w:val="20"/>
          <w:szCs w:val="20"/>
          <w:color w:val="auto"/>
        </w:rPr>
      </w:pPr>
      <w:r>
        <w:rPr>
          <w:rFonts w:ascii="Arial" w:cs="Arial" w:eastAsia="Arial" w:hAnsi="Arial"/>
          <w:sz w:val="20"/>
          <w:szCs w:val="20"/>
          <w:color w:val="auto"/>
        </w:rPr>
        <w:t>support this study.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30"/>
          <w:szCs w:val="30"/>
          <w:b w:val="1"/>
          <w:bCs w:val="1"/>
          <w:color w:val="00004D"/>
        </w:rPr>
        <w:t>Vasculan</w:t>
      </w:r>
      <w:r>
        <w:rPr>
          <w:rFonts w:ascii="Arial" w:cs="Arial" w:eastAsia="Arial" w:hAnsi="Arial"/>
          <w:sz w:val="17"/>
          <w:szCs w:val="17"/>
          <w:b w:val="1"/>
          <w:bCs w:val="1"/>
          <w:color w:val="00004D"/>
        </w:rPr>
        <w:t>®</w:t>
      </w:r>
    </w:p>
    <w:p>
      <w:pPr>
        <w:ind w:left="660"/>
        <w:spacing w:after="0" w:line="229" w:lineRule="auto"/>
        <w:rPr>
          <w:sz w:val="20"/>
          <w:szCs w:val="20"/>
          <w:color w:val="auto"/>
        </w:rPr>
      </w:pPr>
      <w:r>
        <w:rPr>
          <w:rFonts w:ascii="Arial" w:cs="Arial" w:eastAsia="Arial" w:hAnsi="Arial"/>
          <w:sz w:val="20"/>
          <w:szCs w:val="20"/>
          <w:i w:val="1"/>
          <w:iCs w:val="1"/>
          <w:color w:val="auto"/>
        </w:rPr>
        <w:t>An oral capsule to treat systemic sclerosis (SSc), also known</w:t>
      </w:r>
    </w:p>
    <w:p>
      <w:pPr>
        <w:ind w:left="660"/>
        <w:spacing w:after="0" w:line="230" w:lineRule="auto"/>
        <w:rPr>
          <w:sz w:val="20"/>
          <w:szCs w:val="20"/>
          <w:color w:val="auto"/>
        </w:rPr>
      </w:pPr>
      <w:r>
        <w:rPr>
          <w:rFonts w:ascii="Arial" w:cs="Arial" w:eastAsia="Arial" w:hAnsi="Arial"/>
          <w:sz w:val="20"/>
          <w:szCs w:val="20"/>
          <w:i w:val="1"/>
          <w:iCs w:val="1"/>
          <w:color w:val="auto"/>
        </w:rPr>
        <w:t>as scleroderma, a rare, debilitating autoimmune disorder that</w:t>
      </w:r>
    </w:p>
    <w:p>
      <w:pPr>
        <w:ind w:left="660"/>
        <w:spacing w:after="0"/>
        <w:rPr>
          <w:sz w:val="20"/>
          <w:szCs w:val="20"/>
          <w:color w:val="auto"/>
        </w:rPr>
      </w:pPr>
      <w:r>
        <w:rPr>
          <w:rFonts w:ascii="Arial" w:cs="Arial" w:eastAsia="Arial" w:hAnsi="Arial"/>
          <w:sz w:val="20"/>
          <w:szCs w:val="20"/>
          <w:i w:val="1"/>
          <w:iCs w:val="1"/>
          <w:color w:val="auto"/>
        </w:rPr>
        <w:t>results in a thickening of the skin and internal organs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FDA clearance of our IND, this Phase II study in SSc patients</w:t>
      </w:r>
    </w:p>
    <w:p>
      <w:pPr>
        <w:ind w:left="660"/>
        <w:spacing w:after="0"/>
        <w:rPr>
          <w:sz w:val="20"/>
          <w:szCs w:val="20"/>
          <w:color w:val="auto"/>
        </w:rPr>
      </w:pPr>
      <w:r>
        <w:rPr>
          <w:rFonts w:ascii="Arial" w:cs="Arial" w:eastAsia="Arial" w:hAnsi="Arial"/>
          <w:sz w:val="20"/>
          <w:szCs w:val="20"/>
          <w:color w:val="auto"/>
        </w:rPr>
        <w:t>is well underway.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We are also developing an oral capsule to treat</w:t>
      </w:r>
    </w:p>
    <w:p>
      <w:pPr>
        <w:ind w:left="660"/>
        <w:spacing w:after="0" w:line="229" w:lineRule="auto"/>
        <w:rPr>
          <w:sz w:val="20"/>
          <w:szCs w:val="20"/>
          <w:color w:val="auto"/>
        </w:rPr>
      </w:pPr>
      <w:r>
        <w:rPr>
          <w:rFonts w:ascii="Arial" w:cs="Arial" w:eastAsia="Arial" w:hAnsi="Arial"/>
          <w:sz w:val="20"/>
          <w:szCs w:val="20"/>
          <w:i w:val="1"/>
          <w:iCs w:val="1"/>
          <w:color w:val="auto"/>
        </w:rPr>
        <w:t>idiopathic pulmonary fibrosis (IPF), the most common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form of progressive fibrosing interstitial lung disease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Following FDA clearance of our IND, we are in the</w:t>
      </w:r>
    </w:p>
    <w:p>
      <w:pPr>
        <w:ind w:left="660"/>
        <w:spacing w:after="0" w:line="229" w:lineRule="auto"/>
        <w:rPr>
          <w:sz w:val="20"/>
          <w:szCs w:val="20"/>
          <w:color w:val="auto"/>
        </w:rPr>
      </w:pPr>
      <w:r>
        <w:rPr>
          <w:rFonts w:ascii="Arial" w:cs="Arial" w:eastAsia="Arial" w:hAnsi="Arial"/>
          <w:sz w:val="20"/>
          <w:szCs w:val="20"/>
          <w:color w:val="auto"/>
        </w:rPr>
        <w:t>process of initiating our Phase II study in IPF patients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centers of excellence across the U.S.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The U.S. leads the world in biomedical innovation,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including the development of new medicines.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To create a long-term product pipeline and also</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help build the local biomedical industry, we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formed Cumberland Emerging Technologies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(CET). As a majority owned subsidiary of</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Cumberland Pharma, CET helps inventor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scientists and life science companies develop</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health care solutions and provides needed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support to advance these solutions toward the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commercial marketplace.</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CET represents a joint initiative between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Cumberland Pharmaceuticals, Vanderbilt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University, Launch Tennessee – a state-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supported network created to empower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Tennessee’s entrepreneurial ecosystem –</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and WinHealth Pharmaceuticals – our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international partner.</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At CET we team with academic research groups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and support the development process for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selected projects, providing critical expertise 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regulatory, manufacturing</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and marketing issues essential to the successful</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development of new biomedical products.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80"/>
        <w:spacing w:after="0" w:line="273" w:lineRule="auto"/>
        <w:rPr>
          <w:sz w:val="20"/>
          <w:szCs w:val="20"/>
          <w:color w:val="auto"/>
        </w:rPr>
      </w:pPr>
      <w:r>
        <w:rPr>
          <w:rFonts w:ascii="Arial" w:cs="Arial" w:eastAsia="Arial" w:hAnsi="Arial"/>
          <w:sz w:val="22"/>
          <w:szCs w:val="22"/>
          <w:color w:val="auto"/>
        </w:rPr>
        <w:t>CET partners with several major academic research institutions, led by joint activities with Vanderbilt University and the Vanderbilt Medical Center. Together we work to identify early-stage biomedical research opportunities and develop the resulting new biopharmaceutical product candidates to improve patient care.</w:t>
      </w:r>
    </w:p>
    <w:p>
      <w:pPr>
        <w:spacing w:after="0" w:line="226" w:lineRule="exact"/>
        <w:rPr>
          <w:sz w:val="20"/>
          <w:szCs w:val="20"/>
          <w:color w:val="auto"/>
        </w:rPr>
      </w:pPr>
    </w:p>
    <w:p>
      <w:pPr>
        <w:ind w:right="860"/>
        <w:spacing w:after="0" w:line="280" w:lineRule="auto"/>
        <w:rPr>
          <w:sz w:val="20"/>
          <w:szCs w:val="20"/>
          <w:color w:val="auto"/>
        </w:rPr>
      </w:pPr>
      <w:r>
        <w:rPr>
          <w:rFonts w:ascii="Arial" w:cs="Arial" w:eastAsia="Arial" w:hAnsi="Arial"/>
          <w:sz w:val="22"/>
          <w:szCs w:val="22"/>
          <w:color w:val="auto"/>
        </w:rPr>
        <w:t>CET has also established and manages the Nashville Life Sciences Center, which serves as an incubator for Middle Tennessee’s emerging biomedical industry.</w:t>
      </w:r>
    </w:p>
    <w:p>
      <w:pPr>
        <w:spacing w:after="0" w:line="220" w:lineRule="exact"/>
        <w:rPr>
          <w:sz w:val="20"/>
          <w:szCs w:val="20"/>
          <w:color w:val="auto"/>
        </w:rPr>
      </w:pPr>
    </w:p>
    <w:p>
      <w:pPr>
        <w:ind w:right="640"/>
        <w:spacing w:after="0" w:line="274" w:lineRule="auto"/>
        <w:rPr>
          <w:sz w:val="20"/>
          <w:szCs w:val="20"/>
          <w:color w:val="auto"/>
        </w:rPr>
      </w:pPr>
      <w:r>
        <w:rPr>
          <w:rFonts w:ascii="Arial" w:cs="Arial" w:eastAsia="Arial" w:hAnsi="Arial"/>
          <w:sz w:val="22"/>
          <w:szCs w:val="22"/>
          <w:color w:val="auto"/>
        </w:rPr>
        <w:t>The Life Sciences Center provides offices, laboratory space, and equipment to early-stage companies looking to develop their technologies and products. We maintain the Cumberland Pharmaceuticals formulation and testing laboratory at the CET Life Sciences Center.</w:t>
      </w:r>
    </w:p>
    <w:p>
      <w:pPr>
        <w:spacing w:after="0" w:line="227" w:lineRule="exact"/>
        <w:rPr>
          <w:sz w:val="20"/>
          <w:szCs w:val="20"/>
          <w:color w:val="auto"/>
        </w:rPr>
      </w:pPr>
    </w:p>
    <w:p>
      <w:pPr>
        <w:ind w:right="600"/>
        <w:spacing w:after="0" w:line="280" w:lineRule="auto"/>
        <w:rPr>
          <w:sz w:val="20"/>
          <w:szCs w:val="20"/>
          <w:color w:val="auto"/>
        </w:rPr>
      </w:pPr>
      <w:r>
        <w:rPr>
          <w:rFonts w:ascii="Arial" w:cs="Arial" w:eastAsia="Arial" w:hAnsi="Arial"/>
          <w:sz w:val="22"/>
          <w:szCs w:val="22"/>
          <w:color w:val="auto"/>
        </w:rPr>
        <w:t>Nearly 30 life science companies exist today because of CET, including a vibrant group of current tenants at the Life Sciences Center as well as a growing number of successful graduates.</w:t>
      </w:r>
    </w:p>
    <w:p>
      <w:pPr>
        <w:spacing w:after="0" w:line="671" w:lineRule="exact"/>
        <w:rPr>
          <w:sz w:val="20"/>
          <w:szCs w:val="20"/>
          <w:color w:val="auto"/>
        </w:rPr>
      </w:pPr>
    </w:p>
    <w:p>
      <w:pPr>
        <w:sectPr>
          <w:pgSz w:w="24480" w:h="15840" w:orient="landscape"/>
          <w:cols w:equalWidth="0" w:num="3">
            <w:col w:w="12200" w:space="720"/>
            <w:col w:w="5020" w:space="140"/>
            <w:col w:w="5620"/>
          </w:cols>
          <w:pgMar w:left="400" w:top="1369" w:right="380" w:bottom="0" w:gutter="0" w:footer="0" w:header="0"/>
          <w:type w:val="continuous"/>
        </w:sectPr>
      </w:pPr>
    </w:p>
    <w:p>
      <w:pPr>
        <w:spacing w:after="0" w:line="233" w:lineRule="exact"/>
        <w:rPr>
          <w:sz w:val="20"/>
          <w:szCs w:val="20"/>
          <w:color w:val="auto"/>
        </w:rPr>
      </w:pPr>
    </w:p>
    <w:p>
      <w:pPr>
        <w:spacing w:after="0"/>
        <w:tabs>
          <w:tab w:leader="none" w:pos="280" w:val="left"/>
          <w:tab w:leader="none" w:pos="21780" w:val="left"/>
          <w:tab w:leader="none" w:pos="23580" w:val="left"/>
        </w:tabs>
        <w:rPr>
          <w:sz w:val="20"/>
          <w:szCs w:val="20"/>
          <w:color w:val="auto"/>
        </w:rPr>
      </w:pPr>
      <w:r>
        <w:rPr>
          <w:rFonts w:ascii="Arial" w:cs="Arial" w:eastAsia="Arial" w:hAnsi="Arial"/>
          <w:sz w:val="16"/>
          <w:szCs w:val="16"/>
          <w:color w:val="377FA7"/>
        </w:rPr>
        <w:t>4</w:t>
      </w:r>
      <w:r>
        <w:rPr>
          <w:rFonts w:ascii="Arial" w:cs="Arial" w:eastAsia="Arial" w:hAnsi="Arial"/>
          <w:sz w:val="16"/>
          <w:szCs w:val="16"/>
          <w:color w:val="00004D"/>
        </w:rPr>
        <w:tab/>
        <w:t>Cumberland Pharmaceuticals</w:t>
      </w:r>
      <w:r>
        <w:rPr>
          <w:sz w:val="20"/>
          <w:szCs w:val="20"/>
          <w:color w:val="auto"/>
        </w:rPr>
        <w:tab/>
      </w:r>
      <w:r>
        <w:rPr>
          <w:rFonts w:ascii="Arial" w:cs="Arial" w:eastAsia="Arial" w:hAnsi="Arial"/>
          <w:sz w:val="16"/>
          <w:szCs w:val="16"/>
          <w:color w:val="00004D"/>
        </w:rPr>
        <w:t>2023 Annual Report</w:t>
      </w:r>
      <w:r>
        <w:rPr>
          <w:rFonts w:ascii="Arial" w:cs="Arial" w:eastAsia="Arial" w:hAnsi="Arial"/>
          <w:sz w:val="16"/>
          <w:szCs w:val="16"/>
          <w:color w:val="377FA7"/>
        </w:rPr>
        <w:tab/>
        <w:t>5</w:t>
      </w:r>
    </w:p>
    <w:p>
      <w:pPr>
        <w:sectPr>
          <w:pgSz w:w="24480" w:h="15840" w:orient="landscape"/>
          <w:cols w:equalWidth="0" w:num="1">
            <w:col w:w="23700"/>
          </w:cols>
          <w:pgMar w:left="400" w:top="1369" w:right="380" w:bottom="0" w:gutter="0" w:footer="0" w:header="0"/>
          <w:type w:val="continuous"/>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ind w:left="320" w:right="5020"/>
        <w:spacing w:after="0" w:line="262" w:lineRule="auto"/>
        <w:rPr>
          <w:sz w:val="20"/>
          <w:szCs w:val="20"/>
          <w:color w:val="auto"/>
        </w:rPr>
      </w:pPr>
      <w:r>
        <w:rPr>
          <w:rFonts w:ascii="Arial" w:cs="Arial" w:eastAsia="Arial" w:hAnsi="Arial"/>
          <w:sz w:val="54"/>
          <w:szCs w:val="54"/>
          <w:color w:val="FFFFFF"/>
        </w:rPr>
        <w:t>Providing Medicines to Patients Around the World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36"/>
          <w:szCs w:val="36"/>
          <w:b w:val="1"/>
          <w:bCs w:val="1"/>
          <w:color w:val="FFFFFF"/>
        </w:rPr>
        <w:t>A look at our key international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right="3720"/>
        <w:spacing w:after="0" w:line="249" w:lineRule="auto"/>
        <w:rPr>
          <w:sz w:val="20"/>
          <w:szCs w:val="20"/>
          <w:color w:val="auto"/>
        </w:rPr>
      </w:pPr>
      <w:r>
        <w:rPr>
          <w:rFonts w:ascii="Arial" w:cs="Arial" w:eastAsia="Arial" w:hAnsi="Arial"/>
          <w:sz w:val="34"/>
          <w:szCs w:val="34"/>
          <w:b w:val="1"/>
          <w:bCs w:val="1"/>
          <w:color w:val="FFFFFF"/>
        </w:rPr>
        <w:t>Bringing our medicines to</w:t>
      </w:r>
      <w:r>
        <w:rPr>
          <w:sz w:val="1"/>
          <w:szCs w:val="1"/>
          <w:color w:val="auto"/>
        </w:rPr>
        <w:drawing>
          <wp:inline distT="0" distB="0" distL="0" distR="0">
            <wp:extent cx="32385" cy="31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1115"/>
                    </a:xfrm>
                    <a:prstGeom prst="rect">
                      <a:avLst/>
                    </a:prstGeom>
                    <a:noFill/>
                    <a:ln>
                      <a:noFill/>
                    </a:ln>
                  </pic:spPr>
                </pic:pic>
              </a:graphicData>
            </a:graphic>
          </wp:inline>
        </w:drawing>
        <w:drawing>
          <wp:inline distT="0" distB="0" distL="0" distR="0">
            <wp:extent cx="37465" cy="355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465" cy="35560"/>
                    </a:xfrm>
                    <a:prstGeom prst="rect">
                      <a:avLst/>
                    </a:prstGeom>
                    <a:noFill/>
                    <a:ln>
                      <a:noFill/>
                    </a:ln>
                  </pic:spPr>
                </pic:pic>
              </a:graphicData>
            </a:graphic>
          </wp:inline>
        </w:drawing>
      </w:r>
      <w:r>
        <w:rPr>
          <w:rFonts w:ascii="Arial" w:cs="Arial" w:eastAsia="Arial" w:hAnsi="Arial"/>
          <w:sz w:val="34"/>
          <w:szCs w:val="34"/>
          <w:b w:val="1"/>
          <w:bCs w:val="1"/>
          <w:color w:val="FFFFFF"/>
        </w:rPr>
        <w:t xml:space="preserve">patients </w:t>
      </w:r>
      <w:r>
        <w:rPr>
          <w:rFonts w:ascii="Arial" w:cs="Arial" w:eastAsia="Arial" w:hAnsi="Arial"/>
          <w:sz w:val="34"/>
          <w:szCs w:val="34"/>
          <w:b w:val="1"/>
          <w:bCs w:val="1"/>
          <w:color w:val="FFFFFF"/>
          <w:highlight w:val="lightGray"/>
        </w:rPr>
        <w:t>throughout</w:t>
      </w:r>
      <w:r>
        <w:rPr>
          <w:rFonts w:ascii="Arial" w:cs="Arial" w:eastAsia="Arial" w:hAnsi="Arial"/>
          <w:sz w:val="34"/>
          <w:szCs w:val="34"/>
          <w:b w:val="1"/>
          <w:bCs w:val="1"/>
          <w:color w:val="FFFFFF"/>
        </w:rPr>
        <w:t xml:space="preserve"> the world through a </w:t>
      </w:r>
      <w:r>
        <w:rPr>
          <w:sz w:val="1"/>
          <w:szCs w:val="1"/>
          <w:color w:val="auto"/>
        </w:rPr>
        <w:drawing>
          <wp:inline distT="0" distB="0" distL="0" distR="0">
            <wp:extent cx="48260" cy="71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60" cy="71755"/>
                    </a:xfrm>
                    <a:prstGeom prst="rect">
                      <a:avLst/>
                    </a:prstGeom>
                    <a:noFill/>
                    <a:ln>
                      <a:noFill/>
                    </a:ln>
                  </pic:spPr>
                </pic:pic>
              </a:graphicData>
            </a:graphic>
          </wp:inline>
        </w:drawing>
      </w:r>
      <w:r>
        <w:rPr>
          <w:rFonts w:ascii="Arial" w:cs="Arial" w:eastAsia="Arial" w:hAnsi="Arial"/>
          <w:sz w:val="34"/>
          <w:szCs w:val="34"/>
          <w:b w:val="1"/>
          <w:bCs w:val="1"/>
          <w:color w:val="FFFFFF"/>
          <w:highlight w:val="lightGray"/>
        </w:rPr>
        <w:t xml:space="preserve">growing </w:t>
      </w:r>
      <w:r>
        <w:rPr>
          <w:rFonts w:ascii="Arial" w:cs="Arial" w:eastAsia="Arial" w:hAnsi="Arial"/>
          <w:sz w:val="34"/>
          <w:szCs w:val="34"/>
          <w:b w:val="1"/>
          <w:bCs w:val="1"/>
          <w:color w:val="FFFFFF"/>
        </w:rPr>
        <w:t>network</w:t>
      </w:r>
      <w:r>
        <w:rPr>
          <w:sz w:val="1"/>
          <w:szCs w:val="1"/>
          <w:color w:val="auto"/>
        </w:rPr>
        <w:drawing>
          <wp:inline distT="0" distB="0" distL="0" distR="0">
            <wp:extent cx="65405" cy="2044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05" cy="204470"/>
                    </a:xfrm>
                    <a:prstGeom prst="rect">
                      <a:avLst/>
                    </a:prstGeom>
                    <a:noFill/>
                    <a:ln>
                      <a:noFill/>
                    </a:ln>
                  </pic:spPr>
                </pic:pic>
              </a:graphicData>
            </a:graphic>
          </wp:inline>
        </w:drawing>
        <w:drawing>
          <wp:inline distT="0" distB="0" distL="0" distR="0">
            <wp:extent cx="35560" cy="2152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60" cy="215265"/>
                    </a:xfrm>
                    <a:prstGeom prst="rect">
                      <a:avLst/>
                    </a:prstGeom>
                    <a:noFill/>
                    <a:ln>
                      <a:noFill/>
                    </a:ln>
                  </pic:spPr>
                </pic:pic>
              </a:graphicData>
            </a:graphic>
          </wp:inline>
        </w:drawing>
      </w:r>
      <w:r>
        <w:rPr>
          <w:rFonts w:ascii="Arial" w:cs="Arial" w:eastAsia="Arial" w:hAnsi="Arial"/>
          <w:sz w:val="34"/>
          <w:szCs w:val="34"/>
          <w:b w:val="1"/>
          <w:bCs w:val="1"/>
          <w:color w:val="FFFFFF"/>
          <w:highlight w:val="lightGray"/>
        </w:rPr>
        <w:t xml:space="preserve">of </w:t>
      </w:r>
      <w:r>
        <w:rPr>
          <w:sz w:val="1"/>
          <w:szCs w:val="1"/>
          <w:color w:val="auto"/>
        </w:rPr>
        <w:drawing>
          <wp:inline distT="0" distB="0" distL="0" distR="0">
            <wp:extent cx="46355" cy="11874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55" cy="118745"/>
                    </a:xfrm>
                    <a:prstGeom prst="rect">
                      <a:avLst/>
                    </a:prstGeom>
                    <a:noFill/>
                    <a:ln>
                      <a:noFill/>
                    </a:ln>
                  </pic:spPr>
                </pic:pic>
              </a:graphicData>
            </a:graphic>
          </wp:inline>
        </w:drawing>
        <w:drawing>
          <wp:inline distT="0" distB="0" distL="0" distR="0">
            <wp:extent cx="32385" cy="298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29845"/>
                    </a:xfrm>
                    <a:prstGeom prst="rect">
                      <a:avLst/>
                    </a:prstGeom>
                    <a:noFill/>
                    <a:ln>
                      <a:noFill/>
                    </a:ln>
                  </pic:spPr>
                </pic:pic>
              </a:graphicData>
            </a:graphic>
          </wp:inline>
        </w:drawing>
        <w:drawing>
          <wp:inline distT="0" distB="0" distL="0" distR="0">
            <wp:extent cx="30480" cy="196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80" cy="19685"/>
                    </a:xfrm>
                    <a:prstGeom prst="rect">
                      <a:avLst/>
                    </a:prstGeom>
                    <a:noFill/>
                    <a:ln>
                      <a:noFill/>
                    </a:ln>
                  </pic:spPr>
                </pic:pic>
              </a:graphicData>
            </a:graphic>
          </wp:inline>
        </w:drawing>
        <w:drawing>
          <wp:inline distT="0" distB="0" distL="0" distR="0">
            <wp:extent cx="34290" cy="25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25400"/>
                    </a:xfrm>
                    <a:prstGeom prst="rect">
                      <a:avLst/>
                    </a:prstGeom>
                    <a:noFill/>
                    <a:ln>
                      <a:noFill/>
                    </a:ln>
                  </pic:spPr>
                </pic:pic>
              </a:graphicData>
            </a:graphic>
          </wp:inline>
        </w:drawing>
        <w:drawing>
          <wp:inline distT="0" distB="0" distL="0" distR="0">
            <wp:extent cx="37465" cy="425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465" cy="42545"/>
                    </a:xfrm>
                    <a:prstGeom prst="rect">
                      <a:avLst/>
                    </a:prstGeom>
                    <a:noFill/>
                    <a:ln>
                      <a:noFill/>
                    </a:ln>
                  </pic:spPr>
                </pic:pic>
              </a:graphicData>
            </a:graphic>
          </wp:inline>
        </w:drawing>
        <w:drawing>
          <wp:inline distT="0" distB="0" distL="0" distR="0">
            <wp:extent cx="31750" cy="330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3020"/>
                    </a:xfrm>
                    <a:prstGeom prst="rect">
                      <a:avLst/>
                    </a:prstGeom>
                    <a:noFill/>
                    <a:ln>
                      <a:noFill/>
                    </a:ln>
                  </pic:spPr>
                </pic:pic>
              </a:graphicData>
            </a:graphic>
          </wp:inline>
        </w:drawing>
      </w:r>
      <w:r>
        <w:rPr>
          <w:rFonts w:ascii="Arial" w:cs="Arial" w:eastAsia="Arial" w:hAnsi="Arial"/>
          <w:sz w:val="34"/>
          <w:szCs w:val="34"/>
          <w:b w:val="1"/>
          <w:bCs w:val="1"/>
          <w:color w:val="FFFFFF"/>
        </w:rPr>
        <w:t xml:space="preserve"> distinguished international partners</w:t>
      </w:r>
      <w:r>
        <w:rPr>
          <w:sz w:val="1"/>
          <w:szCs w:val="1"/>
          <w:color w:val="auto"/>
        </w:rPr>
        <w:drawing>
          <wp:inline distT="0" distB="0" distL="0" distR="0">
            <wp:extent cx="61595" cy="400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95" cy="40005"/>
                    </a:xfrm>
                    <a:prstGeom prst="rect">
                      <a:avLst/>
                    </a:prstGeom>
                    <a:noFill/>
                    <a:ln>
                      <a:noFill/>
                    </a:ln>
                  </pic:spPr>
                </pic:pic>
              </a:graphicData>
            </a:graphic>
          </wp:inline>
        </w:drawing>
        <w:drawing>
          <wp:inline distT="0" distB="0" distL="0" distR="0">
            <wp:extent cx="73660" cy="1422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660" cy="142240"/>
                    </a:xfrm>
                    <a:prstGeom prst="rect">
                      <a:avLst/>
                    </a:prstGeom>
                    <a:noFill/>
                    <a:ln>
                      <a:noFill/>
                    </a:ln>
                  </pic:spPr>
                </pic:pic>
              </a:graphicData>
            </a:graphic>
          </wp:inline>
        </w:drawing>
        <w:drawing>
          <wp:inline distT="0" distB="0" distL="0" distR="0">
            <wp:extent cx="34925" cy="40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925" cy="40640"/>
                    </a:xfrm>
                    <a:prstGeom prst="rect">
                      <a:avLst/>
                    </a:prstGeom>
                    <a:noFill/>
                    <a:ln>
                      <a:noFill/>
                    </a:ln>
                  </pic:spPr>
                </pic:pic>
              </a:graphicData>
            </a:graphic>
          </wp:inline>
        </w:drawing>
        <w:drawing>
          <wp:inline distT="0" distB="0" distL="0" distR="0">
            <wp:extent cx="48895" cy="406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895" cy="40640"/>
                    </a:xfrm>
                    <a:prstGeom prst="rect">
                      <a:avLst/>
                    </a:prstGeom>
                    <a:noFill/>
                    <a:ln>
                      <a:noFill/>
                    </a:ln>
                  </pic:spPr>
                </pic:pic>
              </a:graphicData>
            </a:graphic>
          </wp:inline>
        </w:drawing>
        <w:drawing>
          <wp:inline distT="0" distB="0" distL="0" distR="0">
            <wp:extent cx="74295" cy="2057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295" cy="205740"/>
                    </a:xfrm>
                    <a:prstGeom prst="rect">
                      <a:avLst/>
                    </a:prstGeom>
                    <a:noFill/>
                    <a:ln>
                      <a:noFill/>
                    </a:ln>
                  </pic:spPr>
                </pic:pic>
              </a:graphicData>
            </a:graphic>
          </wp:inline>
        </w:drawing>
        <w:drawing>
          <wp:inline distT="0" distB="0" distL="0" distR="0">
            <wp:extent cx="64135" cy="1416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35" cy="141605"/>
                    </a:xfrm>
                    <a:prstGeom prst="rect">
                      <a:avLst/>
                    </a:prstGeom>
                    <a:noFill/>
                    <a:ln>
                      <a:noFill/>
                    </a:ln>
                  </pic:spPr>
                </pic:pic>
              </a:graphicData>
            </a:graphic>
          </wp:inline>
        </w:drawing>
        <w:drawing>
          <wp:inline distT="0" distB="0" distL="0" distR="0">
            <wp:extent cx="44450" cy="450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450" cy="45085"/>
                    </a:xfrm>
                    <a:prstGeom prst="rect">
                      <a:avLst/>
                    </a:prstGeom>
                    <a:noFill/>
                    <a:ln>
                      <a:noFill/>
                    </a:ln>
                  </pic:spPr>
                </pic:pic>
              </a:graphicData>
            </a:graphic>
          </wp:inline>
        </w:drawing>
        <w:drawing>
          <wp:inline distT="0" distB="0" distL="0" distR="0">
            <wp:extent cx="71120" cy="666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20" cy="66675"/>
                    </a:xfrm>
                    <a:prstGeom prst="rect">
                      <a:avLst/>
                    </a:prstGeom>
                    <a:noFill/>
                    <a:ln>
                      <a:noFill/>
                    </a:ln>
                  </pic:spPr>
                </pic:pic>
              </a:graphicData>
            </a:graphic>
          </wp:inline>
        </w:drawing>
        <w:drawing>
          <wp:inline distT="0" distB="0" distL="0" distR="0">
            <wp:extent cx="40005" cy="3873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005" cy="38735"/>
                    </a:xfrm>
                    <a:prstGeom prst="rect">
                      <a:avLst/>
                    </a:prstGeom>
                    <a:noFill/>
                    <a:ln>
                      <a:noFill/>
                    </a:ln>
                  </pic:spPr>
                </pic:pic>
              </a:graphicData>
            </a:graphic>
          </wp:inline>
        </w:drawing>
        <w:drawing>
          <wp:inline distT="0" distB="0" distL="0" distR="0">
            <wp:extent cx="71120" cy="400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20" cy="40005"/>
                    </a:xfrm>
                    <a:prstGeom prst="rect">
                      <a:avLst/>
                    </a:prstGeom>
                    <a:noFill/>
                    <a:ln>
                      <a:noFill/>
                    </a:ln>
                  </pic:spPr>
                </pic:pic>
              </a:graphicData>
            </a:graphic>
          </wp:inline>
        </w:drawing>
        <w:drawing>
          <wp:inline distT="0" distB="0" distL="0" distR="0">
            <wp:extent cx="34925" cy="349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925" cy="34925"/>
                    </a:xfrm>
                    <a:prstGeom prst="rect">
                      <a:avLst/>
                    </a:prstGeom>
                    <a:noFill/>
                    <a:ln>
                      <a:noFill/>
                    </a:ln>
                  </pic:spPr>
                </pic:pic>
              </a:graphicData>
            </a:graphic>
          </wp:inline>
        </w:drawing>
        <w:drawing>
          <wp:inline distT="0" distB="0" distL="0" distR="0">
            <wp:extent cx="33655" cy="742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74295"/>
                    </a:xfrm>
                    <a:prstGeom prst="rect">
                      <a:avLst/>
                    </a:prstGeom>
                    <a:noFill/>
                    <a:ln>
                      <a:noFill/>
                    </a:ln>
                  </pic:spPr>
                </pic:pic>
              </a:graphicData>
            </a:graphic>
          </wp:inline>
        </w:drawing>
        <w:drawing>
          <wp:inline distT="0" distB="0" distL="0" distR="0">
            <wp:extent cx="59690" cy="5461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461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20"/>
        <w:spacing w:after="0"/>
        <w:rPr>
          <w:sz w:val="20"/>
          <w:szCs w:val="20"/>
          <w:color w:val="auto"/>
        </w:rPr>
      </w:pPr>
      <w:r>
        <w:rPr>
          <w:rFonts w:ascii="Arial" w:cs="Arial" w:eastAsia="Arial" w:hAnsi="Arial"/>
          <w:sz w:val="26"/>
          <w:szCs w:val="26"/>
          <w:b w:val="1"/>
          <w:bCs w:val="1"/>
          <w:color w:val="377FA7"/>
        </w:rPr>
        <w:t>Tennessee</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 xml:space="preserve">Cardinal Health Inc. </w:t>
      </w:r>
      <w:r>
        <w:rPr>
          <w:rFonts w:ascii="Arial" w:cs="Arial" w:eastAsia="Arial" w:hAnsi="Arial"/>
          <w:sz w:val="22"/>
          <w:szCs w:val="22"/>
          <w:color w:val="auto"/>
        </w:rPr>
        <w:t>provides</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warehousing, shipping and</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other distribution support for</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our products in the U.S.</w:t>
      </w:r>
    </w:p>
    <w:p>
      <w:pPr>
        <w:spacing w:after="0" w:line="368" w:lineRule="exact"/>
        <w:rPr>
          <w:sz w:val="20"/>
          <w:szCs w:val="20"/>
          <w:color w:val="auto"/>
        </w:rPr>
      </w:pPr>
    </w:p>
    <w:p>
      <w:pPr>
        <w:ind w:left="720"/>
        <w:spacing w:after="0"/>
        <w:rPr>
          <w:sz w:val="20"/>
          <w:szCs w:val="20"/>
          <w:color w:val="auto"/>
        </w:rPr>
      </w:pPr>
      <w:r>
        <w:rPr>
          <w:rFonts w:ascii="Arial" w:cs="Arial" w:eastAsia="Arial" w:hAnsi="Arial"/>
          <w:sz w:val="26"/>
          <w:szCs w:val="26"/>
          <w:b w:val="1"/>
          <w:bCs w:val="1"/>
          <w:color w:val="377FA7"/>
        </w:rPr>
        <w:t>Mexico</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22"/>
          <w:szCs w:val="22"/>
          <w:b w:val="1"/>
          <w:bCs w:val="1"/>
          <w:color w:val="auto"/>
        </w:rPr>
        <w:t xml:space="preserve">PiSA Pharmaceutical </w:t>
      </w:r>
      <w:r>
        <w:rPr>
          <w:rFonts w:ascii="Arial" w:cs="Arial" w:eastAsia="Arial" w:hAnsi="Arial"/>
          <w:sz w:val="22"/>
          <w:szCs w:val="22"/>
          <w:color w:val="auto"/>
        </w:rPr>
        <w:t>is our</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22"/>
          <w:szCs w:val="22"/>
          <w:color w:val="auto"/>
        </w:rPr>
        <w:t>commercial partner for Caldolor.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900"/>
        <w:spacing w:after="0"/>
        <w:rPr>
          <w:sz w:val="20"/>
          <w:szCs w:val="20"/>
          <w:color w:val="auto"/>
        </w:rPr>
      </w:pPr>
      <w:r>
        <w:rPr>
          <w:rFonts w:ascii="Arial" w:cs="Arial" w:eastAsia="Arial" w:hAnsi="Arial"/>
          <w:sz w:val="26"/>
          <w:szCs w:val="26"/>
          <w:b w:val="1"/>
          <w:bCs w:val="1"/>
          <w:color w:val="377FA7"/>
        </w:rPr>
        <w:t>Saudi Arabia and Jordan</w:t>
      </w:r>
    </w:p>
    <w:p>
      <w:pPr>
        <w:spacing w:after="0" w:line="26" w:lineRule="exact"/>
        <w:rPr>
          <w:sz w:val="20"/>
          <w:szCs w:val="20"/>
          <w:color w:val="auto"/>
        </w:rPr>
      </w:pPr>
    </w:p>
    <w:p>
      <w:pPr>
        <w:ind w:left="7900"/>
        <w:spacing w:after="0"/>
        <w:rPr>
          <w:sz w:val="20"/>
          <w:szCs w:val="20"/>
          <w:color w:val="auto"/>
        </w:rPr>
      </w:pPr>
      <w:r>
        <w:rPr>
          <w:rFonts w:ascii="Arial" w:cs="Arial" w:eastAsia="Arial" w:hAnsi="Arial"/>
          <w:sz w:val="22"/>
          <w:szCs w:val="22"/>
          <w:b w:val="1"/>
          <w:bCs w:val="1"/>
          <w:color w:val="auto"/>
        </w:rPr>
        <w:t>Tabuk Pharmaceutical</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22"/>
          <w:szCs w:val="22"/>
          <w:b w:val="1"/>
          <w:bCs w:val="1"/>
          <w:color w:val="auto"/>
          <w:highlight w:val="lightGray"/>
        </w:rPr>
        <w:t xml:space="preserve">Manufacturing </w:t>
      </w:r>
      <w:r>
        <w:rPr>
          <w:rFonts w:ascii="Arial" w:cs="Arial" w:eastAsia="Arial" w:hAnsi="Arial"/>
          <w:sz w:val="22"/>
          <w:szCs w:val="22"/>
          <w:b w:val="1"/>
          <w:bCs w:val="1"/>
          <w:color w:val="auto"/>
        </w:rPr>
        <w:t>Company</w:t>
      </w:r>
      <w:r>
        <w:rPr>
          <w:rFonts w:ascii="Arial" w:cs="Arial" w:eastAsia="Arial" w:hAnsi="Arial"/>
          <w:sz w:val="22"/>
          <w:szCs w:val="22"/>
          <w:b w:val="1"/>
          <w:bCs w:val="1"/>
          <w:color w:val="auto"/>
          <w:highlight w:val="lightGray"/>
        </w:rPr>
        <w:t xml:space="preserve"> </w:t>
      </w:r>
      <w:r>
        <w:rPr>
          <w:rFonts w:ascii="Arial" w:cs="Arial" w:eastAsia="Arial" w:hAnsi="Arial"/>
          <w:sz w:val="22"/>
          <w:szCs w:val="22"/>
          <w:color w:val="auto"/>
        </w:rPr>
        <w:t>is our</w:t>
      </w:r>
    </w:p>
    <w:p>
      <w:pPr>
        <w:spacing w:after="0" w:line="27" w:lineRule="exact"/>
        <w:rPr>
          <w:sz w:val="20"/>
          <w:szCs w:val="20"/>
          <w:color w:val="auto"/>
        </w:rPr>
      </w:pPr>
    </w:p>
    <w:p>
      <w:pPr>
        <w:ind w:left="7900"/>
        <w:spacing w:after="0"/>
        <w:rPr>
          <w:sz w:val="20"/>
          <w:szCs w:val="20"/>
          <w:color w:val="auto"/>
        </w:rPr>
      </w:pPr>
      <w:r>
        <w:rPr>
          <w:rFonts w:ascii="Arial" w:cs="Arial" w:eastAsia="Arial" w:hAnsi="Arial"/>
          <w:sz w:val="22"/>
          <w:szCs w:val="22"/>
          <w:color w:val="auto"/>
        </w:rPr>
        <w:t>commercial partner for Vibativ.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-253365</wp:posOffset>
                </wp:positionH>
                <wp:positionV relativeFrom="paragraph">
                  <wp:posOffset>557530</wp:posOffset>
                </wp:positionV>
                <wp:extent cx="15544165" cy="2038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44165" cy="203835"/>
                        </a:xfrm>
                        <a:prstGeom prst="rect">
                          <a:avLst/>
                        </a:prstGeom>
                        <a:solidFill>
                          <a:srgbClr val="EBF0F4"/>
                        </a:solidFill>
                      </wps:spPr>
                      <wps:bodyPr/>
                    </wps:wsp>
                  </a:graphicData>
                </a:graphic>
              </wp:anchor>
            </w:drawing>
          </mc:Choice>
          <mc:Fallback>
            <w:pict>
              <v:rect id="Shape 29" o:spid="_x0000_s1054" style="position:absolute;margin-left:-19.9499pt;margin-top:43.9pt;width:1223.95pt;height:1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F0F4" stroked="f"/>
            </w:pict>
          </mc:Fallback>
        </mc:AlternateContent>
        <mc:AlternateContent>
          <mc:Choice Requires="wps">
            <w:drawing>
              <wp:anchor simplePos="0" relativeHeight="251657728" behindDoc="1" locked="0" layoutInCell="0" allowOverlap="1">
                <wp:simplePos x="0" y="0"/>
                <wp:positionH relativeFrom="column">
                  <wp:posOffset>116205</wp:posOffset>
                </wp:positionH>
                <wp:positionV relativeFrom="paragraph">
                  <wp:posOffset>539115</wp:posOffset>
                </wp:positionV>
                <wp:extent cx="0" cy="2438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3840"/>
                        </a:xfrm>
                        <a:prstGeom prst="line">
                          <a:avLst/>
                        </a:prstGeom>
                        <a:solidFill>
                          <a:srgbClr val="FFFFFF"/>
                        </a:solidFill>
                        <a:ln w="20116">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15pt,42.45pt" to="9.15pt,61.65pt" o:allowincell="f" strokecolor="#FFFFFF" strokeweight="1.5839pt"/>
            </w:pict>
          </mc:Fallback>
        </mc:AlternateContent>
      </w:r>
    </w:p>
    <w:p>
      <w:pPr>
        <w:spacing w:after="0" w:line="20" w:lineRule="exact"/>
        <w:rPr>
          <w:sz w:val="20"/>
          <w:szCs w:val="20"/>
          <w:color w:val="auto"/>
        </w:rPr>
      </w:pPr>
      <w:r>
        <w:rPr>
          <w:sz w:val="20"/>
          <w:szCs w:val="20"/>
          <w:color w:val="auto"/>
        </w:rPr>
        <w:br w:type="column"/>
      </w:r>
    </w:p>
    <w:p>
      <w:pPr>
        <w:ind w:left="2620" w:right="480"/>
        <w:spacing w:after="0" w:line="280" w:lineRule="auto"/>
        <w:rPr>
          <w:sz w:val="20"/>
          <w:szCs w:val="20"/>
          <w:color w:val="auto"/>
        </w:rPr>
      </w:pPr>
      <w:r>
        <w:rPr>
          <w:rFonts w:ascii="Arial" w:cs="Arial" w:eastAsia="Arial" w:hAnsi="Arial"/>
          <w:sz w:val="22"/>
          <w:szCs w:val="22"/>
          <w:color w:val="auto"/>
        </w:rPr>
        <w:t>To provide for the availability of our products, we have established a network of distribution partners. Our international partners are responsible for registering and commercializing select Cumberland products, allowing us to provide our unique medicines to better the quality of patient lives in their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-8228965</wp:posOffset>
            </wp:positionH>
            <wp:positionV relativeFrom="paragraph">
              <wp:posOffset>-1560830</wp:posOffset>
            </wp:positionV>
            <wp:extent cx="15544800" cy="8879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extLst>
                    </a:blip>
                    <a:srcRect/>
                    <a:stretch>
                      <a:fillRect/>
                    </a:stretch>
                  </pic:blipFill>
                  <pic:spPr bwMode="auto">
                    <a:xfrm>
                      <a:off x="0" y="0"/>
                      <a:ext cx="15544800" cy="887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80"/>
        <w:spacing w:after="0"/>
        <w:rPr>
          <w:sz w:val="20"/>
          <w:szCs w:val="20"/>
          <w:color w:val="auto"/>
        </w:rPr>
      </w:pPr>
      <w:r>
        <w:rPr>
          <w:rFonts w:ascii="Arial" w:cs="Arial" w:eastAsia="Arial" w:hAnsi="Arial"/>
          <w:sz w:val="26"/>
          <w:szCs w:val="26"/>
          <w:b w:val="1"/>
          <w:bCs w:val="1"/>
          <w:color w:val="377FA7"/>
        </w:rPr>
        <w:t>Russia and CIS</w:t>
      </w:r>
    </w:p>
    <w:p>
      <w:pPr>
        <w:spacing w:after="0" w:line="26"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 xml:space="preserve">R-Pharm JSC </w:t>
      </w:r>
      <w:r>
        <w:rPr>
          <w:rFonts w:ascii="Arial" w:cs="Arial" w:eastAsia="Arial" w:hAnsi="Arial"/>
          <w:sz w:val="22"/>
          <w:szCs w:val="22"/>
          <w:color w:val="auto"/>
        </w:rPr>
        <w:t>is our commercial</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partner for Vibativ.</w:t>
      </w:r>
    </w:p>
    <w:p>
      <w:pPr>
        <w:spacing w:after="0" w:line="340" w:lineRule="exact"/>
        <w:rPr>
          <w:sz w:val="20"/>
          <w:szCs w:val="20"/>
          <w:color w:val="auto"/>
        </w:rPr>
      </w:pPr>
    </w:p>
    <w:p>
      <w:pPr>
        <w:ind w:left="7080"/>
        <w:spacing w:after="0"/>
        <w:rPr>
          <w:sz w:val="20"/>
          <w:szCs w:val="20"/>
          <w:color w:val="auto"/>
        </w:rPr>
      </w:pPr>
      <w:r>
        <w:rPr>
          <w:rFonts w:ascii="Arial" w:cs="Arial" w:eastAsia="Arial" w:hAnsi="Arial"/>
          <w:sz w:val="26"/>
          <w:szCs w:val="26"/>
          <w:b w:val="1"/>
          <w:bCs w:val="1"/>
          <w:color w:val="377FA7"/>
        </w:rPr>
        <w:t>South Korea</w:t>
      </w:r>
    </w:p>
    <w:p>
      <w:pPr>
        <w:spacing w:after="0" w:line="26"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 xml:space="preserve">D.B. Pharm Korea Co. Ltd. </w:t>
      </w:r>
      <w:r>
        <w:rPr>
          <w:rFonts w:ascii="Arial" w:cs="Arial" w:eastAsia="Arial" w:hAnsi="Arial"/>
          <w:sz w:val="22"/>
          <w:szCs w:val="22"/>
          <w:color w:val="auto"/>
        </w:rPr>
        <w:t>is</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our commercial partner for</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Caldolor and Vibativ.</w:t>
      </w:r>
    </w:p>
    <w:p>
      <w:pPr>
        <w:spacing w:after="0" w:line="384" w:lineRule="exact"/>
        <w:rPr>
          <w:sz w:val="20"/>
          <w:szCs w:val="20"/>
          <w:color w:val="auto"/>
        </w:rPr>
      </w:pPr>
    </w:p>
    <w:p>
      <w:pPr>
        <w:ind w:left="7080"/>
        <w:spacing w:after="0"/>
        <w:rPr>
          <w:sz w:val="20"/>
          <w:szCs w:val="20"/>
          <w:color w:val="auto"/>
        </w:rPr>
      </w:pPr>
      <w:r>
        <w:rPr>
          <w:rFonts w:ascii="Arial" w:cs="Arial" w:eastAsia="Arial" w:hAnsi="Arial"/>
          <w:sz w:val="26"/>
          <w:szCs w:val="26"/>
          <w:b w:val="1"/>
          <w:bCs w:val="1"/>
          <w:color w:val="377FA7"/>
        </w:rPr>
        <w:t>China</w:t>
      </w:r>
    </w:p>
    <w:p>
      <w:pPr>
        <w:spacing w:after="0" w:line="26"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rPr>
        <w:t xml:space="preserve">WinHealth Pharma Group </w:t>
      </w:r>
      <w:r>
        <w:rPr>
          <w:rFonts w:ascii="Arial" w:cs="Arial" w:eastAsia="Arial" w:hAnsi="Arial"/>
          <w:sz w:val="22"/>
          <w:szCs w:val="22"/>
          <w:color w:val="auto"/>
        </w:rPr>
        <w:t>is our</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commercial partner for Caldolor</w:t>
      </w:r>
    </w:p>
    <w:p>
      <w:pPr>
        <w:spacing w:after="0" w:line="27" w:lineRule="exact"/>
        <w:rPr>
          <w:sz w:val="20"/>
          <w:szCs w:val="20"/>
          <w:color w:val="auto"/>
        </w:rPr>
      </w:pPr>
    </w:p>
    <w:p>
      <w:pPr>
        <w:ind w:left="6340"/>
        <w:spacing w:after="0"/>
        <w:rPr>
          <w:sz w:val="20"/>
          <w:szCs w:val="20"/>
          <w:color w:val="auto"/>
        </w:rPr>
      </w:pPr>
      <w:r>
        <w:rPr>
          <w:sz w:val="1"/>
          <w:szCs w:val="1"/>
          <w:color w:val="auto"/>
        </w:rPr>
        <w:drawing>
          <wp:inline distT="0" distB="0" distL="0" distR="0">
            <wp:extent cx="72390" cy="920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extLst>
                    </a:blip>
                    <a:srcRect/>
                    <a:stretch>
                      <a:fillRect/>
                    </a:stretch>
                  </pic:blipFill>
                  <pic:spPr bwMode="auto">
                    <a:xfrm>
                      <a:off x="0" y="0"/>
                      <a:ext cx="72390" cy="92075"/>
                    </a:xfrm>
                    <a:prstGeom prst="rect">
                      <a:avLst/>
                    </a:prstGeom>
                    <a:noFill/>
                    <a:ln>
                      <a:noFill/>
                    </a:ln>
                  </pic:spPr>
                </pic:pic>
              </a:graphicData>
            </a:graphic>
          </wp:inline>
        </w:drawing>
        <w:drawing>
          <wp:inline distT="0" distB="0" distL="0" distR="0">
            <wp:extent cx="49530" cy="381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extLst>
                    </a:blip>
                    <a:srcRect/>
                    <a:stretch>
                      <a:fillRect/>
                    </a:stretch>
                  </pic:blipFill>
                  <pic:spPr bwMode="auto">
                    <a:xfrm>
                      <a:off x="0" y="0"/>
                      <a:ext cx="49530" cy="38100"/>
                    </a:xfrm>
                    <a:prstGeom prst="rect">
                      <a:avLst/>
                    </a:prstGeom>
                    <a:noFill/>
                    <a:ln>
                      <a:noFill/>
                    </a:ln>
                  </pic:spPr>
                </pic:pic>
              </a:graphicData>
            </a:graphic>
          </wp:inline>
        </w:drawing>
        <w:drawing>
          <wp:inline distT="0" distB="0" distL="0" distR="0">
            <wp:extent cx="48895" cy="4699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extLst>
                        <a:ext uri="{28A0092B-C50C-407E-A947-70E740481C1C}"/>
                      </a:extLst>
                    </a:blip>
                    <a:srcRect/>
                    <a:stretch>
                      <a:fillRect/>
                    </a:stretch>
                  </pic:blipFill>
                  <pic:spPr bwMode="auto">
                    <a:xfrm>
                      <a:off x="0" y="0"/>
                      <a:ext cx="48895" cy="46990"/>
                    </a:xfrm>
                    <a:prstGeom prst="rect">
                      <a:avLst/>
                    </a:prstGeom>
                    <a:noFill/>
                    <a:ln>
                      <a:noFill/>
                    </a:ln>
                  </pic:spPr>
                </pic:pic>
              </a:graphicData>
            </a:graphic>
          </wp:inline>
        </w:drawing>
        <w:drawing>
          <wp:inline distT="0" distB="0" distL="0" distR="0">
            <wp:extent cx="156210" cy="10922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extLst>
                        <a:ext uri="{28A0092B-C50C-407E-A947-70E740481C1C}"/>
                      </a:extLst>
                    </a:blip>
                    <a:srcRect/>
                    <a:stretch>
                      <a:fillRect/>
                    </a:stretch>
                  </pic:blipFill>
                  <pic:spPr bwMode="auto">
                    <a:xfrm>
                      <a:off x="0" y="0"/>
                      <a:ext cx="156210" cy="109220"/>
                    </a:xfrm>
                    <a:prstGeom prst="rect">
                      <a:avLst/>
                    </a:prstGeom>
                    <a:noFill/>
                    <a:ln>
                      <a:noFill/>
                    </a:ln>
                  </pic:spPr>
                </pic:pic>
              </a:graphicData>
            </a:graphic>
          </wp:inline>
        </w:drawing>
        <w:drawing>
          <wp:inline distT="0" distB="0" distL="0" distR="0">
            <wp:extent cx="94615" cy="622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extLst>
                    </a:blip>
                    <a:srcRect/>
                    <a:stretch>
                      <a:fillRect/>
                    </a:stretch>
                  </pic:blipFill>
                  <pic:spPr bwMode="auto">
                    <a:xfrm>
                      <a:off x="0" y="0"/>
                      <a:ext cx="94615" cy="62230"/>
                    </a:xfrm>
                    <a:prstGeom prst="rect">
                      <a:avLst/>
                    </a:prstGeom>
                    <a:noFill/>
                    <a:ln>
                      <a:noFill/>
                    </a:ln>
                  </pic:spPr>
                </pic:pic>
              </a:graphicData>
            </a:graphic>
          </wp:inline>
        </w:drawing>
        <w:drawing>
          <wp:inline distT="0" distB="0" distL="0" distR="0">
            <wp:extent cx="83185" cy="8382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extLst>
                    </a:blip>
                    <a:srcRect/>
                    <a:stretch>
                      <a:fillRect/>
                    </a:stretch>
                  </pic:blipFill>
                  <pic:spPr bwMode="auto">
                    <a:xfrm>
                      <a:off x="0" y="0"/>
                      <a:ext cx="83185" cy="83820"/>
                    </a:xfrm>
                    <a:prstGeom prst="rect">
                      <a:avLst/>
                    </a:prstGeom>
                    <a:noFill/>
                    <a:ln>
                      <a:noFill/>
                    </a:ln>
                  </pic:spPr>
                </pic:pic>
              </a:graphicData>
            </a:graphic>
          </wp:inline>
        </w:drawing>
        <w:drawing>
          <wp:inline distT="0" distB="0" distL="0" distR="0">
            <wp:extent cx="38735" cy="4699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extLst>
                    </a:blip>
                    <a:srcRect/>
                    <a:stretch>
                      <a:fillRect/>
                    </a:stretch>
                  </pic:blipFill>
                  <pic:spPr bwMode="auto">
                    <a:xfrm>
                      <a:off x="0" y="0"/>
                      <a:ext cx="38735" cy="46990"/>
                    </a:xfrm>
                    <a:prstGeom prst="rect">
                      <a:avLst/>
                    </a:prstGeom>
                    <a:noFill/>
                    <a:ln>
                      <a:noFill/>
                    </a:ln>
                  </pic:spPr>
                </pic:pic>
              </a:graphicData>
            </a:graphic>
          </wp:inline>
        </w:drawing>
      </w:r>
      <w:r>
        <w:rPr>
          <w:rFonts w:ascii="Arial" w:cs="Arial" w:eastAsia="Arial" w:hAnsi="Arial"/>
          <w:sz w:val="22"/>
          <w:szCs w:val="22"/>
          <w:color w:val="auto"/>
        </w:rPr>
        <w:t>and Acetadote, and an investor in</w:t>
      </w:r>
    </w:p>
    <w:p>
      <w:pPr>
        <w:spacing w:after="0" w:line="27" w:lineRule="exact"/>
        <w:rPr>
          <w:sz w:val="20"/>
          <w:szCs w:val="20"/>
          <w:color w:val="auto"/>
        </w:rPr>
      </w:pPr>
    </w:p>
    <w:p>
      <w:pPr>
        <w:ind w:left="6920"/>
        <w:spacing w:after="0"/>
        <w:rPr>
          <w:sz w:val="20"/>
          <w:szCs w:val="20"/>
          <w:color w:val="auto"/>
        </w:rPr>
      </w:pPr>
      <w:r>
        <w:rPr>
          <w:sz w:val="1"/>
          <w:szCs w:val="1"/>
          <w:color w:val="auto"/>
        </w:rPr>
        <w:drawing>
          <wp:inline distT="0" distB="0" distL="0" distR="0">
            <wp:extent cx="49530" cy="400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extLst>
                        <a:ext uri="{28A0092B-C50C-407E-A947-70E740481C1C}"/>
                      </a:extLst>
                    </a:blip>
                    <a:srcRect/>
                    <a:stretch>
                      <a:fillRect/>
                    </a:stretch>
                  </pic:blipFill>
                  <pic:spPr bwMode="auto">
                    <a:xfrm>
                      <a:off x="0" y="0"/>
                      <a:ext cx="49530" cy="40005"/>
                    </a:xfrm>
                    <a:prstGeom prst="rect">
                      <a:avLst/>
                    </a:prstGeom>
                    <a:noFill/>
                    <a:ln>
                      <a:noFill/>
                    </a:ln>
                  </pic:spPr>
                </pic:pic>
              </a:graphicData>
            </a:graphic>
          </wp:inline>
        </w:drawing>
      </w:r>
      <w:r>
        <w:rPr>
          <w:rFonts w:ascii="Arial" w:cs="Arial" w:eastAsia="Arial" w:hAnsi="Arial"/>
          <w:sz w:val="22"/>
          <w:szCs w:val="22"/>
          <w:color w:val="auto"/>
        </w:rPr>
        <w:t xml:space="preserve"> Cumberland Emerging Technologies.</w:t>
      </w:r>
    </w:p>
    <w:p>
      <w:pPr>
        <w:spacing w:after="0" w:line="307" w:lineRule="exact"/>
        <w:rPr>
          <w:sz w:val="20"/>
          <w:szCs w:val="20"/>
          <w:color w:val="auto"/>
        </w:rPr>
      </w:pPr>
    </w:p>
    <w:p>
      <w:pPr>
        <w:ind w:left="7080"/>
        <w:spacing w:after="0"/>
        <w:rPr>
          <w:sz w:val="20"/>
          <w:szCs w:val="20"/>
          <w:color w:val="auto"/>
        </w:rPr>
      </w:pPr>
      <w:r>
        <w:rPr>
          <w:rFonts w:ascii="Arial" w:cs="Arial" w:eastAsia="Arial" w:hAnsi="Arial"/>
          <w:sz w:val="22"/>
          <w:szCs w:val="22"/>
          <w:b w:val="1"/>
          <w:bCs w:val="1"/>
          <w:color w:val="auto"/>
          <w:highlight w:val="lightGray"/>
        </w:rPr>
        <w:t xml:space="preserve">SciClone </w:t>
      </w:r>
      <w:r>
        <w:rPr>
          <w:rFonts w:ascii="Arial" w:cs="Arial" w:eastAsia="Arial" w:hAnsi="Arial"/>
          <w:sz w:val="22"/>
          <w:szCs w:val="22"/>
          <w:b w:val="1"/>
          <w:bCs w:val="1"/>
          <w:color w:val="auto"/>
        </w:rPr>
        <w:t>Pharmaceuticals</w:t>
      </w:r>
      <w:r>
        <w:rPr>
          <w:rFonts w:ascii="Arial" w:cs="Arial" w:eastAsia="Arial" w:hAnsi="Arial"/>
          <w:sz w:val="22"/>
          <w:szCs w:val="22"/>
          <w:b w:val="1"/>
          <w:bCs w:val="1"/>
          <w:color w:val="auto"/>
          <w:highlight w:val="lightGray"/>
        </w:rPr>
        <w:t xml:space="preserve"> </w:t>
      </w:r>
      <w:r>
        <w:rPr>
          <w:rFonts w:ascii="Arial" w:cs="Arial" w:eastAsia="Arial" w:hAnsi="Arial"/>
          <w:sz w:val="22"/>
          <w:szCs w:val="22"/>
          <w:color w:val="auto"/>
        </w:rPr>
        <w:t>is our</w:t>
      </w:r>
    </w:p>
    <w:p>
      <w:pPr>
        <w:spacing w:after="0" w:line="27" w:lineRule="exact"/>
        <w:rPr>
          <w:sz w:val="20"/>
          <w:szCs w:val="20"/>
          <w:color w:val="auto"/>
        </w:rPr>
      </w:pPr>
    </w:p>
    <w:p>
      <w:pPr>
        <w:ind w:left="7080"/>
        <w:spacing w:after="0"/>
        <w:rPr>
          <w:sz w:val="20"/>
          <w:szCs w:val="20"/>
          <w:color w:val="auto"/>
        </w:rPr>
      </w:pPr>
      <w:r>
        <w:rPr>
          <w:rFonts w:ascii="Arial" w:cs="Arial" w:eastAsia="Arial" w:hAnsi="Arial"/>
          <w:sz w:val="22"/>
          <w:szCs w:val="22"/>
          <w:color w:val="auto"/>
        </w:rPr>
        <w:t>commercial partner for Vibativ.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567" w:val="left"/>
        </w:tabs>
        <w:rPr>
          <w:sz w:val="20"/>
          <w:szCs w:val="20"/>
          <w:color w:val="auto"/>
        </w:rPr>
      </w:pPr>
      <w:r>
        <w:rPr>
          <w:rFonts w:ascii="Arial" w:cs="Arial" w:eastAsia="Arial" w:hAnsi="Arial"/>
          <w:sz w:val="26"/>
          <w:szCs w:val="26"/>
          <w:b w:val="1"/>
          <w:bCs w:val="1"/>
          <w:color w:val="377FA7"/>
        </w:rPr>
        <w:t>Australia</w:t>
      </w:r>
      <w:r>
        <w:rPr>
          <w:sz w:val="20"/>
          <w:szCs w:val="20"/>
          <w:color w:val="auto"/>
        </w:rPr>
        <w:tab/>
      </w:r>
      <w:r>
        <w:rPr>
          <w:sz w:val="1"/>
          <w:szCs w:val="1"/>
          <w:color w:val="auto"/>
        </w:rPr>
        <w:drawing>
          <wp:inline distT="0" distB="0" distL="0" distR="0">
            <wp:extent cx="97790" cy="76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extLst>
                        <a:ext uri="{28A0092B-C50C-407E-A947-70E740481C1C}"/>
                      </a:extLst>
                    </a:blip>
                    <a:srcRect/>
                    <a:stretch>
                      <a:fillRect/>
                    </a:stretch>
                  </pic:blipFill>
                  <pic:spPr bwMode="auto">
                    <a:xfrm>
                      <a:off x="0" y="0"/>
                      <a:ext cx="97790" cy="76200"/>
                    </a:xfrm>
                    <a:prstGeom prst="rect">
                      <a:avLst/>
                    </a:prstGeom>
                    <a:noFill/>
                    <a:ln>
                      <a:noFill/>
                    </a:ln>
                  </pic:spPr>
                </pic:pic>
              </a:graphicData>
            </a:graphic>
          </wp:inline>
        </w:drawing>
      </w:r>
      <w:r>
        <w:rPr>
          <w:rFonts w:ascii="Arial" w:cs="Arial" w:eastAsia="Arial" w:hAnsi="Arial"/>
          <w:sz w:val="26"/>
          <w:szCs w:val="26"/>
          <w:b w:val="1"/>
          <w:bCs w:val="1"/>
          <w:color w:val="377FA7"/>
        </w:rPr>
        <w:t xml:space="preserve">           India</w:t>
      </w:r>
    </w:p>
    <w:p>
      <w:pPr>
        <w:spacing w:after="0" w:line="26" w:lineRule="exact"/>
        <w:rPr>
          <w:sz w:val="20"/>
          <w:szCs w:val="20"/>
          <w:color w:val="auto"/>
        </w:rPr>
      </w:pPr>
    </w:p>
    <w:p>
      <w:pPr>
        <w:spacing w:after="0"/>
        <w:tabs>
          <w:tab w:leader="none" w:pos="3380" w:val="left"/>
        </w:tabs>
        <w:rPr>
          <w:sz w:val="20"/>
          <w:szCs w:val="20"/>
          <w:color w:val="auto"/>
        </w:rPr>
      </w:pPr>
      <w:r>
        <w:rPr>
          <w:rFonts w:ascii="Arial" w:cs="Arial" w:eastAsia="Arial" w:hAnsi="Arial"/>
          <w:sz w:val="22"/>
          <w:szCs w:val="22"/>
          <w:b w:val="1"/>
          <w:bCs w:val="1"/>
          <w:color w:val="auto"/>
        </w:rPr>
        <w:t xml:space="preserve">Phebra Pty Ltd. </w:t>
      </w:r>
      <w:r>
        <w:rPr>
          <w:rFonts w:ascii="Arial" w:cs="Arial" w:eastAsia="Arial" w:hAnsi="Arial"/>
          <w:sz w:val="22"/>
          <w:szCs w:val="22"/>
          <w:color w:val="auto"/>
        </w:rPr>
        <w:t>is our</w:t>
      </w:r>
      <w:r>
        <w:rPr>
          <w:sz w:val="20"/>
          <w:szCs w:val="20"/>
          <w:color w:val="auto"/>
        </w:rPr>
        <w:tab/>
      </w:r>
      <w:r>
        <w:rPr>
          <w:rFonts w:ascii="Arial" w:cs="Arial" w:eastAsia="Arial" w:hAnsi="Arial"/>
          <w:sz w:val="21"/>
          <w:szCs w:val="21"/>
          <w:b w:val="1"/>
          <w:bCs w:val="1"/>
          <w:color w:val="auto"/>
        </w:rPr>
        <w:t>Sandor Medicaids Pvt.</w:t>
      </w:r>
    </w:p>
    <w:p>
      <w:pPr>
        <w:spacing w:after="0" w:line="27" w:lineRule="exact"/>
        <w:rPr>
          <w:sz w:val="20"/>
          <w:szCs w:val="20"/>
          <w:color w:val="auto"/>
        </w:rPr>
      </w:pPr>
    </w:p>
    <w:p>
      <w:pPr>
        <w:spacing w:after="0"/>
        <w:tabs>
          <w:tab w:leader="none" w:pos="3380" w:val="left"/>
        </w:tabs>
        <w:rPr>
          <w:sz w:val="20"/>
          <w:szCs w:val="20"/>
          <w:color w:val="auto"/>
        </w:rPr>
      </w:pPr>
      <w:r>
        <w:rPr>
          <w:rFonts w:ascii="Arial" w:cs="Arial" w:eastAsia="Arial" w:hAnsi="Arial"/>
          <w:sz w:val="22"/>
          <w:szCs w:val="22"/>
          <w:color w:val="auto"/>
        </w:rPr>
        <w:t>commercial partner for</w:t>
      </w:r>
      <w:r>
        <w:rPr>
          <w:sz w:val="20"/>
          <w:szCs w:val="20"/>
          <w:color w:val="auto"/>
        </w:rPr>
        <w:tab/>
      </w:r>
      <w:r>
        <w:rPr>
          <w:rFonts w:ascii="Arial" w:cs="Arial" w:eastAsia="Arial" w:hAnsi="Arial"/>
          <w:sz w:val="22"/>
          <w:szCs w:val="22"/>
          <w:b w:val="1"/>
          <w:bCs w:val="1"/>
          <w:color w:val="auto"/>
        </w:rPr>
        <w:t xml:space="preserve">Ltd. </w:t>
      </w:r>
      <w:r>
        <w:rPr>
          <w:rFonts w:ascii="Arial" w:cs="Arial" w:eastAsia="Arial" w:hAnsi="Arial"/>
          <w:sz w:val="22"/>
          <w:szCs w:val="22"/>
          <w:color w:val="auto"/>
        </w:rPr>
        <w:t>is our commercial</w:t>
      </w:r>
    </w:p>
    <w:p>
      <w:pPr>
        <w:spacing w:after="0" w:line="27" w:lineRule="exact"/>
        <w:rPr>
          <w:sz w:val="20"/>
          <w:szCs w:val="20"/>
          <w:color w:val="auto"/>
        </w:rPr>
      </w:pPr>
    </w:p>
    <w:p>
      <w:pPr>
        <w:spacing w:after="0"/>
        <w:tabs>
          <w:tab w:leader="none" w:pos="3380" w:val="left"/>
        </w:tabs>
        <w:rPr>
          <w:sz w:val="20"/>
          <w:szCs w:val="20"/>
          <w:color w:val="auto"/>
        </w:rPr>
      </w:pPr>
      <w:r>
        <w:rPr>
          <w:rFonts w:ascii="Arial" w:cs="Arial" w:eastAsia="Arial" w:hAnsi="Arial"/>
          <w:sz w:val="22"/>
          <w:szCs w:val="22"/>
          <w:color w:val="auto"/>
        </w:rPr>
        <w:t>Acetadote and Caldolor.</w:t>
      </w:r>
      <w:r>
        <w:rPr>
          <w:sz w:val="20"/>
          <w:szCs w:val="20"/>
          <w:color w:val="auto"/>
        </w:rPr>
        <w:tab/>
      </w:r>
      <w:r>
        <w:rPr>
          <w:rFonts w:ascii="Arial" w:cs="Arial" w:eastAsia="Arial" w:hAnsi="Arial"/>
          <w:sz w:val="22"/>
          <w:szCs w:val="22"/>
          <w:color w:val="auto"/>
        </w:rPr>
        <w:t>partner for Caldolor.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6942455</wp:posOffset>
                </wp:positionH>
                <wp:positionV relativeFrom="paragraph">
                  <wp:posOffset>539115</wp:posOffset>
                </wp:positionV>
                <wp:extent cx="0" cy="24384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3840"/>
                        </a:xfrm>
                        <a:prstGeom prst="line">
                          <a:avLst/>
                        </a:prstGeom>
                        <a:solidFill>
                          <a:srgbClr val="FFFFFF"/>
                        </a:solidFill>
                        <a:ln w="20116">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6.65pt,42.45pt" to="546.65pt,61.65pt" o:allowincell="f" strokecolor="#FFFFFF" strokeweight="1.5839pt"/>
            </w:pict>
          </mc:Fallback>
        </mc:AlternateContent>
      </w:r>
    </w:p>
    <w:p>
      <w:pPr>
        <w:spacing w:after="0" w:line="200" w:lineRule="exact"/>
        <w:rPr>
          <w:sz w:val="20"/>
          <w:szCs w:val="20"/>
          <w:color w:val="auto"/>
        </w:rPr>
      </w:pPr>
    </w:p>
    <w:p>
      <w:pPr>
        <w:sectPr>
          <w:pgSz w:w="24480" w:h="15840" w:orient="landscape"/>
          <w:cols w:equalWidth="0" w:num="2">
            <w:col w:w="11840" w:space="720"/>
            <w:col w:w="11120"/>
          </w:cols>
          <w:pgMar w:left="400" w:top="1278" w:right="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80" w:val="left"/>
          <w:tab w:leader="none" w:pos="21780" w:val="left"/>
          <w:tab w:leader="none" w:pos="23580" w:val="left"/>
        </w:tabs>
        <w:rPr>
          <w:sz w:val="20"/>
          <w:szCs w:val="20"/>
          <w:color w:val="auto"/>
        </w:rPr>
      </w:pPr>
      <w:r>
        <w:rPr>
          <w:rFonts w:ascii="Arial" w:cs="Arial" w:eastAsia="Arial" w:hAnsi="Arial"/>
          <w:sz w:val="16"/>
          <w:szCs w:val="16"/>
          <w:color w:val="377FA7"/>
        </w:rPr>
        <w:t>6</w:t>
      </w:r>
      <w:r>
        <w:rPr>
          <w:rFonts w:ascii="Arial" w:cs="Arial" w:eastAsia="Arial" w:hAnsi="Arial"/>
          <w:sz w:val="16"/>
          <w:szCs w:val="16"/>
          <w:color w:val="00004D"/>
        </w:rPr>
        <w:tab/>
        <w:t>Cumberland Pharmaceuticals</w:t>
      </w:r>
      <w:r>
        <w:rPr>
          <w:sz w:val="20"/>
          <w:szCs w:val="20"/>
          <w:color w:val="auto"/>
        </w:rPr>
        <w:tab/>
      </w:r>
      <w:r>
        <w:rPr>
          <w:rFonts w:ascii="Arial" w:cs="Arial" w:eastAsia="Arial" w:hAnsi="Arial"/>
          <w:sz w:val="16"/>
          <w:szCs w:val="16"/>
          <w:color w:val="00004D"/>
        </w:rPr>
        <w:t>2023 Annual Report</w:t>
      </w:r>
      <w:r>
        <w:rPr>
          <w:sz w:val="20"/>
          <w:szCs w:val="20"/>
          <w:color w:val="auto"/>
        </w:rPr>
        <w:tab/>
      </w:r>
      <w:r>
        <w:rPr>
          <w:rFonts w:ascii="Arial" w:cs="Arial" w:eastAsia="Arial" w:hAnsi="Arial"/>
          <w:sz w:val="14"/>
          <w:szCs w:val="14"/>
          <w:color w:val="377FA7"/>
        </w:rPr>
        <w:t>7</w:t>
      </w:r>
    </w:p>
    <w:p>
      <w:pPr>
        <w:sectPr>
          <w:pgSz w:w="24480" w:h="15840" w:orient="landscape"/>
          <w:cols w:equalWidth="0" w:num="1">
            <w:col w:w="23680"/>
          </w:cols>
          <w:pgMar w:left="400" w:top="1278" w:right="400" w:bottom="0" w:gutter="0" w:footer="0" w:header="0"/>
          <w:type w:val="continuous"/>
        </w:sectPr>
      </w:pPr>
    </w:p>
    <w:bookmarkStart w:id="5" w:name="page6"/>
    <w:bookmarkEnd w:id="5"/>
    <w:p>
      <w:pPr>
        <w:ind w:left="12478"/>
        <w:spacing w:after="0"/>
        <w:rPr>
          <w:sz w:val="20"/>
          <w:szCs w:val="20"/>
          <w:color w:val="auto"/>
        </w:rPr>
      </w:pPr>
      <w:r>
        <w:rPr>
          <w:rFonts w:ascii="Arial" w:cs="Arial" w:eastAsia="Arial" w:hAnsi="Arial"/>
          <w:sz w:val="54"/>
          <w:szCs w:val="54"/>
          <w:color w:val="00004D"/>
        </w:rPr>
        <w:drawing>
          <wp:anchor simplePos="0" relativeHeight="251657728" behindDoc="1" locked="0" layoutInCell="0" allowOverlap="1">
            <wp:simplePos x="0" y="0"/>
            <wp:positionH relativeFrom="page">
              <wp:posOffset>0</wp:posOffset>
            </wp:positionH>
            <wp:positionV relativeFrom="page">
              <wp:posOffset>0</wp:posOffset>
            </wp:positionV>
            <wp:extent cx="15544800" cy="10058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extLst>
                        <a:ext uri="{28A0092B-C50C-407E-A947-70E740481C1C}"/>
                      </a:extLst>
                    </a:blip>
                    <a:srcRect/>
                    <a:stretch>
                      <a:fillRect/>
                    </a:stretch>
                  </pic:blipFill>
                  <pic:spPr bwMode="auto">
                    <a:xfrm>
                      <a:off x="0" y="0"/>
                      <a:ext cx="15544800" cy="10058400"/>
                    </a:xfrm>
                    <a:prstGeom prst="rect">
                      <a:avLst/>
                    </a:prstGeom>
                    <a:noFill/>
                  </pic:spPr>
                </pic:pic>
              </a:graphicData>
            </a:graphic>
          </wp:anchor>
        </w:drawing>
        <w:t xml:space="preserve">Sustainability </w:t>
      </w:r>
      <w:r>
        <w:rPr>
          <w:rFonts w:ascii="Arial" w:cs="Arial" w:eastAsia="Arial" w:hAnsi="Arial"/>
          <w:sz w:val="38"/>
          <w:szCs w:val="38"/>
          <w:b w:val="1"/>
          <w:bCs w:val="1"/>
          <w:color w:val="377FA7"/>
        </w:rPr>
        <w:t>2023 At a Glance</w:t>
      </w:r>
    </w:p>
    <w:p>
      <w:pPr>
        <w:sectPr>
          <w:pgSz w:w="24480" w:h="15840" w:orient="landscape"/>
          <w:cols w:equalWidth="0" w:num="1">
            <w:col w:w="23698"/>
          </w:cols>
          <w:pgMar w:left="402" w:top="664" w:right="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558"/>
        <w:spacing w:after="0"/>
        <w:rPr>
          <w:sz w:val="20"/>
          <w:szCs w:val="20"/>
          <w:color w:val="auto"/>
        </w:rPr>
      </w:pPr>
      <w:r>
        <w:rPr>
          <w:rFonts w:ascii="Arial" w:cs="Arial" w:eastAsia="Arial" w:hAnsi="Arial"/>
          <w:sz w:val="31"/>
          <w:szCs w:val="31"/>
          <w:b w:val="1"/>
          <w:bCs w:val="1"/>
          <w:color w:val="377FA7"/>
        </w:rPr>
        <w:t>ENVIRONMENT</w:t>
      </w:r>
    </w:p>
    <w:p>
      <w:pPr>
        <w:spacing w:after="0" w:line="301" w:lineRule="exact"/>
        <w:rPr>
          <w:sz w:val="20"/>
          <w:szCs w:val="20"/>
          <w:color w:val="auto"/>
        </w:rPr>
      </w:pPr>
    </w:p>
    <w:tbl>
      <w:tblPr>
        <w:tblLayout w:type="fixed"/>
        <w:tblInd w:w="12558" w:type="dxa"/>
        <w:tblCellMar>
          <w:top w:w="0" w:type="dxa"/>
          <w:left w:w="0" w:type="dxa"/>
          <w:bottom w:w="0" w:type="dxa"/>
          <w:right w:w="0" w:type="dxa"/>
        </w:tblCellMar>
      </w:tblPr>
      <w:tr>
        <w:trPr>
          <w:trHeight w:val="94"/>
        </w:trPr>
        <w:tc>
          <w:tcPr>
            <w:tcW w:w="1160" w:type="dxa"/>
            <w:vAlign w:val="bottom"/>
            <w:vMerge w:val="restart"/>
          </w:tcPr>
          <w:p>
            <w:pPr>
              <w:spacing w:after="0"/>
              <w:rPr>
                <w:sz w:val="20"/>
                <w:szCs w:val="20"/>
                <w:color w:val="auto"/>
              </w:rPr>
            </w:pPr>
            <w:r>
              <w:rPr>
                <w:rFonts w:ascii="Arial" w:cs="Arial" w:eastAsia="Arial" w:hAnsi="Arial"/>
                <w:sz w:val="21"/>
                <w:szCs w:val="21"/>
                <w:b w:val="1"/>
                <w:bCs w:val="1"/>
                <w:color w:val="00004D"/>
              </w:rPr>
              <w:t>Supplies</w:t>
            </w:r>
          </w:p>
        </w:tc>
        <w:tc>
          <w:tcPr>
            <w:tcW w:w="1320" w:type="dxa"/>
            <w:vAlign w:val="bottom"/>
          </w:tcPr>
          <w:p>
            <w:pPr>
              <w:spacing w:after="0"/>
              <w:rPr>
                <w:sz w:val="8"/>
                <w:szCs w:val="8"/>
                <w:color w:val="auto"/>
              </w:rPr>
            </w:pPr>
          </w:p>
        </w:tc>
        <w:tc>
          <w:tcPr>
            <w:tcW w:w="2060" w:type="dxa"/>
            <w:vAlign w:val="bottom"/>
            <w:gridSpan w:val="2"/>
            <w:vMerge w:val="restart"/>
          </w:tcPr>
          <w:p>
            <w:pPr>
              <w:ind w:left="160"/>
              <w:spacing w:after="0"/>
              <w:rPr>
                <w:sz w:val="20"/>
                <w:szCs w:val="20"/>
                <w:color w:val="auto"/>
              </w:rPr>
            </w:pPr>
            <w:r>
              <w:rPr>
                <w:rFonts w:ascii="Arial" w:cs="Arial" w:eastAsia="Arial" w:hAnsi="Arial"/>
                <w:sz w:val="21"/>
                <w:szCs w:val="21"/>
                <w:b w:val="1"/>
                <w:bCs w:val="1"/>
                <w:color w:val="00004D"/>
              </w:rPr>
              <w:t>Waste</w:t>
            </w:r>
          </w:p>
        </w:tc>
        <w:tc>
          <w:tcPr>
            <w:tcW w:w="0" w:type="dxa"/>
            <w:vAlign w:val="bottom"/>
          </w:tcPr>
          <w:p>
            <w:pPr>
              <w:spacing w:after="0"/>
              <w:rPr>
                <w:sz w:val="1"/>
                <w:szCs w:val="1"/>
                <w:color w:val="auto"/>
              </w:rPr>
            </w:pPr>
          </w:p>
        </w:tc>
      </w:tr>
      <w:tr>
        <w:trPr>
          <w:trHeight w:val="147"/>
        </w:trPr>
        <w:tc>
          <w:tcPr>
            <w:tcW w:w="1160" w:type="dxa"/>
            <w:vAlign w:val="bottom"/>
            <w:vMerge w:val="continue"/>
          </w:tcPr>
          <w:p>
            <w:pPr>
              <w:spacing w:after="0"/>
              <w:rPr>
                <w:sz w:val="12"/>
                <w:szCs w:val="12"/>
                <w:color w:val="auto"/>
              </w:rPr>
            </w:pPr>
          </w:p>
        </w:tc>
        <w:tc>
          <w:tcPr>
            <w:tcW w:w="1320" w:type="dxa"/>
            <w:vAlign w:val="bottom"/>
            <w:tcBorders>
              <w:right w:val="single" w:sz="8" w:color="377FA7"/>
            </w:tcBorders>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8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Contracted with third-party</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Ensured strict</w:t>
            </w:r>
          </w:p>
        </w:tc>
        <w:tc>
          <w:tcPr>
            <w:tcW w:w="0" w:type="dxa"/>
            <w:vAlign w:val="bottom"/>
          </w:tcPr>
          <w:p>
            <w:pPr>
              <w:spacing w:after="0"/>
              <w:rPr>
                <w:sz w:val="1"/>
                <w:szCs w:val="1"/>
                <w:color w:val="auto"/>
              </w:rPr>
            </w:pPr>
          </w:p>
        </w:tc>
      </w:tr>
      <w:tr>
        <w:trPr>
          <w:trHeight w:val="209"/>
        </w:trPr>
        <w:tc>
          <w:tcPr>
            <w:tcW w:w="248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companies for the</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guidelines and</w:t>
            </w:r>
          </w:p>
        </w:tc>
        <w:tc>
          <w:tcPr>
            <w:tcW w:w="0" w:type="dxa"/>
            <w:vAlign w:val="bottom"/>
          </w:tcPr>
          <w:p>
            <w:pPr>
              <w:spacing w:after="0"/>
              <w:rPr>
                <w:sz w:val="1"/>
                <w:szCs w:val="1"/>
                <w:color w:val="auto"/>
              </w:rPr>
            </w:pPr>
          </w:p>
        </w:tc>
      </w:tr>
      <w:tr>
        <w:trPr>
          <w:trHeight w:val="209"/>
        </w:trPr>
        <w:tc>
          <w:tcPr>
            <w:tcW w:w="248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manufacturing, packaging</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processes for the safe,</w:t>
            </w:r>
          </w:p>
        </w:tc>
        <w:tc>
          <w:tcPr>
            <w:tcW w:w="0" w:type="dxa"/>
            <w:vAlign w:val="bottom"/>
          </w:tcPr>
          <w:p>
            <w:pPr>
              <w:spacing w:after="0"/>
              <w:rPr>
                <w:sz w:val="1"/>
                <w:szCs w:val="1"/>
                <w:color w:val="auto"/>
              </w:rPr>
            </w:pPr>
          </w:p>
        </w:tc>
      </w:tr>
      <w:tr>
        <w:trPr>
          <w:trHeight w:val="209"/>
        </w:trPr>
        <w:tc>
          <w:tcPr>
            <w:tcW w:w="2480" w:type="dxa"/>
            <w:vAlign w:val="bottom"/>
            <w:tcBorders>
              <w:right w:val="single" w:sz="8" w:color="377FA7"/>
            </w:tcBorders>
            <w:gridSpan w:val="2"/>
          </w:tcPr>
          <w:p>
            <w:pPr>
              <w:spacing w:after="0"/>
              <w:rPr>
                <w:sz w:val="20"/>
                <w:szCs w:val="20"/>
                <w:color w:val="auto"/>
              </w:rPr>
            </w:pPr>
            <w:r>
              <w:rPr>
                <w:rFonts w:ascii="Arial" w:cs="Arial" w:eastAsia="Arial" w:hAnsi="Arial"/>
                <w:sz w:val="18"/>
                <w:szCs w:val="18"/>
                <w:color w:val="auto"/>
              </w:rPr>
              <w:t>and warehousing of</w:t>
            </w: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permanent disposal of</w:t>
            </w:r>
          </w:p>
        </w:tc>
        <w:tc>
          <w:tcPr>
            <w:tcW w:w="0" w:type="dxa"/>
            <w:vAlign w:val="bottom"/>
          </w:tcPr>
          <w:p>
            <w:pPr>
              <w:spacing w:after="0"/>
              <w:rPr>
                <w:sz w:val="1"/>
                <w:szCs w:val="1"/>
                <w:color w:val="auto"/>
              </w:rPr>
            </w:pPr>
          </w:p>
        </w:tc>
      </w:tr>
      <w:tr>
        <w:trPr>
          <w:trHeight w:val="273"/>
        </w:trPr>
        <w:tc>
          <w:tcPr>
            <w:tcW w:w="1160" w:type="dxa"/>
            <w:vAlign w:val="bottom"/>
          </w:tcPr>
          <w:p>
            <w:pPr>
              <w:spacing w:after="0"/>
              <w:rPr>
                <w:sz w:val="20"/>
                <w:szCs w:val="20"/>
                <w:color w:val="auto"/>
              </w:rPr>
            </w:pPr>
            <w:r>
              <w:rPr>
                <w:rFonts w:ascii="Arial" w:cs="Arial" w:eastAsia="Arial" w:hAnsi="Arial"/>
                <w:sz w:val="18"/>
                <w:szCs w:val="18"/>
                <w:color w:val="auto"/>
              </w:rPr>
              <w:t>our products</w:t>
            </w:r>
          </w:p>
        </w:tc>
        <w:tc>
          <w:tcPr>
            <w:tcW w:w="1320" w:type="dxa"/>
            <w:vAlign w:val="bottom"/>
            <w:tcBorders>
              <w:right w:val="single" w:sz="8" w:color="377FA7"/>
            </w:tcBorders>
          </w:tcPr>
          <w:p>
            <w:pPr>
              <w:spacing w:after="0"/>
              <w:rPr>
                <w:sz w:val="23"/>
                <w:szCs w:val="23"/>
                <w:color w:val="auto"/>
              </w:rPr>
            </w:pPr>
          </w:p>
        </w:tc>
        <w:tc>
          <w:tcPr>
            <w:tcW w:w="2060" w:type="dxa"/>
            <w:vAlign w:val="bottom"/>
            <w:gridSpan w:val="2"/>
          </w:tcPr>
          <w:p>
            <w:pPr>
              <w:ind w:left="160"/>
              <w:spacing w:after="0"/>
              <w:rPr>
                <w:sz w:val="20"/>
                <w:szCs w:val="20"/>
                <w:color w:val="auto"/>
              </w:rPr>
            </w:pPr>
            <w:r>
              <w:rPr>
                <w:rFonts w:ascii="Arial" w:cs="Arial" w:eastAsia="Arial" w:hAnsi="Arial"/>
                <w:sz w:val="18"/>
                <w:szCs w:val="18"/>
                <w:color w:val="auto"/>
              </w:rPr>
              <w:t>all unused product</w:t>
            </w:r>
          </w:p>
        </w:tc>
        <w:tc>
          <w:tcPr>
            <w:tcW w:w="0" w:type="dxa"/>
            <w:vAlign w:val="bottom"/>
          </w:tcPr>
          <w:p>
            <w:pPr>
              <w:spacing w:after="0"/>
              <w:rPr>
                <w:sz w:val="1"/>
                <w:szCs w:val="1"/>
                <w:color w:val="auto"/>
              </w:rPr>
            </w:pPr>
          </w:p>
        </w:tc>
      </w:tr>
      <w:tr>
        <w:trPr>
          <w:trHeight w:val="123"/>
        </w:trPr>
        <w:tc>
          <w:tcPr>
            <w:tcW w:w="1160" w:type="dxa"/>
            <w:vAlign w:val="bottom"/>
            <w:tcBorders>
              <w:bottom w:val="single" w:sz="8" w:color="377FA7"/>
            </w:tcBorders>
          </w:tcPr>
          <w:p>
            <w:pPr>
              <w:spacing w:after="0"/>
              <w:rPr>
                <w:sz w:val="10"/>
                <w:szCs w:val="10"/>
                <w:color w:val="auto"/>
              </w:rPr>
            </w:pPr>
          </w:p>
        </w:tc>
        <w:tc>
          <w:tcPr>
            <w:tcW w:w="1320" w:type="dxa"/>
            <w:vAlign w:val="bottom"/>
            <w:tcBorders>
              <w:bottom w:val="single" w:sz="8" w:color="377FA7"/>
            </w:tcBorders>
          </w:tcPr>
          <w:p>
            <w:pPr>
              <w:spacing w:after="0"/>
              <w:rPr>
                <w:sz w:val="10"/>
                <w:szCs w:val="10"/>
                <w:color w:val="auto"/>
              </w:rPr>
            </w:pPr>
          </w:p>
        </w:tc>
        <w:tc>
          <w:tcPr>
            <w:tcW w:w="1500" w:type="dxa"/>
            <w:vAlign w:val="bottom"/>
            <w:tcBorders>
              <w:bottom w:val="single" w:sz="8" w:color="377FA7"/>
            </w:tcBorders>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1160" w:type="dxa"/>
            <w:vAlign w:val="bottom"/>
          </w:tcPr>
          <w:p>
            <w:pPr>
              <w:spacing w:after="0"/>
              <w:rPr>
                <w:sz w:val="20"/>
                <w:szCs w:val="20"/>
                <w:color w:val="auto"/>
              </w:rPr>
            </w:pPr>
            <w:r>
              <w:rPr>
                <w:rFonts w:ascii="Arial" w:cs="Arial" w:eastAsia="Arial" w:hAnsi="Arial"/>
                <w:sz w:val="21"/>
                <w:szCs w:val="21"/>
                <w:b w:val="1"/>
                <w:bCs w:val="1"/>
                <w:color w:val="00004D"/>
              </w:rPr>
              <w:t>Returns</w:t>
            </w:r>
          </w:p>
        </w:tc>
        <w:tc>
          <w:tcPr>
            <w:tcW w:w="1320" w:type="dxa"/>
            <w:vAlign w:val="bottom"/>
          </w:tcPr>
          <w:p>
            <w:pPr>
              <w:spacing w:after="0"/>
              <w:rPr>
                <w:sz w:val="24"/>
                <w:szCs w:val="24"/>
                <w:color w:val="auto"/>
              </w:rPr>
            </w:pPr>
          </w:p>
        </w:tc>
        <w:tc>
          <w:tcPr>
            <w:tcW w:w="2060" w:type="dxa"/>
            <w:vAlign w:val="bottom"/>
            <w:gridSpan w:val="2"/>
          </w:tcPr>
          <w:p>
            <w:pPr>
              <w:ind w:left="440"/>
              <w:spacing w:after="0"/>
              <w:rPr>
                <w:sz w:val="20"/>
                <w:szCs w:val="20"/>
                <w:color w:val="auto"/>
              </w:rPr>
            </w:pPr>
            <w:r>
              <w:rPr>
                <w:rFonts w:ascii="Arial" w:cs="Arial" w:eastAsia="Arial" w:hAnsi="Arial"/>
                <w:sz w:val="18"/>
                <w:szCs w:val="18"/>
                <w:color w:val="auto"/>
              </w:rPr>
              <w:t>pounds of</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Arial" w:cs="Arial" w:eastAsia="Arial" w:hAnsi="Arial"/>
                <w:sz w:val="18"/>
                <w:szCs w:val="18"/>
                <w:color w:val="auto"/>
              </w:rPr>
              <w:t>Received and</w:t>
            </w:r>
          </w:p>
        </w:tc>
        <w:tc>
          <w:tcPr>
            <w:tcW w:w="1320" w:type="dxa"/>
            <w:vAlign w:val="bottom"/>
          </w:tcPr>
          <w:p>
            <w:pPr>
              <w:spacing w:after="0"/>
              <w:rPr>
                <w:sz w:val="18"/>
                <w:szCs w:val="18"/>
                <w:color w:val="auto"/>
              </w:rPr>
            </w:pPr>
          </w:p>
        </w:tc>
        <w:tc>
          <w:tcPr>
            <w:tcW w:w="2060" w:type="dxa"/>
            <w:vAlign w:val="bottom"/>
            <w:gridSpan w:val="2"/>
          </w:tcPr>
          <w:p>
            <w:pPr>
              <w:ind w:left="440"/>
              <w:spacing w:after="0"/>
              <w:rPr>
                <w:sz w:val="20"/>
                <w:szCs w:val="20"/>
                <w:color w:val="auto"/>
              </w:rPr>
            </w:pPr>
            <w:r>
              <w:rPr>
                <w:rFonts w:ascii="Arial" w:cs="Arial" w:eastAsia="Arial" w:hAnsi="Arial"/>
                <w:sz w:val="18"/>
                <w:szCs w:val="18"/>
                <w:color w:val="auto"/>
              </w:rPr>
              <w:t>damaged and</w:t>
            </w:r>
          </w:p>
        </w:tc>
        <w:tc>
          <w:tcPr>
            <w:tcW w:w="0" w:type="dxa"/>
            <w:vAlign w:val="bottom"/>
          </w:tcPr>
          <w:p>
            <w:pPr>
              <w:spacing w:after="0"/>
              <w:rPr>
                <w:sz w:val="1"/>
                <w:szCs w:val="1"/>
                <w:color w:val="auto"/>
              </w:rPr>
            </w:pPr>
          </w:p>
        </w:tc>
      </w:tr>
      <w:tr>
        <w:trPr>
          <w:trHeight w:val="622"/>
        </w:trPr>
        <w:tc>
          <w:tcPr>
            <w:tcW w:w="1160" w:type="dxa"/>
            <w:vAlign w:val="bottom"/>
          </w:tcPr>
          <w:p>
            <w:pPr>
              <w:spacing w:after="0"/>
              <w:rPr>
                <w:sz w:val="20"/>
                <w:szCs w:val="20"/>
                <w:color w:val="auto"/>
              </w:rPr>
            </w:pPr>
            <w:r>
              <w:rPr>
                <w:rFonts w:ascii="Arial" w:cs="Arial" w:eastAsia="Arial" w:hAnsi="Arial"/>
                <w:sz w:val="18"/>
                <w:szCs w:val="18"/>
                <w:color w:val="auto"/>
              </w:rPr>
              <w:t>disposed of</w:t>
            </w:r>
          </w:p>
        </w:tc>
        <w:tc>
          <w:tcPr>
            <w:tcW w:w="3380" w:type="dxa"/>
            <w:vAlign w:val="bottom"/>
            <w:gridSpan w:val="3"/>
          </w:tcPr>
          <w:p>
            <w:pPr>
              <w:ind w:left="20"/>
              <w:spacing w:after="0" w:line="621" w:lineRule="exact"/>
              <w:rPr>
                <w:sz w:val="20"/>
                <w:szCs w:val="20"/>
                <w:color w:val="auto"/>
              </w:rPr>
            </w:pPr>
            <w:r>
              <w:rPr>
                <w:rFonts w:ascii="Arial" w:cs="Arial" w:eastAsia="Arial" w:hAnsi="Arial"/>
                <w:sz w:val="72"/>
                <w:szCs w:val="72"/>
                <w:b w:val="1"/>
                <w:bCs w:val="1"/>
                <w:color w:val="377FA7"/>
              </w:rPr>
              <w:t xml:space="preserve">5,891 </w:t>
            </w:r>
            <w:r>
              <w:rPr>
                <w:rFonts w:ascii="Arial" w:cs="Arial" w:eastAsia="Arial" w:hAnsi="Arial"/>
                <w:sz w:val="18"/>
                <w:szCs w:val="18"/>
                <w:color w:val="000000"/>
              </w:rPr>
              <w:t>expired products</w:t>
            </w:r>
          </w:p>
        </w:tc>
        <w:tc>
          <w:tcPr>
            <w:tcW w:w="0" w:type="dxa"/>
            <w:vAlign w:val="bottom"/>
          </w:tcPr>
          <w:p>
            <w:pPr>
              <w:spacing w:after="0"/>
              <w:rPr>
                <w:sz w:val="1"/>
                <w:szCs w:val="1"/>
                <w:color w:val="auto"/>
              </w:rPr>
            </w:pPr>
          </w:p>
        </w:tc>
      </w:tr>
    </w:tbl>
    <w:p>
      <w:pPr>
        <w:ind w:left="12858"/>
        <w:spacing w:after="0" w:line="227" w:lineRule="auto"/>
        <w:rPr>
          <w:sz w:val="20"/>
          <w:szCs w:val="20"/>
          <w:color w:val="auto"/>
        </w:rPr>
      </w:pPr>
      <w:r>
        <w:rPr>
          <w:rFonts w:ascii="Arial" w:cs="Arial" w:eastAsia="Arial" w:hAnsi="Arial"/>
          <w:sz w:val="31"/>
          <w:szCs w:val="31"/>
          <w:b w:val="1"/>
          <w:bCs w:val="1"/>
          <w:color w:val="377FA7"/>
        </w:rPr>
        <w:t>SOCIAL</w:t>
      </w:r>
    </w:p>
    <w:p>
      <w:pPr>
        <w:ind w:left="12858"/>
        <w:spacing w:after="0" w:line="221" w:lineRule="auto"/>
        <w:rPr>
          <w:sz w:val="20"/>
          <w:szCs w:val="20"/>
          <w:color w:val="auto"/>
        </w:rPr>
      </w:pPr>
      <w:r>
        <w:rPr>
          <w:rFonts w:ascii="Arial" w:cs="Arial" w:eastAsia="Arial" w:hAnsi="Arial"/>
          <w:sz w:val="21"/>
          <w:szCs w:val="21"/>
          <w:b w:val="1"/>
          <w:bCs w:val="1"/>
          <w:color w:val="00004D"/>
        </w:rPr>
        <w:t>Community</w:t>
      </w:r>
    </w:p>
    <w:p>
      <w:pPr>
        <w:spacing w:after="0" w:line="1" w:lineRule="exact"/>
        <w:rPr>
          <w:sz w:val="20"/>
          <w:szCs w:val="20"/>
          <w:color w:val="auto"/>
        </w:rPr>
      </w:pPr>
    </w:p>
    <w:p>
      <w:pPr>
        <w:ind w:left="12858"/>
        <w:spacing w:after="0"/>
        <w:rPr>
          <w:sz w:val="20"/>
          <w:szCs w:val="20"/>
          <w:color w:val="auto"/>
        </w:rPr>
      </w:pPr>
      <w:r>
        <w:rPr>
          <w:rFonts w:ascii="Arial" w:cs="Arial" w:eastAsia="Arial" w:hAnsi="Arial"/>
          <w:sz w:val="21"/>
          <w:szCs w:val="21"/>
          <w:b w:val="1"/>
          <w:bCs w:val="1"/>
          <w:color w:val="00004D"/>
        </w:rPr>
        <w:t>Involvement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38"/>
        <w:spacing w:after="0"/>
        <w:rPr>
          <w:sz w:val="20"/>
          <w:szCs w:val="20"/>
          <w:color w:val="auto"/>
        </w:rPr>
      </w:pPr>
      <w:r>
        <w:rPr>
          <w:rFonts w:ascii="Arial" w:cs="Arial" w:eastAsia="Arial" w:hAnsi="Arial"/>
          <w:sz w:val="18"/>
          <w:szCs w:val="18"/>
          <w:b w:val="1"/>
          <w:bCs w:val="1"/>
          <w:color w:val="00004D"/>
        </w:rPr>
        <w:t>Cumberland Pharma Foundation</w:t>
      </w:r>
    </w:p>
    <w:p>
      <w:pPr>
        <w:spacing w:after="0" w:line="2" w:lineRule="exact"/>
        <w:rPr>
          <w:sz w:val="20"/>
          <w:szCs w:val="20"/>
          <w:color w:val="auto"/>
        </w:rPr>
      </w:pPr>
    </w:p>
    <w:p>
      <w:pPr>
        <w:ind w:left="12838" w:right="1060"/>
        <w:spacing w:after="0" w:line="252" w:lineRule="auto"/>
        <w:rPr>
          <w:sz w:val="20"/>
          <w:szCs w:val="20"/>
          <w:color w:val="auto"/>
        </w:rPr>
      </w:pPr>
      <w:r>
        <w:rPr>
          <w:rFonts w:ascii="Arial" w:cs="Arial" w:eastAsia="Arial" w:hAnsi="Arial"/>
          <w:sz w:val="18"/>
          <w:szCs w:val="18"/>
          <w:color w:val="auto"/>
        </w:rPr>
        <w:t>Contributed to Denver Health, Loyola University, Tennessee State Museum, American Heart Association, Tennessee Historical Society, Belmont University &amp; University of Mississippi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377FA7"/>
        </w:rPr>
        <w:t>SOCIAL</w:t>
      </w:r>
    </w:p>
    <w:p>
      <w:pPr>
        <w:ind w:left="20"/>
        <w:spacing w:after="0"/>
        <w:rPr>
          <w:sz w:val="20"/>
          <w:szCs w:val="20"/>
          <w:color w:val="auto"/>
        </w:rPr>
      </w:pPr>
      <w:r>
        <w:rPr>
          <w:rFonts w:ascii="Arial" w:cs="Arial" w:eastAsia="Arial" w:hAnsi="Arial"/>
          <w:sz w:val="21"/>
          <w:szCs w:val="21"/>
          <w:b w:val="1"/>
          <w:bCs w:val="1"/>
          <w:color w:val="00004D"/>
        </w:rPr>
        <w:t>Employees</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79"/>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Male – 56%</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vMerge w:val="restart"/>
          </w:tcPr>
          <w:p>
            <w:pPr>
              <w:spacing w:after="0"/>
              <w:rPr>
                <w:sz w:val="20"/>
                <w:szCs w:val="20"/>
                <w:color w:val="auto"/>
              </w:rPr>
            </w:pPr>
            <w:r>
              <w:rPr>
                <w:rFonts w:ascii="Arial" w:cs="Arial" w:eastAsia="Arial" w:hAnsi="Arial"/>
                <w:sz w:val="18"/>
                <w:szCs w:val="18"/>
                <w:b w:val="1"/>
                <w:bCs w:val="1"/>
                <w:color w:val="00004D"/>
                <w:w w:val="96"/>
              </w:rPr>
              <w:t>Turnover – 19.1%</w:t>
            </w:r>
          </w:p>
        </w:tc>
        <w:tc>
          <w:tcPr>
            <w:tcW w:w="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00" w:type="dxa"/>
            <w:vAlign w:val="bottom"/>
            <w:gridSpan w:val="2"/>
            <w:vMerge w:val="continue"/>
          </w:tcPr>
          <w:p>
            <w:pPr>
              <w:spacing w:after="0"/>
              <w:rPr>
                <w:sz w:val="13"/>
                <w:szCs w:val="13"/>
                <w:color w:val="auto"/>
              </w:rPr>
            </w:pPr>
          </w:p>
        </w:tc>
        <w:tc>
          <w:tcPr>
            <w:tcW w:w="80" w:type="dxa"/>
            <w:vAlign w:val="bottom"/>
            <w:tcBorders>
              <w:left w:val="single" w:sz="8" w:color="377FA7"/>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Female – 44%</w:t>
            </w:r>
          </w:p>
        </w:tc>
        <w:tc>
          <w:tcPr>
            <w:tcW w:w="80" w:type="dxa"/>
            <w:vAlign w:val="bottom"/>
            <w:tcBorders>
              <w:left w:val="single" w:sz="8" w:color="377FA7"/>
            </w:tcBorders>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Borders>
              <w:bottom w:val="single" w:sz="8" w:color="377FA7"/>
            </w:tcBorders>
          </w:tcPr>
          <w:p>
            <w:pPr>
              <w:spacing w:after="0"/>
              <w:rPr>
                <w:sz w:val="12"/>
                <w:szCs w:val="12"/>
                <w:color w:val="auto"/>
              </w:rPr>
            </w:pPr>
          </w:p>
        </w:tc>
        <w:tc>
          <w:tcPr>
            <w:tcW w:w="20" w:type="dxa"/>
            <w:vAlign w:val="bottom"/>
            <w:tcBorders>
              <w:bottom w:val="single" w:sz="8" w:color="377FA7"/>
            </w:tcBorders>
          </w:tcPr>
          <w:p>
            <w:pPr>
              <w:spacing w:after="0"/>
              <w:rPr>
                <w:sz w:val="12"/>
                <w:szCs w:val="12"/>
                <w:color w:val="auto"/>
              </w:rPr>
            </w:pPr>
          </w:p>
        </w:tc>
        <w:tc>
          <w:tcPr>
            <w:tcW w:w="1620" w:type="dxa"/>
            <w:vAlign w:val="bottom"/>
            <w:tcBorders>
              <w:bottom w:val="single" w:sz="8" w:color="377FA7"/>
            </w:tcBorders>
          </w:tcPr>
          <w:p>
            <w:pPr>
              <w:spacing w:after="0"/>
              <w:rPr>
                <w:sz w:val="12"/>
                <w:szCs w:val="12"/>
                <w:color w:val="auto"/>
              </w:rPr>
            </w:pPr>
          </w:p>
        </w:tc>
        <w:tc>
          <w:tcPr>
            <w:tcW w:w="40" w:type="dxa"/>
            <w:vAlign w:val="bottom"/>
            <w:tcBorders>
              <w:bottom w:val="single" w:sz="8" w:color="377FA7"/>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00" w:type="dxa"/>
            <w:vAlign w:val="bottom"/>
            <w:gridSpan w:val="2"/>
            <w:vMerge w:val="continue"/>
          </w:tcPr>
          <w:p>
            <w:pPr>
              <w:spacing w:after="0"/>
              <w:rPr>
                <w:sz w:val="7"/>
                <w:szCs w:val="7"/>
                <w:color w:val="auto"/>
              </w:rPr>
            </w:pPr>
          </w:p>
        </w:tc>
        <w:tc>
          <w:tcPr>
            <w:tcW w:w="80" w:type="dxa"/>
            <w:vAlign w:val="bottom"/>
            <w:tcBorders>
              <w:left w:val="single" w:sz="8" w:color="377FA7"/>
            </w:tcBorders>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vMerge w:val="restart"/>
          </w:tcPr>
          <w:p>
            <w:pPr>
              <w:spacing w:after="0" w:line="195" w:lineRule="exact"/>
              <w:rPr>
                <w:sz w:val="20"/>
                <w:szCs w:val="20"/>
                <w:color w:val="auto"/>
              </w:rPr>
            </w:pPr>
            <w:r>
              <w:rPr>
                <w:rFonts w:ascii="Arial" w:cs="Arial" w:eastAsia="Arial" w:hAnsi="Arial"/>
                <w:sz w:val="18"/>
                <w:szCs w:val="18"/>
                <w:b w:val="1"/>
                <w:bCs w:val="1"/>
                <w:color w:val="00004D"/>
              </w:rPr>
              <w:t>Additions – 20%</w:t>
            </w:r>
          </w:p>
        </w:tc>
        <w:tc>
          <w:tcPr>
            <w:tcW w:w="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840" w:type="dxa"/>
            <w:vAlign w:val="bottom"/>
            <w:tcBorders>
              <w:bottom w:val="single" w:sz="8" w:color="377FA7"/>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left w:val="single" w:sz="8" w:color="377FA7"/>
            </w:tcBorders>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Minorities – 15%</w:t>
            </w:r>
          </w:p>
        </w:tc>
        <w:tc>
          <w:tcPr>
            <w:tcW w:w="80" w:type="dxa"/>
            <w:vAlign w:val="bottom"/>
            <w:tcBorders>
              <w:left w:val="single" w:sz="8" w:color="377FA7"/>
            </w:tcBorders>
          </w:tcPr>
          <w:p>
            <w:pPr>
              <w:spacing w:after="0"/>
              <w:rPr>
                <w:sz w:val="8"/>
                <w:szCs w:val="8"/>
                <w:color w:val="auto"/>
              </w:rPr>
            </w:pPr>
          </w:p>
        </w:tc>
        <w:tc>
          <w:tcPr>
            <w:tcW w:w="60" w:type="dxa"/>
            <w:vAlign w:val="bottom"/>
          </w:tcPr>
          <w:p>
            <w:pPr>
              <w:spacing w:after="0"/>
              <w:rPr>
                <w:sz w:val="8"/>
                <w:szCs w:val="8"/>
                <w:color w:val="auto"/>
              </w:rPr>
            </w:pPr>
          </w:p>
        </w:tc>
        <w:tc>
          <w:tcPr>
            <w:tcW w:w="1480" w:type="dxa"/>
            <w:vAlign w:val="bottom"/>
            <w:tcBorders>
              <w:bottom w:val="single" w:sz="8" w:color="377FA7"/>
            </w:tcBorders>
            <w:gridSpan w:val="2"/>
          </w:tcPr>
          <w:p>
            <w:pPr>
              <w:spacing w:after="0"/>
              <w:rPr>
                <w:sz w:val="8"/>
                <w:szCs w:val="8"/>
                <w:color w:val="auto"/>
              </w:rPr>
            </w:pPr>
          </w:p>
        </w:tc>
        <w:tc>
          <w:tcPr>
            <w:tcW w:w="1620" w:type="dxa"/>
            <w:vAlign w:val="bottom"/>
            <w:tcBorders>
              <w:bottom w:val="single" w:sz="8" w:color="377FA7"/>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0" w:type="dxa"/>
            <w:vAlign w:val="bottom"/>
            <w:gridSpan w:val="2"/>
            <w:vMerge w:val="continue"/>
          </w:tcPr>
          <w:p>
            <w:pPr>
              <w:spacing w:after="0"/>
              <w:rPr>
                <w:sz w:val="17"/>
                <w:szCs w:val="17"/>
                <w:color w:val="auto"/>
              </w:rPr>
            </w:pPr>
          </w:p>
        </w:tc>
        <w:tc>
          <w:tcPr>
            <w:tcW w:w="80" w:type="dxa"/>
            <w:vAlign w:val="bottom"/>
            <w:tcBorders>
              <w:left w:val="single" w:sz="8" w:color="377FA7"/>
            </w:tcBorders>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gridSpan w:val="3"/>
          </w:tcPr>
          <w:p>
            <w:pPr>
              <w:spacing w:after="0" w:line="201" w:lineRule="exact"/>
              <w:rPr>
                <w:sz w:val="20"/>
                <w:szCs w:val="20"/>
                <w:color w:val="auto"/>
              </w:rPr>
            </w:pPr>
            <w:r>
              <w:rPr>
                <w:rFonts w:ascii="Arial" w:cs="Arial" w:eastAsia="Arial" w:hAnsi="Arial"/>
                <w:sz w:val="18"/>
                <w:szCs w:val="18"/>
                <w:b w:val="1"/>
                <w:bCs w:val="1"/>
                <w:color w:val="00004D"/>
              </w:rPr>
              <w:t>Career Development Program</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1840" w:type="dxa"/>
            <w:vAlign w:val="bottom"/>
            <w:tcBorders>
              <w:bottom w:val="single" w:sz="8" w:color="377FA7"/>
            </w:tcBorders>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Borders>
              <w:left w:val="single" w:sz="8" w:color="377FA7"/>
            </w:tcBorders>
            <w:vMerge w:val="restart"/>
          </w:tcPr>
          <w:p>
            <w:pPr>
              <w:spacing w:after="0"/>
              <w:rPr>
                <w:sz w:val="6"/>
                <w:szCs w:val="6"/>
                <w:color w:val="auto"/>
              </w:rPr>
            </w:pPr>
          </w:p>
        </w:tc>
        <w:tc>
          <w:tcPr>
            <w:tcW w:w="3160" w:type="dxa"/>
            <w:vAlign w:val="bottom"/>
            <w:gridSpan w:val="4"/>
            <w:vMerge w:val="restart"/>
          </w:tcPr>
          <w:p>
            <w:pPr>
              <w:ind w:left="60"/>
              <w:spacing w:after="0"/>
              <w:rPr>
                <w:sz w:val="20"/>
                <w:szCs w:val="20"/>
                <w:color w:val="auto"/>
              </w:rPr>
            </w:pPr>
            <w:r>
              <w:rPr>
                <w:rFonts w:ascii="Arial" w:cs="Arial" w:eastAsia="Arial" w:hAnsi="Arial"/>
                <w:sz w:val="18"/>
                <w:szCs w:val="18"/>
                <w:color w:val="auto"/>
              </w:rPr>
              <w:t>Available to all corporate employees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Ages</w:t>
            </w:r>
          </w:p>
        </w:tc>
        <w:tc>
          <w:tcPr>
            <w:tcW w:w="80" w:type="dxa"/>
            <w:vAlign w:val="bottom"/>
            <w:tcBorders>
              <w:left w:val="single" w:sz="8" w:color="377FA7"/>
            </w:tcBorders>
            <w:vMerge w:val="continue"/>
          </w:tcPr>
          <w:p>
            <w:pPr>
              <w:spacing w:after="0"/>
              <w:rPr>
                <w:sz w:val="13"/>
                <w:szCs w:val="13"/>
                <w:color w:val="auto"/>
              </w:rPr>
            </w:pPr>
          </w:p>
        </w:tc>
        <w:tc>
          <w:tcPr>
            <w:tcW w:w="31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00" w:type="dxa"/>
            <w:vAlign w:val="bottom"/>
            <w:gridSpan w:val="2"/>
            <w:vMerge w:val="continue"/>
          </w:tcPr>
          <w:p>
            <w:pPr>
              <w:spacing w:after="0"/>
              <w:rPr>
                <w:sz w:val="8"/>
                <w:szCs w:val="8"/>
                <w:color w:val="auto"/>
              </w:rPr>
            </w:pPr>
          </w:p>
        </w:tc>
        <w:tc>
          <w:tcPr>
            <w:tcW w:w="80" w:type="dxa"/>
            <w:vAlign w:val="bottom"/>
            <w:tcBorders>
              <w:left w:val="single" w:sz="8" w:color="377FA7"/>
            </w:tcBorders>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Borders>
              <w:bottom w:val="single" w:sz="8" w:color="377FA7"/>
            </w:tcBorders>
          </w:tcPr>
          <w:p>
            <w:pPr>
              <w:spacing w:after="0"/>
              <w:rPr>
                <w:sz w:val="8"/>
                <w:szCs w:val="8"/>
                <w:color w:val="auto"/>
              </w:rPr>
            </w:pPr>
          </w:p>
        </w:tc>
        <w:tc>
          <w:tcPr>
            <w:tcW w:w="20" w:type="dxa"/>
            <w:vAlign w:val="bottom"/>
            <w:tcBorders>
              <w:bottom w:val="single" w:sz="8" w:color="377FA7"/>
            </w:tcBorders>
          </w:tcPr>
          <w:p>
            <w:pPr>
              <w:spacing w:after="0"/>
              <w:rPr>
                <w:sz w:val="8"/>
                <w:szCs w:val="8"/>
                <w:color w:val="auto"/>
              </w:rPr>
            </w:pPr>
          </w:p>
        </w:tc>
        <w:tc>
          <w:tcPr>
            <w:tcW w:w="1620" w:type="dxa"/>
            <w:vAlign w:val="bottom"/>
            <w:tcBorders>
              <w:bottom w:val="single" w:sz="8" w:color="377FA7"/>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6.5% </w:t>
            </w:r>
            <w:r>
              <w:rPr>
                <w:rFonts w:ascii="Arial" w:cs="Arial" w:eastAsia="Arial" w:hAnsi="Arial"/>
                <w:sz w:val="18"/>
                <w:szCs w:val="18"/>
                <w:color w:val="000000"/>
              </w:rPr>
              <w:t>below 30</w:t>
            </w:r>
          </w:p>
        </w:tc>
        <w:tc>
          <w:tcPr>
            <w:tcW w:w="80" w:type="dxa"/>
            <w:vAlign w:val="bottom"/>
            <w:tcBorders>
              <w:left w:val="single" w:sz="8" w:color="377FA7"/>
            </w:tcBorders>
          </w:tcPr>
          <w:p>
            <w:pPr>
              <w:spacing w:after="0"/>
              <w:rPr>
                <w:sz w:val="20"/>
                <w:szCs w:val="20"/>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b w:val="1"/>
                <w:bCs w:val="1"/>
                <w:color w:val="00004D"/>
              </w:rPr>
              <w:t>Cumberland Academy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27.5% </w:t>
            </w:r>
            <w:r>
              <w:rPr>
                <w:rFonts w:ascii="Arial" w:cs="Arial" w:eastAsia="Arial" w:hAnsi="Arial"/>
                <w:sz w:val="18"/>
                <w:szCs w:val="18"/>
                <w:color w:val="000000"/>
              </w:rPr>
              <w:t>between 30 &amp; 50</w:t>
            </w:r>
          </w:p>
        </w:tc>
        <w:tc>
          <w:tcPr>
            <w:tcW w:w="80" w:type="dxa"/>
            <w:vAlign w:val="bottom"/>
            <w:tcBorders>
              <w:left w:val="single" w:sz="8" w:color="377FA7"/>
            </w:tcBorders>
          </w:tcPr>
          <w:p>
            <w:pPr>
              <w:spacing w:after="0"/>
              <w:rPr>
                <w:sz w:val="18"/>
                <w:szCs w:val="18"/>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auto"/>
              </w:rPr>
              <w:t>Provides industry training for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66% </w:t>
            </w:r>
            <w:r>
              <w:rPr>
                <w:rFonts w:ascii="Arial" w:cs="Arial" w:eastAsia="Arial" w:hAnsi="Arial"/>
                <w:sz w:val="18"/>
                <w:szCs w:val="18"/>
                <w:color w:val="000000"/>
              </w:rPr>
              <w:t>over 50</w:t>
            </w:r>
          </w:p>
        </w:tc>
        <w:tc>
          <w:tcPr>
            <w:tcW w:w="80" w:type="dxa"/>
            <w:vAlign w:val="bottom"/>
            <w:tcBorders>
              <w:left w:val="single" w:sz="8" w:color="377FA7"/>
            </w:tcBorders>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auto"/>
              </w:rPr>
              <w:t>corporate employees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00" w:type="dxa"/>
            <w:vAlign w:val="bottom"/>
            <w:gridSpan w:val="2"/>
          </w:tcPr>
          <w:p>
            <w:pPr>
              <w:spacing w:after="0"/>
              <w:rPr>
                <w:sz w:val="5"/>
                <w:szCs w:val="5"/>
                <w:color w:val="auto"/>
              </w:rPr>
            </w:pPr>
          </w:p>
        </w:tc>
        <w:tc>
          <w:tcPr>
            <w:tcW w:w="80" w:type="dxa"/>
            <w:vAlign w:val="bottom"/>
            <w:tcBorders>
              <w:left w:val="single" w:sz="8" w:color="377FA7"/>
            </w:tcBorders>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840" w:type="dxa"/>
            <w:vAlign w:val="bottom"/>
            <w:tcBorders>
              <w:bottom w:val="single" w:sz="8" w:color="377FA7"/>
            </w:tcBorders>
          </w:tcPr>
          <w:p>
            <w:pPr>
              <w:spacing w:after="0"/>
              <w:rPr>
                <w:sz w:val="7"/>
                <w:szCs w:val="7"/>
                <w:color w:val="auto"/>
              </w:rPr>
            </w:pPr>
          </w:p>
        </w:tc>
        <w:tc>
          <w:tcPr>
            <w:tcW w:w="160" w:type="dxa"/>
            <w:vAlign w:val="bottom"/>
            <w:tcBorders>
              <w:bottom w:val="single" w:sz="8" w:color="377FA7"/>
            </w:tcBorders>
          </w:tcPr>
          <w:p>
            <w:pPr>
              <w:spacing w:after="0"/>
              <w:rPr>
                <w:sz w:val="7"/>
                <w:szCs w:val="7"/>
                <w:color w:val="auto"/>
              </w:rPr>
            </w:pPr>
          </w:p>
        </w:tc>
        <w:tc>
          <w:tcPr>
            <w:tcW w:w="80" w:type="dxa"/>
            <w:vAlign w:val="bottom"/>
            <w:tcBorders>
              <w:bottom w:val="single" w:sz="8" w:color="377FA7"/>
            </w:tcBorders>
          </w:tcPr>
          <w:p>
            <w:pPr>
              <w:spacing w:after="0"/>
              <w:rPr>
                <w:sz w:val="7"/>
                <w:szCs w:val="7"/>
                <w:color w:val="auto"/>
              </w:rPr>
            </w:pPr>
          </w:p>
        </w:tc>
        <w:tc>
          <w:tcPr>
            <w:tcW w:w="60" w:type="dxa"/>
            <w:vAlign w:val="bottom"/>
            <w:tcBorders>
              <w:bottom w:val="single" w:sz="8" w:color="377FA7"/>
            </w:tcBorders>
          </w:tcPr>
          <w:p>
            <w:pPr>
              <w:spacing w:after="0"/>
              <w:rPr>
                <w:sz w:val="7"/>
                <w:szCs w:val="7"/>
                <w:color w:val="auto"/>
              </w:rPr>
            </w:pPr>
          </w:p>
        </w:tc>
        <w:tc>
          <w:tcPr>
            <w:tcW w:w="1460" w:type="dxa"/>
            <w:vAlign w:val="bottom"/>
            <w:tcBorders>
              <w:bottom w:val="single" w:sz="8" w:color="377FA7"/>
            </w:tcBorders>
          </w:tcPr>
          <w:p>
            <w:pPr>
              <w:spacing w:after="0"/>
              <w:rPr>
                <w:sz w:val="7"/>
                <w:szCs w:val="7"/>
                <w:color w:val="auto"/>
              </w:rPr>
            </w:pPr>
          </w:p>
        </w:tc>
        <w:tc>
          <w:tcPr>
            <w:tcW w:w="20" w:type="dxa"/>
            <w:vAlign w:val="bottom"/>
            <w:tcBorders>
              <w:bottom w:val="single" w:sz="8" w:color="377FA7"/>
            </w:tcBorders>
          </w:tcPr>
          <w:p>
            <w:pPr>
              <w:spacing w:after="0"/>
              <w:rPr>
                <w:sz w:val="7"/>
                <w:szCs w:val="7"/>
                <w:color w:val="auto"/>
              </w:rPr>
            </w:pPr>
          </w:p>
        </w:tc>
        <w:tc>
          <w:tcPr>
            <w:tcW w:w="1620" w:type="dxa"/>
            <w:vAlign w:val="bottom"/>
            <w:tcBorders>
              <w:bottom w:val="single" w:sz="8" w:color="377FA7"/>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restart"/>
          </w:tcPr>
          <w:p>
            <w:pPr>
              <w:spacing w:after="0"/>
              <w:rPr>
                <w:sz w:val="20"/>
                <w:szCs w:val="20"/>
                <w:color w:val="auto"/>
              </w:rPr>
            </w:pPr>
            <w:r>
              <w:rPr>
                <w:rFonts w:ascii="Arial" w:cs="Arial" w:eastAsia="Arial" w:hAnsi="Arial"/>
                <w:sz w:val="18"/>
                <w:szCs w:val="18"/>
                <w:b w:val="1"/>
                <w:bCs w:val="1"/>
                <w:color w:val="00004D"/>
              </w:rPr>
              <w:t>Tenures</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Arial" w:cs="Arial" w:eastAsia="Arial" w:hAnsi="Arial"/>
                <w:sz w:val="18"/>
                <w:szCs w:val="18"/>
                <w:b w:val="1"/>
                <w:bCs w:val="1"/>
                <w:color w:val="00004D"/>
              </w:rPr>
              <w:t>Training</w:t>
            </w:r>
          </w:p>
        </w:tc>
        <w:tc>
          <w:tcPr>
            <w:tcW w:w="20" w:type="dxa"/>
            <w:vAlign w:val="bottom"/>
          </w:tcPr>
          <w:p>
            <w:pPr>
              <w:spacing w:after="0"/>
              <w:rPr>
                <w:sz w:val="7"/>
                <w:szCs w:val="7"/>
                <w:color w:val="auto"/>
              </w:rPr>
            </w:pPr>
          </w:p>
        </w:tc>
        <w:tc>
          <w:tcPr>
            <w:tcW w:w="1620" w:type="dxa"/>
            <w:vAlign w:val="bottom"/>
            <w:vMerge w:val="restart"/>
          </w:tcPr>
          <w:p>
            <w:pPr>
              <w:ind w:left="120"/>
              <w:spacing w:after="0"/>
              <w:rPr>
                <w:sz w:val="20"/>
                <w:szCs w:val="20"/>
                <w:color w:val="auto"/>
              </w:rPr>
            </w:pPr>
            <w:r>
              <w:rPr>
                <w:rFonts w:ascii="Arial" w:cs="Arial" w:eastAsia="Arial" w:hAnsi="Arial"/>
                <w:sz w:val="18"/>
                <w:szCs w:val="18"/>
                <w:b w:val="1"/>
                <w:bCs w:val="1"/>
                <w:color w:val="00004D"/>
              </w:rPr>
              <w:t>Work-related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000" w:type="dxa"/>
            <w:vAlign w:val="bottom"/>
            <w:gridSpan w:val="2"/>
            <w:vMerge w:val="continue"/>
          </w:tcPr>
          <w:p>
            <w:pPr>
              <w:spacing w:after="0"/>
              <w:rPr>
                <w:sz w:val="13"/>
                <w:szCs w:val="13"/>
                <w:color w:val="auto"/>
              </w:rPr>
            </w:pPr>
          </w:p>
        </w:tc>
        <w:tc>
          <w:tcPr>
            <w:tcW w:w="80" w:type="dxa"/>
            <w:vAlign w:val="bottom"/>
            <w:tcBorders>
              <w:right w:val="single" w:sz="8" w:color="377FA7"/>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20" w:type="dxa"/>
            <w:vAlign w:val="bottom"/>
            <w:shd w:val="clear" w:color="auto" w:fill="377FA7"/>
          </w:tcPr>
          <w:p>
            <w:pPr>
              <w:spacing w:after="0"/>
              <w:rPr>
                <w:sz w:val="13"/>
                <w:szCs w:val="13"/>
                <w:color w:val="auto"/>
              </w:rPr>
            </w:pPr>
          </w:p>
        </w:tc>
        <w:tc>
          <w:tcPr>
            <w:tcW w:w="1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rPr>
              <w:t xml:space="preserve">35% </w:t>
            </w:r>
            <w:r>
              <w:rPr>
                <w:rFonts w:ascii="Arial" w:cs="Arial" w:eastAsia="Arial" w:hAnsi="Arial"/>
                <w:sz w:val="18"/>
                <w:szCs w:val="18"/>
                <w:color w:val="000000"/>
              </w:rPr>
              <w:t>@ 5 or more years</w:t>
            </w:r>
          </w:p>
        </w:tc>
        <w:tc>
          <w:tcPr>
            <w:tcW w:w="80" w:type="dxa"/>
            <w:vAlign w:val="bottom"/>
            <w:tcBorders>
              <w:right w:val="single" w:sz="8" w:color="377FA7"/>
            </w:tcBorders>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 xml:space="preserve">Average </w:t>
            </w:r>
            <w:r>
              <w:rPr>
                <w:rFonts w:ascii="Arial" w:cs="Arial" w:eastAsia="Arial" w:hAnsi="Arial"/>
                <w:sz w:val="18"/>
                <w:szCs w:val="18"/>
                <w:b w:val="1"/>
                <w:bCs w:val="1"/>
                <w:color w:val="00004D"/>
              </w:rPr>
              <w:t>$4,000</w:t>
            </w:r>
          </w:p>
        </w:tc>
        <w:tc>
          <w:tcPr>
            <w:tcW w:w="20" w:type="dxa"/>
            <w:vAlign w:val="bottom"/>
            <w:shd w:val="clear" w:color="auto" w:fill="377FA7"/>
          </w:tcPr>
          <w:p>
            <w:pPr>
              <w:spacing w:after="0"/>
              <w:rPr>
                <w:sz w:val="19"/>
                <w:szCs w:val="19"/>
                <w:color w:val="auto"/>
              </w:rPr>
            </w:pPr>
          </w:p>
        </w:tc>
        <w:tc>
          <w:tcPr>
            <w:tcW w:w="1620" w:type="dxa"/>
            <w:vAlign w:val="bottom"/>
          </w:tcPr>
          <w:p>
            <w:pPr>
              <w:ind w:left="120"/>
              <w:spacing w:after="0"/>
              <w:rPr>
                <w:sz w:val="20"/>
                <w:szCs w:val="20"/>
                <w:color w:val="auto"/>
              </w:rPr>
            </w:pPr>
            <w:r>
              <w:rPr>
                <w:rFonts w:ascii="Arial" w:cs="Arial" w:eastAsia="Arial" w:hAnsi="Arial"/>
                <w:sz w:val="18"/>
                <w:szCs w:val="18"/>
                <w:b w:val="1"/>
                <w:bCs w:val="1"/>
                <w:color w:val="00004D"/>
              </w:rPr>
              <w:t>injuries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7"/>
              </w:rPr>
              <w:t xml:space="preserve">25% </w:t>
            </w:r>
            <w:r>
              <w:rPr>
                <w:rFonts w:ascii="Arial" w:cs="Arial" w:eastAsia="Arial" w:hAnsi="Arial"/>
                <w:sz w:val="18"/>
                <w:szCs w:val="18"/>
                <w:color w:val="000000"/>
                <w:w w:val="97"/>
              </w:rPr>
              <w:t>@ 10 or more years</w:t>
            </w:r>
          </w:p>
        </w:tc>
        <w:tc>
          <w:tcPr>
            <w:tcW w:w="80" w:type="dxa"/>
            <w:vAlign w:val="bottom"/>
            <w:tcBorders>
              <w:right w:val="single" w:sz="8" w:color="377FA7"/>
            </w:tcBorders>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per full-time</w:t>
            </w:r>
          </w:p>
        </w:tc>
        <w:tc>
          <w:tcPr>
            <w:tcW w:w="20" w:type="dxa"/>
            <w:vAlign w:val="bottom"/>
            <w:shd w:val="clear" w:color="auto" w:fill="377FA7"/>
          </w:tcPr>
          <w:p>
            <w:pPr>
              <w:spacing w:after="0"/>
              <w:rPr>
                <w:sz w:val="20"/>
                <w:szCs w:val="20"/>
                <w:color w:val="auto"/>
              </w:rPr>
            </w:pPr>
          </w:p>
        </w:tc>
        <w:tc>
          <w:tcPr>
            <w:tcW w:w="1620" w:type="dxa"/>
            <w:vAlign w:val="bottom"/>
          </w:tcPr>
          <w:p>
            <w:pPr>
              <w:ind w:left="120"/>
              <w:spacing w:after="0"/>
              <w:rPr>
                <w:sz w:val="20"/>
                <w:szCs w:val="20"/>
                <w:color w:val="auto"/>
              </w:rPr>
            </w:pPr>
            <w:r>
              <w:rPr>
                <w:rFonts w:ascii="Arial" w:cs="Arial" w:eastAsia="Arial" w:hAnsi="Arial"/>
                <w:sz w:val="18"/>
                <w:szCs w:val="18"/>
                <w:color w:val="auto"/>
              </w:rPr>
              <w:t>None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000" w:type="dxa"/>
            <w:vAlign w:val="bottom"/>
            <w:gridSpan w:val="2"/>
          </w:tcPr>
          <w:p>
            <w:pPr>
              <w:spacing w:after="0"/>
              <w:rPr>
                <w:sz w:val="20"/>
                <w:szCs w:val="20"/>
                <w:color w:val="auto"/>
              </w:rPr>
            </w:pPr>
            <w:r>
              <w:rPr>
                <w:rFonts w:ascii="Arial" w:cs="Arial" w:eastAsia="Arial" w:hAnsi="Arial"/>
                <w:sz w:val="18"/>
                <w:szCs w:val="18"/>
                <w:b w:val="1"/>
                <w:bCs w:val="1"/>
                <w:color w:val="00004D"/>
                <w:w w:val="97"/>
              </w:rPr>
              <w:t xml:space="preserve">10% </w:t>
            </w:r>
            <w:r>
              <w:rPr>
                <w:rFonts w:ascii="Arial" w:cs="Arial" w:eastAsia="Arial" w:hAnsi="Arial"/>
                <w:sz w:val="18"/>
                <w:szCs w:val="18"/>
                <w:color w:val="000000"/>
                <w:w w:val="97"/>
              </w:rPr>
              <w:t>@ 15 or more years</w:t>
            </w:r>
          </w:p>
        </w:tc>
        <w:tc>
          <w:tcPr>
            <w:tcW w:w="80" w:type="dxa"/>
            <w:vAlign w:val="bottom"/>
            <w:tcBorders>
              <w:right w:val="single" w:sz="8" w:color="377FA7"/>
            </w:tcBorders>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Arial" w:cs="Arial" w:eastAsia="Arial" w:hAnsi="Arial"/>
                <w:sz w:val="18"/>
                <w:szCs w:val="18"/>
                <w:color w:val="auto"/>
              </w:rPr>
              <w:t>employee</w:t>
            </w:r>
          </w:p>
        </w:tc>
        <w:tc>
          <w:tcPr>
            <w:tcW w:w="20" w:type="dxa"/>
            <w:vAlign w:val="bottom"/>
            <w:shd w:val="clear" w:color="auto" w:fill="377FA7"/>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SOCIAL</w:t>
      </w:r>
    </w:p>
    <w:p>
      <w:pPr>
        <w:spacing w:after="0"/>
        <w:rPr>
          <w:sz w:val="20"/>
          <w:szCs w:val="20"/>
          <w:color w:val="auto"/>
        </w:rPr>
      </w:pPr>
      <w:r>
        <w:rPr>
          <w:rFonts w:ascii="Arial" w:cs="Arial" w:eastAsia="Arial" w:hAnsi="Arial"/>
          <w:sz w:val="21"/>
          <w:szCs w:val="21"/>
          <w:b w:val="1"/>
          <w:bCs w:val="1"/>
          <w:color w:val="00004D"/>
        </w:rPr>
        <w:t>Patients</w:t>
      </w:r>
    </w:p>
    <w:p>
      <w:pPr>
        <w:ind w:left="20"/>
        <w:spacing w:after="0" w:line="187" w:lineRule="auto"/>
        <w:rPr>
          <w:sz w:val="20"/>
          <w:szCs w:val="20"/>
          <w:color w:val="auto"/>
        </w:rPr>
      </w:pPr>
      <w:r>
        <w:rPr>
          <w:rFonts w:ascii="Arial" w:cs="Arial" w:eastAsia="Arial" w:hAnsi="Arial"/>
          <w:sz w:val="18"/>
          <w:szCs w:val="18"/>
          <w:color w:val="auto"/>
        </w:rPr>
        <w:t xml:space="preserve">Provided </w:t>
      </w:r>
      <w:r>
        <w:rPr>
          <w:rFonts w:ascii="Arial" w:cs="Arial" w:eastAsia="Arial" w:hAnsi="Arial"/>
          <w:sz w:val="73"/>
          <w:szCs w:val="73"/>
          <w:b w:val="1"/>
          <w:bCs w:val="1"/>
          <w:color w:val="377FA7"/>
        </w:rPr>
        <w:t>3</w:t>
      </w:r>
      <w:r>
        <w:rPr>
          <w:rFonts w:ascii="Arial" w:cs="Arial" w:eastAsia="Arial" w:hAnsi="Arial"/>
          <w:sz w:val="28"/>
          <w:szCs w:val="28"/>
          <w:b w:val="1"/>
          <w:bCs w:val="1"/>
          <w:color w:val="377FA7"/>
        </w:rPr>
        <w:t>million doses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our products to patients</w:t>
      </w:r>
    </w:p>
    <w:p>
      <w:pPr>
        <w:spacing w:after="0" w:line="200" w:lineRule="exact"/>
        <w:rPr>
          <w:sz w:val="20"/>
          <w:szCs w:val="20"/>
          <w:color w:val="auto"/>
        </w:rPr>
      </w:pPr>
    </w:p>
    <w:p>
      <w:pPr>
        <w:sectPr>
          <w:pgSz w:w="24480" w:h="15840" w:orient="landscape"/>
          <w:cols w:equalWidth="0" w:num="2">
            <w:col w:w="17098" w:space="480"/>
            <w:col w:w="6120"/>
          </w:cols>
          <w:pgMar w:left="402" w:top="664" w:right="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58" w:right="2556" w:firstLine="551"/>
        <w:spacing w:after="0" w:line="362" w:lineRule="auto"/>
        <w:rPr>
          <w:sz w:val="20"/>
          <w:szCs w:val="20"/>
          <w:color w:val="auto"/>
        </w:rPr>
      </w:pPr>
      <w:r>
        <w:rPr>
          <w:rFonts w:ascii="Arial" w:cs="Arial" w:eastAsia="Arial" w:hAnsi="Arial"/>
          <w:sz w:val="34"/>
          <w:szCs w:val="34"/>
          <w:color w:val="FFFFFF"/>
        </w:rPr>
        <w:t>The once-daily antibiotic infusion with a dual mechanism of action indicated for MRSA and MSSA</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004D"/>
        </w:rPr>
        <w:t>Sponsorships</w:t>
      </w:r>
    </w:p>
    <w:p>
      <w:pPr>
        <w:spacing w:after="0" w:line="2" w:lineRule="exact"/>
        <w:rPr>
          <w:sz w:val="20"/>
          <w:szCs w:val="20"/>
          <w:color w:val="auto"/>
        </w:rPr>
      </w:pPr>
    </w:p>
    <w:p>
      <w:pPr>
        <w:ind w:left="4" w:right="1011"/>
        <w:spacing w:after="0" w:line="290" w:lineRule="auto"/>
        <w:rPr>
          <w:sz w:val="20"/>
          <w:szCs w:val="20"/>
          <w:color w:val="auto"/>
        </w:rPr>
      </w:pPr>
      <w:r>
        <w:rPr>
          <w:rFonts w:ascii="Arial" w:cs="Arial" w:eastAsia="Arial" w:hAnsi="Arial"/>
          <w:sz w:val="18"/>
          <w:szCs w:val="18"/>
          <w:color w:val="auto"/>
        </w:rPr>
        <w:t>Nashville Health Care Council’s Wall Street’s View of Healthcare Event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004D"/>
        </w:rPr>
        <w:t>Associations</w:t>
      </w:r>
    </w:p>
    <w:p>
      <w:pPr>
        <w:spacing w:after="0" w:line="2" w:lineRule="exact"/>
        <w:rPr>
          <w:sz w:val="20"/>
          <w:szCs w:val="20"/>
          <w:color w:val="auto"/>
        </w:rPr>
      </w:pPr>
    </w:p>
    <w:p>
      <w:pPr>
        <w:ind w:left="144" w:hanging="144"/>
        <w:spacing w:after="0"/>
        <w:tabs>
          <w:tab w:leader="none" w:pos="144" w:val="left"/>
        </w:tabs>
        <w:numPr>
          <w:ilvl w:val="0"/>
          <w:numId w:val="1"/>
        </w:numPr>
        <w:rPr>
          <w:rFonts w:ascii="Arial" w:cs="Arial" w:eastAsia="Arial" w:hAnsi="Arial"/>
          <w:sz w:val="18"/>
          <w:szCs w:val="18"/>
          <w:color w:val="377FA7"/>
        </w:rPr>
      </w:pPr>
      <w:r>
        <w:rPr>
          <w:rFonts w:ascii="Arial" w:cs="Arial" w:eastAsia="Arial" w:hAnsi="Arial"/>
          <w:sz w:val="18"/>
          <w:szCs w:val="18"/>
          <w:color w:val="auto"/>
        </w:rPr>
        <w:t>Nashville Health Care Council</w:t>
      </w:r>
    </w:p>
    <w:p>
      <w:pPr>
        <w:spacing w:after="0" w:line="1" w:lineRule="exact"/>
        <w:rPr>
          <w:rFonts w:ascii="Arial" w:cs="Arial" w:eastAsia="Arial" w:hAnsi="Arial"/>
          <w:sz w:val="18"/>
          <w:szCs w:val="18"/>
          <w:color w:val="377FA7"/>
        </w:rPr>
      </w:pPr>
    </w:p>
    <w:p>
      <w:pPr>
        <w:ind w:left="144" w:hanging="144"/>
        <w:spacing w:after="0"/>
        <w:tabs>
          <w:tab w:leader="none" w:pos="144" w:val="left"/>
        </w:tabs>
        <w:numPr>
          <w:ilvl w:val="0"/>
          <w:numId w:val="1"/>
        </w:numPr>
        <w:rPr>
          <w:rFonts w:ascii="Arial" w:cs="Arial" w:eastAsia="Arial" w:hAnsi="Arial"/>
          <w:sz w:val="18"/>
          <w:szCs w:val="18"/>
          <w:color w:val="377FA7"/>
        </w:rPr>
      </w:pPr>
      <w:r>
        <w:rPr>
          <w:rFonts w:ascii="Arial" w:cs="Arial" w:eastAsia="Arial" w:hAnsi="Arial"/>
          <w:sz w:val="18"/>
          <w:szCs w:val="18"/>
          <w:color w:val="auto"/>
        </w:rPr>
        <w:t>Life Science Tennessee</w:t>
      </w:r>
    </w:p>
    <w:p>
      <w:pPr>
        <w:spacing w:after="0" w:line="1" w:lineRule="exact"/>
        <w:rPr>
          <w:rFonts w:ascii="Arial" w:cs="Arial" w:eastAsia="Arial" w:hAnsi="Arial"/>
          <w:sz w:val="18"/>
          <w:szCs w:val="18"/>
          <w:color w:val="377FA7"/>
        </w:rPr>
      </w:pPr>
    </w:p>
    <w:p>
      <w:pPr>
        <w:ind w:left="144" w:hanging="144"/>
        <w:spacing w:after="0"/>
        <w:tabs>
          <w:tab w:leader="none" w:pos="144" w:val="left"/>
        </w:tabs>
        <w:numPr>
          <w:ilvl w:val="0"/>
          <w:numId w:val="1"/>
        </w:numPr>
        <w:rPr>
          <w:rFonts w:ascii="Arial" w:cs="Arial" w:eastAsia="Arial" w:hAnsi="Arial"/>
          <w:sz w:val="18"/>
          <w:szCs w:val="18"/>
          <w:color w:val="377FA7"/>
        </w:rPr>
      </w:pPr>
      <w:r>
        <w:rPr>
          <w:rFonts w:ascii="Arial" w:cs="Arial" w:eastAsia="Arial" w:hAnsi="Arial"/>
          <w:sz w:val="18"/>
          <w:szCs w:val="18"/>
          <w:color w:val="auto"/>
        </w:rPr>
        <w:t>Nashville Chamber of Commerce</w:t>
      </w:r>
    </w:p>
    <w:p>
      <w:pPr>
        <w:spacing w:after="0" w:line="3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004D"/>
        </w:rPr>
        <w:t>Life Sciences Center</w:t>
      </w:r>
    </w:p>
    <w:p>
      <w:pPr>
        <w:spacing w:after="0" w:line="2" w:lineRule="exact"/>
        <w:rPr>
          <w:sz w:val="20"/>
          <w:szCs w:val="20"/>
          <w:color w:val="auto"/>
        </w:rPr>
      </w:pPr>
    </w:p>
    <w:p>
      <w:pPr>
        <w:ind w:left="4" w:right="631"/>
        <w:spacing w:after="0" w:line="290" w:lineRule="auto"/>
        <w:rPr>
          <w:sz w:val="20"/>
          <w:szCs w:val="20"/>
          <w:color w:val="auto"/>
        </w:rPr>
      </w:pPr>
      <w:r>
        <w:rPr>
          <w:rFonts w:ascii="Arial" w:cs="Arial" w:eastAsia="Arial" w:hAnsi="Arial"/>
          <w:sz w:val="18"/>
          <w:szCs w:val="18"/>
          <w:color w:val="auto"/>
        </w:rPr>
        <w:t>Provide a lab and incubator to help build the biomedical industry in our area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004D"/>
        </w:rPr>
        <w:t>Drug Safety Results</w:t>
      </w:r>
    </w:p>
    <w:p>
      <w:pPr>
        <w:spacing w:after="0" w:line="2" w:lineRule="exact"/>
        <w:rPr>
          <w:sz w:val="20"/>
          <w:szCs w:val="20"/>
          <w:color w:val="auto"/>
        </w:rPr>
      </w:pPr>
    </w:p>
    <w:p>
      <w:pPr>
        <w:jc w:val="both"/>
        <w:ind w:left="149" w:right="140" w:hanging="149"/>
        <w:spacing w:after="0" w:line="241" w:lineRule="auto"/>
        <w:tabs>
          <w:tab w:leader="none" w:pos="149" w:val="left"/>
        </w:tabs>
        <w:numPr>
          <w:ilvl w:val="0"/>
          <w:numId w:val="2"/>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listed in the FDA’ s MedWatch Safety Alerts</w:t>
      </w:r>
    </w:p>
    <w:p>
      <w:pPr>
        <w:spacing w:after="0" w:line="2" w:lineRule="exact"/>
        <w:rPr>
          <w:rFonts w:ascii="Arial" w:cs="Arial" w:eastAsia="Arial" w:hAnsi="Arial"/>
          <w:sz w:val="18"/>
          <w:szCs w:val="18"/>
          <w:color w:val="377FA7"/>
        </w:rPr>
      </w:pPr>
    </w:p>
    <w:p>
      <w:pPr>
        <w:ind w:left="149" w:hanging="149"/>
        <w:spacing w:after="0"/>
        <w:tabs>
          <w:tab w:leader="none" w:pos="149" w:val="left"/>
        </w:tabs>
        <w:numPr>
          <w:ilvl w:val="0"/>
          <w:numId w:val="2"/>
        </w:numPr>
        <w:rPr>
          <w:rFonts w:ascii="Arial" w:cs="Arial" w:eastAsia="Arial" w:hAnsi="Arial"/>
          <w:sz w:val="18"/>
          <w:szCs w:val="18"/>
          <w:color w:val="377FA7"/>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products recalled</w:t>
      </w:r>
    </w:p>
    <w:p>
      <w:pPr>
        <w:spacing w:after="0" w:line="200" w:lineRule="exact"/>
        <w:rPr>
          <w:sz w:val="20"/>
          <w:szCs w:val="20"/>
          <w:color w:val="auto"/>
        </w:rPr>
      </w:pPr>
    </w:p>
    <w:p>
      <w:pPr>
        <w:spacing w:after="0" w:line="21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00004D"/>
        </w:rPr>
        <w:t>Patient AffordAbility</w:t>
      </w:r>
    </w:p>
    <w:p>
      <w:pPr>
        <w:spacing w:after="0" w:line="2" w:lineRule="exact"/>
        <w:rPr>
          <w:sz w:val="20"/>
          <w:szCs w:val="20"/>
          <w:color w:val="auto"/>
        </w:rPr>
      </w:pPr>
    </w:p>
    <w:p>
      <w:pPr>
        <w:ind w:left="9"/>
        <w:spacing w:after="0" w:line="266" w:lineRule="auto"/>
        <w:rPr>
          <w:sz w:val="20"/>
          <w:szCs w:val="20"/>
          <w:color w:val="auto"/>
        </w:rPr>
      </w:pPr>
      <w:r>
        <w:rPr>
          <w:rFonts w:ascii="Arial" w:cs="Arial" w:eastAsia="Arial" w:hAnsi="Arial"/>
          <w:sz w:val="18"/>
          <w:szCs w:val="18"/>
          <w:color w:val="auto"/>
        </w:rPr>
        <w:t xml:space="preserve">We cover up to </w:t>
      </w:r>
      <w:r>
        <w:rPr>
          <w:rFonts w:ascii="Arial" w:cs="Arial" w:eastAsia="Arial" w:hAnsi="Arial"/>
          <w:sz w:val="18"/>
          <w:szCs w:val="18"/>
          <w:b w:val="1"/>
          <w:bCs w:val="1"/>
          <w:color w:val="00004D"/>
        </w:rPr>
        <w:t>71% of</w:t>
      </w:r>
      <w:r>
        <w:rPr>
          <w:rFonts w:ascii="Arial" w:cs="Arial" w:eastAsia="Arial" w:hAnsi="Arial"/>
          <w:sz w:val="18"/>
          <w:szCs w:val="18"/>
          <w:color w:val="auto"/>
        </w:rPr>
        <w:t xml:space="preserve"> </w:t>
      </w:r>
      <w:r>
        <w:rPr>
          <w:rFonts w:ascii="Arial" w:cs="Arial" w:eastAsia="Arial" w:hAnsi="Arial"/>
          <w:sz w:val="18"/>
          <w:szCs w:val="18"/>
          <w:b w:val="1"/>
          <w:bCs w:val="1"/>
          <w:color w:val="00004D"/>
        </w:rPr>
        <w:t xml:space="preserve">patient Rx costs </w:t>
      </w:r>
      <w:r>
        <w:rPr>
          <w:rFonts w:ascii="Arial" w:cs="Arial" w:eastAsia="Arial" w:hAnsi="Arial"/>
          <w:sz w:val="18"/>
          <w:szCs w:val="18"/>
          <w:color w:val="000000"/>
        </w:rPr>
        <w:t>through</w:t>
      </w:r>
      <w:r>
        <w:rPr>
          <w:rFonts w:ascii="Arial" w:cs="Arial" w:eastAsia="Arial" w:hAnsi="Arial"/>
          <w:sz w:val="18"/>
          <w:szCs w:val="18"/>
          <w:b w:val="1"/>
          <w:bCs w:val="1"/>
          <w:color w:val="00004D"/>
        </w:rPr>
        <w:t xml:space="preserve"> </w:t>
      </w:r>
      <w:r>
        <w:rPr>
          <w:rFonts w:ascii="Arial" w:cs="Arial" w:eastAsia="Arial" w:hAnsi="Arial"/>
          <w:sz w:val="18"/>
          <w:szCs w:val="18"/>
          <w:color w:val="000000"/>
        </w:rPr>
        <w:t>coupons for our GI brand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004D"/>
        </w:rPr>
        <w:t>Clinical Trials Safety</w:t>
      </w:r>
    </w:p>
    <w:p>
      <w:pPr>
        <w:spacing w:after="0" w:line="2" w:lineRule="exact"/>
        <w:rPr>
          <w:sz w:val="20"/>
          <w:szCs w:val="20"/>
          <w:color w:val="auto"/>
        </w:rPr>
      </w:pPr>
    </w:p>
    <w:p>
      <w:pPr>
        <w:ind w:right="500"/>
        <w:spacing w:after="0" w:line="290" w:lineRule="auto"/>
        <w:rPr>
          <w:sz w:val="20"/>
          <w:szCs w:val="20"/>
          <w:color w:val="auto"/>
        </w:rPr>
      </w:pPr>
      <w:r>
        <w:rPr>
          <w:rFonts w:ascii="Arial" w:cs="Arial" w:eastAsia="Arial" w:hAnsi="Arial"/>
          <w:sz w:val="18"/>
          <w:szCs w:val="18"/>
          <w:u w:val="single" w:color="auto"/>
          <w:color w:val="auto"/>
        </w:rPr>
        <w:t>No</w:t>
      </w:r>
      <w:r>
        <w:rPr>
          <w:rFonts w:ascii="Arial" w:cs="Arial" w:eastAsia="Arial" w:hAnsi="Arial"/>
          <w:sz w:val="18"/>
          <w:szCs w:val="18"/>
          <w:color w:val="auto"/>
        </w:rPr>
        <w:t xml:space="preserve"> trials terminated due to failure to practice good clinical standards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00004D"/>
        </w:rPr>
        <w:t>Advocacy Groups Supported</w:t>
      </w:r>
    </w:p>
    <w:p>
      <w:pPr>
        <w:spacing w:after="0" w:line="2" w:lineRule="exact"/>
        <w:rPr>
          <w:sz w:val="20"/>
          <w:szCs w:val="20"/>
          <w:color w:val="auto"/>
        </w:rPr>
      </w:pPr>
    </w:p>
    <w:p>
      <w:pPr>
        <w:ind w:left="140" w:hanging="135"/>
        <w:spacing w:after="0"/>
        <w:tabs>
          <w:tab w:leader="none" w:pos="140" w:val="left"/>
        </w:tabs>
        <w:numPr>
          <w:ilvl w:val="0"/>
          <w:numId w:val="3"/>
        </w:numPr>
        <w:rPr>
          <w:rFonts w:ascii="Arial" w:cs="Arial" w:eastAsia="Arial" w:hAnsi="Arial"/>
          <w:sz w:val="18"/>
          <w:szCs w:val="18"/>
          <w:color w:val="377FA7"/>
        </w:rPr>
      </w:pPr>
      <w:r>
        <w:rPr>
          <w:rFonts w:ascii="Arial" w:cs="Arial" w:eastAsia="Arial" w:hAnsi="Arial"/>
          <w:sz w:val="18"/>
          <w:szCs w:val="18"/>
          <w:color w:val="auto"/>
        </w:rPr>
        <w:t>Muscular Dystrophy Association</w:t>
      </w:r>
    </w:p>
    <w:p>
      <w:pPr>
        <w:spacing w:after="0" w:line="1" w:lineRule="exact"/>
        <w:rPr>
          <w:rFonts w:ascii="Arial" w:cs="Arial" w:eastAsia="Arial" w:hAnsi="Arial"/>
          <w:sz w:val="18"/>
          <w:szCs w:val="18"/>
          <w:color w:val="377FA7"/>
        </w:rPr>
      </w:pPr>
    </w:p>
    <w:p>
      <w:pPr>
        <w:ind w:left="140" w:hanging="135"/>
        <w:spacing w:after="0"/>
        <w:tabs>
          <w:tab w:leader="none" w:pos="140" w:val="left"/>
        </w:tabs>
        <w:numPr>
          <w:ilvl w:val="0"/>
          <w:numId w:val="3"/>
        </w:numPr>
        <w:rPr>
          <w:rFonts w:ascii="Arial" w:cs="Arial" w:eastAsia="Arial" w:hAnsi="Arial"/>
          <w:sz w:val="18"/>
          <w:szCs w:val="18"/>
          <w:color w:val="377FA7"/>
        </w:rPr>
      </w:pPr>
      <w:r>
        <w:rPr>
          <w:rFonts w:ascii="Arial" w:cs="Arial" w:eastAsia="Arial" w:hAnsi="Arial"/>
          <w:sz w:val="18"/>
          <w:szCs w:val="18"/>
          <w:color w:val="auto"/>
        </w:rPr>
        <w:t>Parent Project Muscular Dystrophy</w:t>
      </w:r>
    </w:p>
    <w:p>
      <w:pPr>
        <w:spacing w:after="0" w:line="1622" w:lineRule="exact"/>
        <w:rPr>
          <w:sz w:val="20"/>
          <w:szCs w:val="20"/>
          <w:color w:val="auto"/>
        </w:rPr>
      </w:pPr>
    </w:p>
    <w:p>
      <w:pPr>
        <w:sectPr>
          <w:pgSz w:w="24480" w:h="15840" w:orient="landscape"/>
          <w:cols w:equalWidth="0" w:num="4">
            <w:col w:w="12114" w:space="720"/>
            <w:col w:w="4035" w:space="720"/>
            <w:col w:w="2109" w:space="560"/>
            <w:col w:w="3440"/>
          </w:cols>
          <w:pgMar w:left="402" w:top="664" w:right="3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98" w:hanging="298"/>
        <w:spacing w:after="0"/>
        <w:tabs>
          <w:tab w:leader="none" w:pos="298" w:val="left"/>
        </w:tabs>
        <w:numPr>
          <w:ilvl w:val="0"/>
          <w:numId w:val="4"/>
        </w:numPr>
        <w:rPr>
          <w:rFonts w:ascii="Arial" w:cs="Arial" w:eastAsia="Arial" w:hAnsi="Arial"/>
          <w:sz w:val="16"/>
          <w:szCs w:val="16"/>
          <w:color w:val="377FA7"/>
        </w:rPr>
      </w:pPr>
      <w:r>
        <w:rPr>
          <w:rFonts w:ascii="Arial" w:cs="Arial" w:eastAsia="Arial" w:hAnsi="Arial"/>
          <w:sz w:val="16"/>
          <w:szCs w:val="16"/>
          <w:color w:val="00004D"/>
        </w:rPr>
        <w:t>Cumberland Pharmaceuticals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GOVERNANCE</w:t>
      </w:r>
    </w:p>
    <w:p>
      <w:pPr>
        <w:spacing w:after="0"/>
        <w:rPr>
          <w:sz w:val="20"/>
          <w:szCs w:val="20"/>
          <w:color w:val="auto"/>
        </w:rPr>
      </w:pPr>
      <w:r>
        <w:rPr>
          <w:rFonts w:ascii="Arial" w:cs="Arial" w:eastAsia="Arial" w:hAnsi="Arial"/>
          <w:sz w:val="20"/>
          <w:szCs w:val="20"/>
          <w:b w:val="1"/>
          <w:bCs w:val="1"/>
          <w:color w:val="00004D"/>
        </w:rPr>
        <w:t>Board</w:t>
      </w:r>
    </w:p>
    <w:p>
      <w:pPr>
        <w:spacing w:after="0" w:line="316" w:lineRule="exact"/>
        <w:rPr>
          <w:sz w:val="20"/>
          <w:szCs w:val="20"/>
          <w:color w:val="auto"/>
        </w:rPr>
      </w:pPr>
    </w:p>
    <w:p>
      <w:pPr>
        <w:ind w:right="40"/>
        <w:spacing w:after="0" w:line="528" w:lineRule="auto"/>
        <w:rPr>
          <w:sz w:val="20"/>
          <w:szCs w:val="20"/>
          <w:color w:val="auto"/>
        </w:rPr>
      </w:pPr>
      <w:r>
        <w:rPr>
          <w:rFonts w:ascii="Arial" w:cs="Arial" w:eastAsia="Arial" w:hAnsi="Arial"/>
          <w:sz w:val="17"/>
          <w:szCs w:val="17"/>
          <w:b w:val="1"/>
          <w:bCs w:val="1"/>
          <w:color w:val="auto"/>
        </w:rPr>
        <w:t xml:space="preserve">Independent – </w:t>
      </w:r>
      <w:r>
        <w:rPr>
          <w:rFonts w:ascii="Arial" w:cs="Arial" w:eastAsia="Arial" w:hAnsi="Arial"/>
          <w:sz w:val="17"/>
          <w:szCs w:val="17"/>
          <w:b w:val="1"/>
          <w:bCs w:val="1"/>
          <w:color w:val="00004D"/>
        </w:rPr>
        <w:t>7 of 8</w:t>
      </w:r>
      <w:r>
        <w:rPr>
          <w:rFonts w:ascii="Arial" w:cs="Arial" w:eastAsia="Arial" w:hAnsi="Arial"/>
          <w:sz w:val="17"/>
          <w:szCs w:val="17"/>
          <w:b w:val="1"/>
          <w:bCs w:val="1"/>
          <w:color w:val="auto"/>
        </w:rPr>
        <w:t xml:space="preserve"> Tenure – </w:t>
      </w:r>
      <w:r>
        <w:rPr>
          <w:rFonts w:ascii="Arial" w:cs="Arial" w:eastAsia="Arial" w:hAnsi="Arial"/>
          <w:sz w:val="17"/>
          <w:szCs w:val="17"/>
          <w:b w:val="1"/>
          <w:bCs w:val="1"/>
          <w:color w:val="00004D"/>
        </w:rPr>
        <w:t>Average 9.8 years</w:t>
      </w:r>
    </w:p>
    <w:p>
      <w:pPr>
        <w:spacing w:after="0" w:line="2" w:lineRule="exact"/>
        <w:rPr>
          <w:sz w:val="20"/>
          <w:szCs w:val="20"/>
          <w:color w:val="auto"/>
        </w:rPr>
      </w:pPr>
    </w:p>
    <w:p>
      <w:pPr>
        <w:ind w:right="280"/>
        <w:spacing w:after="0" w:line="524" w:lineRule="auto"/>
        <w:rPr>
          <w:sz w:val="20"/>
          <w:szCs w:val="20"/>
          <w:color w:val="auto"/>
        </w:rPr>
      </w:pPr>
      <w:r>
        <w:rPr>
          <w:rFonts w:ascii="Arial" w:cs="Arial" w:eastAsia="Arial" w:hAnsi="Arial"/>
          <w:sz w:val="18"/>
          <w:szCs w:val="18"/>
          <w:b w:val="1"/>
          <w:bCs w:val="1"/>
          <w:color w:val="auto"/>
        </w:rPr>
        <w:t xml:space="preserve">Age – </w:t>
      </w:r>
      <w:r>
        <w:rPr>
          <w:rFonts w:ascii="Arial" w:cs="Arial" w:eastAsia="Arial" w:hAnsi="Arial"/>
          <w:sz w:val="18"/>
          <w:szCs w:val="18"/>
          <w:b w:val="1"/>
          <w:bCs w:val="1"/>
          <w:color w:val="00004D"/>
        </w:rPr>
        <w:t>Average 66 years</w:t>
      </w:r>
      <w:r>
        <w:rPr>
          <w:rFonts w:ascii="Arial" w:cs="Arial" w:eastAsia="Arial" w:hAnsi="Arial"/>
          <w:sz w:val="18"/>
          <w:szCs w:val="18"/>
          <w:b w:val="1"/>
          <w:bCs w:val="1"/>
          <w:color w:val="auto"/>
        </w:rPr>
        <w:t xml:space="preserve"> Male/ Female </w:t>
      </w:r>
      <w:r>
        <w:rPr>
          <w:rFonts w:ascii="Arial" w:cs="Arial" w:eastAsia="Arial" w:hAnsi="Arial"/>
          <w:sz w:val="18"/>
          <w:szCs w:val="18"/>
          <w:b w:val="1"/>
          <w:bCs w:val="1"/>
          <w:color w:val="00004D"/>
        </w:rPr>
        <w:t>– 6/1</w:t>
      </w:r>
      <w:r>
        <w:rPr>
          <w:rFonts w:ascii="Arial" w:cs="Arial" w:eastAsia="Arial" w:hAnsi="Arial"/>
          <w:sz w:val="18"/>
          <w:szCs w:val="18"/>
          <w:b w:val="1"/>
          <w:bCs w:val="1"/>
          <w:color w:val="auto"/>
        </w:rPr>
        <w:t xml:space="preserve"> Turnover </w:t>
      </w:r>
      <w:r>
        <w:rPr>
          <w:rFonts w:ascii="Arial" w:cs="Arial" w:eastAsia="Arial" w:hAnsi="Arial"/>
          <w:sz w:val="18"/>
          <w:szCs w:val="18"/>
          <w:b w:val="1"/>
          <w:bCs w:val="1"/>
          <w:color w:val="00004D"/>
        </w:rPr>
        <w:t>– None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85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Board</w:t>
            </w:r>
          </w:p>
        </w:tc>
        <w:tc>
          <w:tcPr>
            <w:tcW w:w="1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320" w:type="dxa"/>
            <w:vAlign w:val="bottom"/>
            <w:tcBorders>
              <w:right w:val="single" w:sz="8" w:color="377FA7"/>
            </w:tcBorders>
          </w:tcPr>
          <w:p>
            <w:pPr>
              <w:ind w:left="20"/>
              <w:spacing w:after="0" w:line="182" w:lineRule="exact"/>
              <w:rPr>
                <w:sz w:val="20"/>
                <w:szCs w:val="20"/>
                <w:color w:val="auto"/>
              </w:rPr>
            </w:pPr>
            <w:r>
              <w:rPr>
                <w:rFonts w:ascii="Arial" w:cs="Arial" w:eastAsia="Arial" w:hAnsi="Arial"/>
                <w:sz w:val="18"/>
                <w:szCs w:val="18"/>
                <w:b w:val="1"/>
                <w:bCs w:val="1"/>
                <w:color w:val="00004D"/>
              </w:rPr>
              <w:t>Meeting</w:t>
            </w:r>
          </w:p>
        </w:tc>
        <w:tc>
          <w:tcPr>
            <w:tcW w:w="180" w:type="dxa"/>
            <w:vAlign w:val="bottom"/>
          </w:tcPr>
          <w:p>
            <w:pPr>
              <w:spacing w:after="0"/>
              <w:rPr>
                <w:sz w:val="15"/>
                <w:szCs w:val="15"/>
                <w:color w:val="auto"/>
              </w:rPr>
            </w:pPr>
          </w:p>
        </w:tc>
        <w:tc>
          <w:tcPr>
            <w:tcW w:w="2300" w:type="dxa"/>
            <w:vAlign w:val="bottom"/>
            <w:vMerge w:val="restart"/>
          </w:tcPr>
          <w:p>
            <w:pPr>
              <w:spacing w:after="0"/>
              <w:rPr>
                <w:sz w:val="20"/>
                <w:szCs w:val="20"/>
                <w:color w:val="auto"/>
              </w:rPr>
            </w:pPr>
            <w:r>
              <w:rPr>
                <w:rFonts w:ascii="Arial" w:cs="Arial" w:eastAsia="Arial" w:hAnsi="Arial"/>
                <w:sz w:val="31"/>
                <w:szCs w:val="31"/>
                <w:b w:val="1"/>
                <w:bCs w:val="1"/>
                <w:color w:val="377FA7"/>
              </w:rPr>
              <w:t>GOVERNANCE</w:t>
            </w:r>
          </w:p>
        </w:tc>
        <w:tc>
          <w:tcPr>
            <w:tcW w:w="0" w:type="dxa"/>
            <w:vAlign w:val="bottom"/>
          </w:tcPr>
          <w:p>
            <w:pPr>
              <w:spacing w:after="0"/>
              <w:rPr>
                <w:sz w:val="1"/>
                <w:szCs w:val="1"/>
                <w:color w:val="auto"/>
              </w:rPr>
            </w:pPr>
          </w:p>
        </w:tc>
      </w:tr>
      <w:tr>
        <w:trPr>
          <w:trHeight w:val="209"/>
        </w:trPr>
        <w:tc>
          <w:tcPr>
            <w:tcW w:w="1320" w:type="dxa"/>
            <w:vAlign w:val="bottom"/>
            <w:tcBorders>
              <w:right w:val="single" w:sz="8" w:color="377FA7"/>
            </w:tcBorders>
          </w:tcPr>
          <w:p>
            <w:pPr>
              <w:ind w:left="20"/>
              <w:spacing w:after="0"/>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18"/>
                <w:szCs w:val="18"/>
                <w:color w:val="auto"/>
              </w:rPr>
            </w:pP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1320" w:type="dxa"/>
            <w:vAlign w:val="bottom"/>
            <w:tcBorders>
              <w:right w:val="single" w:sz="8" w:color="377FA7"/>
            </w:tcBorders>
            <w:vMerge w:val="restart"/>
          </w:tcPr>
          <w:p>
            <w:pPr>
              <w:spacing w:after="0" w:line="596" w:lineRule="exact"/>
              <w:rPr>
                <w:sz w:val="20"/>
                <w:szCs w:val="20"/>
                <w:color w:val="auto"/>
              </w:rPr>
            </w:pPr>
            <w:r>
              <w:rPr>
                <w:rFonts w:ascii="Arial" w:cs="Arial" w:eastAsia="Arial" w:hAnsi="Arial"/>
                <w:sz w:val="55"/>
                <w:szCs w:val="55"/>
                <w:b w:val="1"/>
                <w:bCs w:val="1"/>
                <w:color w:val="377FA7"/>
              </w:rPr>
              <w:t>100</w:t>
            </w:r>
            <w:r>
              <w:rPr>
                <w:rFonts w:ascii="Arial" w:cs="Arial" w:eastAsia="Arial" w:hAnsi="Arial"/>
                <w:sz w:val="34"/>
                <w:szCs w:val="34"/>
                <w:color w:val="00004D"/>
              </w:rPr>
              <w:t>%</w:t>
            </w:r>
          </w:p>
        </w:tc>
        <w:tc>
          <w:tcPr>
            <w:tcW w:w="180" w:type="dxa"/>
            <w:vAlign w:val="bottom"/>
          </w:tcPr>
          <w:p>
            <w:pPr>
              <w:spacing w:after="0"/>
              <w:rPr>
                <w:sz w:val="24"/>
                <w:szCs w:val="24"/>
                <w:color w:val="auto"/>
              </w:rPr>
            </w:pPr>
          </w:p>
        </w:tc>
        <w:tc>
          <w:tcPr>
            <w:tcW w:w="2300" w:type="dxa"/>
            <w:vAlign w:val="bottom"/>
            <w:tcBorders>
              <w:bottom w:val="single" w:sz="8" w:color="377FA7"/>
            </w:tcBorders>
          </w:tcPr>
          <w:p>
            <w:pPr>
              <w:spacing w:after="0"/>
              <w:rPr>
                <w:sz w:val="20"/>
                <w:szCs w:val="20"/>
                <w:color w:val="auto"/>
              </w:rPr>
            </w:pPr>
            <w:r>
              <w:rPr>
                <w:rFonts w:ascii="Arial" w:cs="Arial" w:eastAsia="Arial" w:hAnsi="Arial"/>
                <w:sz w:val="20"/>
                <w:szCs w:val="20"/>
                <w:b w:val="1"/>
                <w:bCs w:val="1"/>
                <w:color w:val="00004D"/>
              </w:rPr>
              <w:t>Government Relations</w:t>
            </w:r>
          </w:p>
        </w:tc>
        <w:tc>
          <w:tcPr>
            <w:tcW w:w="0" w:type="dxa"/>
            <w:vAlign w:val="bottom"/>
          </w:tcPr>
          <w:p>
            <w:pPr>
              <w:spacing w:after="0"/>
              <w:rPr>
                <w:sz w:val="1"/>
                <w:szCs w:val="1"/>
                <w:color w:val="auto"/>
              </w:rPr>
            </w:pPr>
          </w:p>
        </w:tc>
      </w:tr>
      <w:tr>
        <w:trPr>
          <w:trHeight w:val="170"/>
        </w:trPr>
        <w:tc>
          <w:tcPr>
            <w:tcW w:w="1320" w:type="dxa"/>
            <w:vAlign w:val="bottom"/>
            <w:tcBorders>
              <w:right w:val="single" w:sz="8" w:color="377FA7"/>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vMerge w:val="restart"/>
          </w:tcPr>
          <w:p>
            <w:pPr>
              <w:spacing w:after="0"/>
              <w:rPr>
                <w:sz w:val="20"/>
                <w:szCs w:val="20"/>
                <w:color w:val="auto"/>
              </w:rPr>
            </w:pPr>
            <w:r>
              <w:rPr>
                <w:rFonts w:ascii="Arial" w:cs="Arial" w:eastAsia="Arial" w:hAnsi="Arial"/>
                <w:sz w:val="21"/>
                <w:szCs w:val="21"/>
                <w:b w:val="1"/>
                <w:bCs w:val="1"/>
                <w:color w:val="00004D"/>
              </w:rPr>
              <w:t>Cumberland Health</w:t>
            </w:r>
          </w:p>
        </w:tc>
        <w:tc>
          <w:tcPr>
            <w:tcW w:w="0" w:type="dxa"/>
            <w:vAlign w:val="bottom"/>
          </w:tcPr>
          <w:p>
            <w:pPr>
              <w:spacing w:after="0"/>
              <w:rPr>
                <w:sz w:val="1"/>
                <w:szCs w:val="1"/>
                <w:color w:val="auto"/>
              </w:rPr>
            </w:pPr>
          </w:p>
        </w:tc>
      </w:tr>
      <w:tr>
        <w:trPr>
          <w:trHeight w:val="108"/>
        </w:trPr>
        <w:tc>
          <w:tcPr>
            <w:tcW w:w="1320" w:type="dxa"/>
            <w:vAlign w:val="bottom"/>
            <w:tcBorders>
              <w:right w:val="single" w:sz="8" w:color="377FA7"/>
            </w:tcBorders>
            <w:vMerge w:val="restart"/>
          </w:tcPr>
          <w:p>
            <w:pPr>
              <w:ind w:left="20"/>
              <w:spacing w:after="0" w:line="203" w:lineRule="exact"/>
              <w:rPr>
                <w:sz w:val="20"/>
                <w:szCs w:val="20"/>
                <w:color w:val="auto"/>
              </w:rPr>
            </w:pPr>
            <w:r>
              <w:rPr>
                <w:rFonts w:ascii="Arial" w:cs="Arial" w:eastAsia="Arial" w:hAnsi="Arial"/>
                <w:sz w:val="18"/>
                <w:szCs w:val="18"/>
                <w:b w:val="1"/>
                <w:bCs w:val="1"/>
                <w:color w:val="00004D"/>
              </w:rPr>
              <w:t>Standing</w:t>
            </w:r>
          </w:p>
        </w:tc>
        <w:tc>
          <w:tcPr>
            <w:tcW w:w="18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20" w:type="dxa"/>
            <w:vAlign w:val="bottom"/>
            <w:tcBorders>
              <w:right w:val="single" w:sz="8" w:color="377FA7"/>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2300" w:type="dxa"/>
            <w:vAlign w:val="bottom"/>
            <w:vMerge w:val="restart"/>
          </w:tcPr>
          <w:p>
            <w:pPr>
              <w:spacing w:after="0" w:line="205" w:lineRule="exact"/>
              <w:rPr>
                <w:sz w:val="20"/>
                <w:szCs w:val="20"/>
                <w:color w:val="auto"/>
              </w:rPr>
            </w:pPr>
            <w:r>
              <w:rPr>
                <w:rFonts w:ascii="Arial" w:cs="Arial" w:eastAsia="Arial" w:hAnsi="Arial"/>
                <w:sz w:val="21"/>
                <w:szCs w:val="21"/>
                <w:b w:val="1"/>
                <w:bCs w:val="1"/>
                <w:color w:val="00004D"/>
              </w:rPr>
              <w:t>&amp; Wellness PAC</w:t>
            </w:r>
          </w:p>
        </w:tc>
        <w:tc>
          <w:tcPr>
            <w:tcW w:w="0" w:type="dxa"/>
            <w:vAlign w:val="bottom"/>
          </w:tcPr>
          <w:p>
            <w:pPr>
              <w:spacing w:after="0"/>
              <w:rPr>
                <w:sz w:val="1"/>
                <w:szCs w:val="1"/>
                <w:color w:val="auto"/>
              </w:rPr>
            </w:pPr>
          </w:p>
        </w:tc>
      </w:tr>
      <w:tr>
        <w:trPr>
          <w:trHeight w:val="109"/>
        </w:trPr>
        <w:tc>
          <w:tcPr>
            <w:tcW w:w="1320" w:type="dxa"/>
            <w:vAlign w:val="bottom"/>
            <w:tcBorders>
              <w:right w:val="single" w:sz="8" w:color="377FA7"/>
            </w:tcBorders>
            <w:vMerge w:val="restart"/>
          </w:tcPr>
          <w:p>
            <w:pPr>
              <w:ind w:left="20"/>
              <w:spacing w:after="0" w:line="182" w:lineRule="exact"/>
              <w:rPr>
                <w:sz w:val="20"/>
                <w:szCs w:val="20"/>
                <w:color w:val="auto"/>
              </w:rPr>
            </w:pPr>
            <w:r>
              <w:rPr>
                <w:rFonts w:ascii="Arial" w:cs="Arial" w:eastAsia="Arial" w:hAnsi="Arial"/>
                <w:sz w:val="18"/>
                <w:szCs w:val="18"/>
                <w:b w:val="1"/>
                <w:bCs w:val="1"/>
                <w:color w:val="00004D"/>
              </w:rPr>
              <w:t>Committee</w:t>
            </w:r>
          </w:p>
        </w:tc>
        <w:tc>
          <w:tcPr>
            <w:tcW w:w="180" w:type="dxa"/>
            <w:vAlign w:val="bottom"/>
          </w:tcPr>
          <w:p>
            <w:pPr>
              <w:spacing w:after="0"/>
              <w:rPr>
                <w:sz w:val="9"/>
                <w:szCs w:val="9"/>
                <w:color w:val="auto"/>
              </w:rPr>
            </w:pPr>
          </w:p>
        </w:tc>
        <w:tc>
          <w:tcPr>
            <w:tcW w:w="2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320" w:type="dxa"/>
            <w:vAlign w:val="bottom"/>
            <w:tcBorders>
              <w:right w:val="single" w:sz="8" w:color="377FA7"/>
            </w:tcBorders>
            <w:vMerge w:val="continue"/>
          </w:tcPr>
          <w:p>
            <w:pPr>
              <w:spacing w:after="0"/>
              <w:rPr>
                <w:sz w:val="6"/>
                <w:szCs w:val="6"/>
                <w:color w:val="auto"/>
              </w:rPr>
            </w:pPr>
          </w:p>
        </w:tc>
        <w:tc>
          <w:tcPr>
            <w:tcW w:w="180" w:type="dxa"/>
            <w:vAlign w:val="bottom"/>
          </w:tcPr>
          <w:p>
            <w:pPr>
              <w:spacing w:after="0"/>
              <w:rPr>
                <w:sz w:val="6"/>
                <w:szCs w:val="6"/>
                <w:color w:val="auto"/>
              </w:rPr>
            </w:pPr>
          </w:p>
        </w:tc>
        <w:tc>
          <w:tcPr>
            <w:tcW w:w="2300" w:type="dxa"/>
            <w:vAlign w:val="bottom"/>
            <w:vMerge w:val="restart"/>
          </w:tcPr>
          <w:p>
            <w:pPr>
              <w:spacing w:after="0"/>
              <w:rPr>
                <w:sz w:val="20"/>
                <w:szCs w:val="20"/>
                <w:color w:val="auto"/>
              </w:rPr>
            </w:pPr>
            <w:r>
              <w:rPr>
                <w:rFonts w:ascii="Arial" w:cs="Arial" w:eastAsia="Arial" w:hAnsi="Arial"/>
                <w:sz w:val="18"/>
                <w:szCs w:val="18"/>
                <w:color w:val="auto"/>
              </w:rPr>
              <w:t>Supports candidates,</w:t>
            </w:r>
          </w:p>
        </w:tc>
        <w:tc>
          <w:tcPr>
            <w:tcW w:w="0" w:type="dxa"/>
            <w:vAlign w:val="bottom"/>
          </w:tcPr>
          <w:p>
            <w:pPr>
              <w:spacing w:after="0"/>
              <w:rPr>
                <w:sz w:val="1"/>
                <w:szCs w:val="1"/>
                <w:color w:val="auto"/>
              </w:rPr>
            </w:pPr>
          </w:p>
        </w:tc>
      </w:tr>
      <w:tr>
        <w:trPr>
          <w:trHeight w:val="181"/>
        </w:trPr>
        <w:tc>
          <w:tcPr>
            <w:tcW w:w="1320" w:type="dxa"/>
            <w:vAlign w:val="bottom"/>
            <w:tcBorders>
              <w:right w:val="single" w:sz="8" w:color="377FA7"/>
            </w:tcBorders>
          </w:tcPr>
          <w:p>
            <w:pPr>
              <w:ind w:left="20"/>
              <w:spacing w:after="0" w:line="182" w:lineRule="exact"/>
              <w:rPr>
                <w:sz w:val="20"/>
                <w:szCs w:val="20"/>
                <w:color w:val="auto"/>
              </w:rPr>
            </w:pPr>
            <w:r>
              <w:rPr>
                <w:rFonts w:ascii="Arial" w:cs="Arial" w:eastAsia="Arial" w:hAnsi="Arial"/>
                <w:sz w:val="18"/>
                <w:szCs w:val="18"/>
                <w:b w:val="1"/>
                <w:bCs w:val="1"/>
                <w:color w:val="00004D"/>
              </w:rPr>
              <w:t>Attendance</w:t>
            </w:r>
          </w:p>
        </w:tc>
        <w:tc>
          <w:tcPr>
            <w:tcW w:w="18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320" w:type="dxa"/>
            <w:vAlign w:val="bottom"/>
            <w:tcBorders>
              <w:right w:val="single" w:sz="8" w:color="377FA7"/>
            </w:tcBorders>
            <w:vMerge w:val="restart"/>
          </w:tcPr>
          <w:p>
            <w:pPr>
              <w:spacing w:after="0" w:line="506" w:lineRule="exact"/>
              <w:rPr>
                <w:sz w:val="20"/>
                <w:szCs w:val="20"/>
                <w:color w:val="auto"/>
              </w:rPr>
            </w:pPr>
            <w:r>
              <w:rPr>
                <w:rFonts w:ascii="Arial" w:cs="Arial" w:eastAsia="Arial" w:hAnsi="Arial"/>
                <w:sz w:val="55"/>
                <w:szCs w:val="55"/>
                <w:b w:val="1"/>
                <w:bCs w:val="1"/>
                <w:color w:val="377FA7"/>
              </w:rPr>
              <w:t>100</w:t>
            </w:r>
            <w:r>
              <w:rPr>
                <w:rFonts w:ascii="Arial" w:cs="Arial" w:eastAsia="Arial" w:hAnsi="Arial"/>
                <w:sz w:val="34"/>
                <w:szCs w:val="34"/>
                <w:color w:val="00004D"/>
              </w:rPr>
              <w:t>%</w:t>
            </w:r>
          </w:p>
        </w:tc>
        <w:tc>
          <w:tcPr>
            <w:tcW w:w="180" w:type="dxa"/>
            <w:vAlign w:val="bottom"/>
          </w:tcPr>
          <w:p>
            <w:pPr>
              <w:spacing w:after="0"/>
              <w:rPr>
                <w:sz w:val="13"/>
                <w:szCs w:val="13"/>
                <w:color w:val="auto"/>
              </w:rPr>
            </w:pPr>
          </w:p>
        </w:tc>
        <w:tc>
          <w:tcPr>
            <w:tcW w:w="2300" w:type="dxa"/>
            <w:vAlign w:val="bottom"/>
          </w:tcPr>
          <w:p>
            <w:pPr>
              <w:spacing w:after="0" w:line="155" w:lineRule="exact"/>
              <w:rPr>
                <w:sz w:val="20"/>
                <w:szCs w:val="20"/>
                <w:color w:val="auto"/>
              </w:rPr>
            </w:pPr>
            <w:r>
              <w:rPr>
                <w:rFonts w:ascii="Arial" w:cs="Arial" w:eastAsia="Arial" w:hAnsi="Arial"/>
                <w:sz w:val="17"/>
                <w:szCs w:val="17"/>
                <w:color w:val="auto"/>
              </w:rPr>
              <w:t>elected officials and</w:t>
            </w:r>
          </w:p>
        </w:tc>
        <w:tc>
          <w:tcPr>
            <w:tcW w:w="0" w:type="dxa"/>
            <w:vAlign w:val="bottom"/>
          </w:tcPr>
          <w:p>
            <w:pPr>
              <w:spacing w:after="0"/>
              <w:rPr>
                <w:sz w:val="1"/>
                <w:szCs w:val="1"/>
                <w:color w:val="auto"/>
              </w:rPr>
            </w:pPr>
          </w:p>
        </w:tc>
      </w:tr>
      <w:tr>
        <w:trPr>
          <w:trHeight w:val="352"/>
        </w:trPr>
        <w:tc>
          <w:tcPr>
            <w:tcW w:w="1320" w:type="dxa"/>
            <w:vAlign w:val="bottom"/>
            <w:tcBorders>
              <w:right w:val="single" w:sz="8" w:color="377FA7"/>
            </w:tcBorders>
            <w:vMerge w:val="continue"/>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relevant legislation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31"/>
          <w:szCs w:val="31"/>
          <w:b w:val="1"/>
          <w:bCs w:val="1"/>
          <w:color w:val="377FA7"/>
        </w:rPr>
        <w:t>GOVERNANCE</w:t>
      </w:r>
    </w:p>
    <w:p>
      <w:pPr>
        <w:spacing w:after="0"/>
        <w:rPr>
          <w:sz w:val="20"/>
          <w:szCs w:val="20"/>
          <w:color w:val="auto"/>
        </w:rPr>
      </w:pPr>
      <w:r>
        <w:rPr>
          <w:rFonts w:ascii="Arial" w:cs="Arial" w:eastAsia="Arial" w:hAnsi="Arial"/>
          <w:sz w:val="21"/>
          <w:szCs w:val="21"/>
          <w:b w:val="1"/>
          <w:bCs w:val="1"/>
          <w:color w:val="00004D"/>
        </w:rPr>
        <w:t>Compliance</w:t>
      </w: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b w:val="1"/>
          <w:bCs w:val="1"/>
          <w:color w:val="00004D"/>
        </w:rPr>
        <w:t>Code of Conduct</w:t>
      </w:r>
    </w:p>
    <w:p>
      <w:pPr>
        <w:ind w:right="1640"/>
        <w:spacing w:after="0" w:line="257" w:lineRule="auto"/>
        <w:rPr>
          <w:sz w:val="20"/>
          <w:szCs w:val="20"/>
          <w:color w:val="auto"/>
        </w:rPr>
      </w:pPr>
      <w:r>
        <w:rPr>
          <w:rFonts w:ascii="Arial" w:cs="Arial" w:eastAsia="Arial" w:hAnsi="Arial"/>
          <w:sz w:val="18"/>
          <w:szCs w:val="18"/>
          <w:color w:val="auto"/>
        </w:rPr>
        <w:t>Establishes guidelines for all Board members and employees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55"/>
        </w:trPr>
        <w:tc>
          <w:tcPr>
            <w:tcW w:w="1860" w:type="dxa"/>
            <w:vAlign w:val="bottom"/>
            <w:vMerge w:val="restart"/>
          </w:tcPr>
          <w:p>
            <w:pPr>
              <w:spacing w:after="0"/>
              <w:rPr>
                <w:sz w:val="20"/>
                <w:szCs w:val="20"/>
                <w:color w:val="auto"/>
              </w:rPr>
            </w:pPr>
            <w:r>
              <w:rPr>
                <w:rFonts w:ascii="Arial" w:cs="Arial" w:eastAsia="Arial" w:hAnsi="Arial"/>
                <w:sz w:val="21"/>
                <w:szCs w:val="21"/>
                <w:b w:val="1"/>
                <w:bCs w:val="1"/>
                <w:color w:val="00004D"/>
              </w:rPr>
              <w:t>Ethical Marketing</w:t>
            </w:r>
          </w:p>
        </w:tc>
        <w:tc>
          <w:tcPr>
            <w:tcW w:w="20" w:type="dxa"/>
            <w:vAlign w:val="bottom"/>
          </w:tcPr>
          <w:p>
            <w:pPr>
              <w:spacing w:after="0"/>
              <w:rPr>
                <w:sz w:val="4"/>
                <w:szCs w:val="4"/>
                <w:color w:val="auto"/>
              </w:rPr>
            </w:pPr>
          </w:p>
        </w:tc>
        <w:tc>
          <w:tcPr>
            <w:tcW w:w="2440" w:type="dxa"/>
            <w:vAlign w:val="bottom"/>
            <w:vMerge w:val="restart"/>
          </w:tcPr>
          <w:p>
            <w:pPr>
              <w:ind w:left="180"/>
              <w:spacing w:after="0"/>
              <w:rPr>
                <w:sz w:val="20"/>
                <w:szCs w:val="20"/>
                <w:color w:val="auto"/>
              </w:rPr>
            </w:pPr>
            <w:r>
              <w:rPr>
                <w:rFonts w:ascii="Arial" w:cs="Arial" w:eastAsia="Arial" w:hAnsi="Arial"/>
                <w:sz w:val="18"/>
                <w:szCs w:val="18"/>
                <w:b w:val="1"/>
                <w:bCs w:val="1"/>
                <w:color w:val="00004D"/>
              </w:rPr>
              <w:t>Health Care</w:t>
            </w:r>
          </w:p>
        </w:tc>
        <w:tc>
          <w:tcPr>
            <w:tcW w:w="0" w:type="dxa"/>
            <w:vAlign w:val="bottom"/>
          </w:tcPr>
          <w:p>
            <w:pPr>
              <w:spacing w:after="0"/>
              <w:rPr>
                <w:sz w:val="1"/>
                <w:szCs w:val="1"/>
                <w:color w:val="auto"/>
              </w:rPr>
            </w:pPr>
          </w:p>
        </w:tc>
      </w:tr>
      <w:tr>
        <w:trPr>
          <w:trHeight w:val="186"/>
        </w:trPr>
        <w:tc>
          <w:tcPr>
            <w:tcW w:w="1860" w:type="dxa"/>
            <w:vAlign w:val="bottom"/>
            <w:vMerge w:val="continue"/>
          </w:tcPr>
          <w:p>
            <w:pPr>
              <w:spacing w:after="0"/>
              <w:rPr>
                <w:sz w:val="16"/>
                <w:szCs w:val="16"/>
                <w:color w:val="auto"/>
              </w:rPr>
            </w:pPr>
          </w:p>
        </w:tc>
        <w:tc>
          <w:tcPr>
            <w:tcW w:w="20" w:type="dxa"/>
            <w:vAlign w:val="bottom"/>
            <w:shd w:val="clear" w:color="auto" w:fill="377FA7"/>
          </w:tcPr>
          <w:p>
            <w:pPr>
              <w:spacing w:after="0"/>
              <w:rPr>
                <w:sz w:val="16"/>
                <w:szCs w:val="16"/>
                <w:color w:val="auto"/>
              </w:rPr>
            </w:pPr>
          </w:p>
        </w:tc>
        <w:tc>
          <w:tcPr>
            <w:tcW w:w="2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No government</w:t>
            </w:r>
          </w:p>
        </w:tc>
        <w:tc>
          <w:tcPr>
            <w:tcW w:w="20" w:type="dxa"/>
            <w:vAlign w:val="bottom"/>
            <w:shd w:val="clear" w:color="auto" w:fill="377FA7"/>
          </w:tcPr>
          <w:p>
            <w:pPr>
              <w:spacing w:after="0"/>
              <w:rPr>
                <w:sz w:val="15"/>
                <w:szCs w:val="15"/>
                <w:color w:val="auto"/>
              </w:rPr>
            </w:pPr>
          </w:p>
        </w:tc>
        <w:tc>
          <w:tcPr>
            <w:tcW w:w="2440" w:type="dxa"/>
            <w:vAlign w:val="bottom"/>
          </w:tcPr>
          <w:p>
            <w:pPr>
              <w:ind w:left="180"/>
              <w:spacing w:after="0" w:line="182" w:lineRule="exact"/>
              <w:rPr>
                <w:sz w:val="20"/>
                <w:szCs w:val="20"/>
                <w:color w:val="auto"/>
              </w:rPr>
            </w:pPr>
            <w:r>
              <w:rPr>
                <w:rFonts w:ascii="Arial" w:cs="Arial" w:eastAsia="Arial" w:hAnsi="Arial"/>
                <w:sz w:val="18"/>
                <w:szCs w:val="18"/>
                <w:b w:val="1"/>
                <w:bCs w:val="1"/>
                <w:color w:val="00004D"/>
              </w:rPr>
              <w:t>Professionals</w:t>
            </w:r>
          </w:p>
        </w:tc>
        <w:tc>
          <w:tcPr>
            <w:tcW w:w="0" w:type="dxa"/>
            <w:vAlign w:val="bottom"/>
          </w:tcPr>
          <w:p>
            <w:pPr>
              <w:spacing w:after="0"/>
              <w:rPr>
                <w:sz w:val="1"/>
                <w:szCs w:val="1"/>
                <w:color w:val="auto"/>
              </w:rPr>
            </w:pPr>
          </w:p>
        </w:tc>
      </w:tr>
      <w:tr>
        <w:trPr>
          <w:trHeight w:val="181"/>
        </w:trPr>
        <w:tc>
          <w:tcPr>
            <w:tcW w:w="1860" w:type="dxa"/>
            <w:vAlign w:val="bottom"/>
          </w:tcPr>
          <w:p>
            <w:pPr>
              <w:spacing w:after="0" w:line="182" w:lineRule="exact"/>
              <w:rPr>
                <w:sz w:val="20"/>
                <w:szCs w:val="20"/>
                <w:color w:val="auto"/>
              </w:rPr>
            </w:pPr>
            <w:r>
              <w:rPr>
                <w:rFonts w:ascii="Arial" w:cs="Arial" w:eastAsia="Arial" w:hAnsi="Arial"/>
                <w:sz w:val="18"/>
                <w:szCs w:val="18"/>
                <w:color w:val="auto"/>
              </w:rPr>
              <w:t>judgments, decrees</w:t>
            </w:r>
          </w:p>
        </w:tc>
        <w:tc>
          <w:tcPr>
            <w:tcW w:w="20" w:type="dxa"/>
            <w:vAlign w:val="bottom"/>
            <w:shd w:val="clear" w:color="auto" w:fill="377FA7"/>
          </w:tcPr>
          <w:p>
            <w:pPr>
              <w:spacing w:after="0"/>
              <w:rPr>
                <w:sz w:val="15"/>
                <w:szCs w:val="15"/>
                <w:color w:val="auto"/>
              </w:rPr>
            </w:pPr>
          </w:p>
        </w:tc>
        <w:tc>
          <w:tcPr>
            <w:tcW w:w="2440" w:type="dxa"/>
            <w:vAlign w:val="bottom"/>
          </w:tcPr>
          <w:p>
            <w:pPr>
              <w:ind w:left="180"/>
              <w:spacing w:after="0" w:line="182" w:lineRule="exact"/>
              <w:rPr>
                <w:sz w:val="20"/>
                <w:szCs w:val="20"/>
                <w:color w:val="auto"/>
              </w:rPr>
            </w:pPr>
            <w:r>
              <w:rPr>
                <w:rFonts w:ascii="Arial" w:cs="Arial" w:eastAsia="Arial" w:hAnsi="Arial"/>
                <w:sz w:val="18"/>
                <w:szCs w:val="18"/>
                <w:color w:val="auto"/>
              </w:rPr>
              <w:t>All reports regarding</w:t>
            </w:r>
          </w:p>
        </w:tc>
        <w:tc>
          <w:tcPr>
            <w:tcW w:w="0" w:type="dxa"/>
            <w:vAlign w:val="bottom"/>
          </w:tcPr>
          <w:p>
            <w:pPr>
              <w:spacing w:after="0"/>
              <w:rPr>
                <w:sz w:val="1"/>
                <w:szCs w:val="1"/>
                <w:color w:val="auto"/>
              </w:rPr>
            </w:pPr>
          </w:p>
        </w:tc>
      </w:tr>
      <w:tr>
        <w:trPr>
          <w:trHeight w:val="203"/>
        </w:trPr>
        <w:tc>
          <w:tcPr>
            <w:tcW w:w="1860" w:type="dxa"/>
            <w:vAlign w:val="bottom"/>
          </w:tcPr>
          <w:p>
            <w:pPr>
              <w:spacing w:after="0" w:line="203" w:lineRule="exact"/>
              <w:rPr>
                <w:sz w:val="20"/>
                <w:szCs w:val="20"/>
                <w:color w:val="auto"/>
              </w:rPr>
            </w:pPr>
            <w:r>
              <w:rPr>
                <w:rFonts w:ascii="Arial" w:cs="Arial" w:eastAsia="Arial" w:hAnsi="Arial"/>
                <w:sz w:val="18"/>
                <w:szCs w:val="18"/>
                <w:color w:val="auto"/>
              </w:rPr>
              <w:t>or fines</w:t>
            </w:r>
          </w:p>
        </w:tc>
        <w:tc>
          <w:tcPr>
            <w:tcW w:w="20" w:type="dxa"/>
            <w:vAlign w:val="bottom"/>
            <w:shd w:val="clear" w:color="auto" w:fill="377FA7"/>
          </w:tcPr>
          <w:p>
            <w:pPr>
              <w:spacing w:after="0"/>
              <w:rPr>
                <w:sz w:val="17"/>
                <w:szCs w:val="17"/>
                <w:color w:val="auto"/>
              </w:rPr>
            </w:pPr>
          </w:p>
        </w:tc>
        <w:tc>
          <w:tcPr>
            <w:tcW w:w="2440" w:type="dxa"/>
            <w:vAlign w:val="bottom"/>
          </w:tcPr>
          <w:p>
            <w:pPr>
              <w:ind w:left="180"/>
              <w:spacing w:after="0" w:line="203" w:lineRule="exact"/>
              <w:rPr>
                <w:sz w:val="20"/>
                <w:szCs w:val="20"/>
                <w:color w:val="auto"/>
              </w:rPr>
            </w:pPr>
            <w:r>
              <w:rPr>
                <w:rFonts w:ascii="Arial" w:cs="Arial" w:eastAsia="Arial" w:hAnsi="Arial"/>
                <w:sz w:val="18"/>
                <w:szCs w:val="18"/>
                <w:color w:val="auto"/>
              </w:rPr>
              <w:t>relations filed on time</w:t>
            </w:r>
          </w:p>
        </w:tc>
        <w:tc>
          <w:tcPr>
            <w:tcW w:w="0" w:type="dxa"/>
            <w:vAlign w:val="bottom"/>
          </w:tcPr>
          <w:p>
            <w:pPr>
              <w:spacing w:after="0"/>
              <w:rPr>
                <w:sz w:val="1"/>
                <w:szCs w:val="1"/>
                <w:color w:val="auto"/>
              </w:rPr>
            </w:pPr>
          </w:p>
        </w:tc>
      </w:tr>
      <w:tr>
        <w:trPr>
          <w:trHeight w:val="858"/>
        </w:trPr>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40" w:type="dxa"/>
            <w:vAlign w:val="bottom"/>
          </w:tcPr>
          <w:p>
            <w:pPr>
              <w:ind w:left="540"/>
              <w:spacing w:after="0"/>
              <w:rPr>
                <w:sz w:val="20"/>
                <w:szCs w:val="20"/>
                <w:color w:val="auto"/>
              </w:rPr>
            </w:pPr>
            <w:r>
              <w:rPr>
                <w:rFonts w:ascii="Arial" w:cs="Arial" w:eastAsia="Arial" w:hAnsi="Arial"/>
                <w:sz w:val="16"/>
                <w:szCs w:val="16"/>
                <w:color w:val="00004D"/>
              </w:rPr>
              <w:t xml:space="preserve">2023 Annual Report   </w:t>
            </w:r>
            <w:r>
              <w:rPr>
                <w:rFonts w:ascii="Arial" w:cs="Arial" w:eastAsia="Arial" w:hAnsi="Arial"/>
                <w:sz w:val="16"/>
                <w:szCs w:val="16"/>
                <w:color w:val="377FA7"/>
              </w:rPr>
              <w:t>9</w:t>
            </w:r>
          </w:p>
        </w:tc>
        <w:tc>
          <w:tcPr>
            <w:tcW w:w="0" w:type="dxa"/>
            <w:vAlign w:val="bottom"/>
          </w:tcPr>
          <w:p>
            <w:pPr>
              <w:spacing w:after="0"/>
              <w:rPr>
                <w:sz w:val="1"/>
                <w:szCs w:val="1"/>
                <w:color w:val="auto"/>
              </w:rPr>
            </w:pPr>
          </w:p>
        </w:tc>
      </w:tr>
    </w:tbl>
    <w:p>
      <w:pPr>
        <w:sectPr>
          <w:pgSz w:w="24480" w:h="15840" w:orient="landscape"/>
          <w:cols w:equalWidth="0" w:num="4">
            <w:col w:w="11818" w:space="720"/>
            <w:col w:w="2280" w:space="320"/>
            <w:col w:w="3800" w:space="440"/>
            <w:col w:w="4320"/>
          </w:cols>
          <w:pgMar w:left="402" w:top="664" w:right="380" w:bottom="0" w:gutter="0" w:footer="0" w:header="0"/>
          <w:type w:val="continuous"/>
        </w:sectPr>
      </w:pPr>
    </w:p>
    <w:bookmarkStart w:id="6" w:name="page7"/>
    <w:bookmarkEnd w:id="6"/>
    <w:p>
      <w:pPr>
        <w:spacing w:after="0" w:line="77"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794385</wp:posOffset>
                </wp:positionV>
                <wp:extent cx="7772400" cy="1544955"/>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72400" cy="1544955"/>
                        </a:xfrm>
                        <a:prstGeom prst="rect">
                          <a:avLst/>
                        </a:prstGeom>
                        <a:solidFill>
                          <a:srgbClr val="EBF0F4"/>
                        </a:solidFill>
                      </wps:spPr>
                      <wps:bodyPr/>
                    </wps:wsp>
                  </a:graphicData>
                </a:graphic>
              </wp:anchor>
            </w:drawing>
          </mc:Choice>
          <mc:Fallback>
            <w:pict>
              <v:rect id="Shape 43" o:spid="_x0000_s1068" style="position:absolute;margin-left:0pt;margin-top:62.55pt;width:612pt;height:121.6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EBF0F4" stroked="f">
                <w10:wrap anchorx="page" anchory="page"/>
              </v:rect>
            </w:pict>
          </mc:Fallback>
        </mc:AlternateContent>
      </w:r>
    </w:p>
    <w:p>
      <w:pPr>
        <w:ind w:left="380"/>
        <w:spacing w:after="0"/>
        <w:rPr>
          <w:sz w:val="20"/>
          <w:szCs w:val="20"/>
          <w:color w:val="auto"/>
        </w:rPr>
      </w:pPr>
      <w:r>
        <w:rPr>
          <w:rFonts w:ascii="Arial" w:cs="Arial" w:eastAsia="Arial" w:hAnsi="Arial"/>
          <w:sz w:val="54"/>
          <w:szCs w:val="54"/>
          <w:color w:val="377FA7"/>
        </w:rPr>
        <w:t>Selected Financial Data</w:t>
      </w:r>
    </w:p>
    <w:p>
      <w:pPr>
        <w:spacing w:after="0" w:line="298" w:lineRule="exact"/>
        <w:rPr>
          <w:sz w:val="20"/>
          <w:szCs w:val="20"/>
          <w:color w:val="auto"/>
        </w:rPr>
      </w:pPr>
    </w:p>
    <w:p>
      <w:pPr>
        <w:ind w:left="380" w:right="1380"/>
        <w:spacing w:after="0" w:line="288" w:lineRule="auto"/>
        <w:rPr>
          <w:sz w:val="20"/>
          <w:szCs w:val="20"/>
          <w:color w:val="auto"/>
        </w:rPr>
      </w:pPr>
      <w:r>
        <w:rPr>
          <w:rFonts w:ascii="Arial" w:cs="Arial" w:eastAsia="Arial" w:hAnsi="Arial"/>
          <w:sz w:val="22"/>
          <w:szCs w:val="22"/>
          <w:color w:val="auto"/>
        </w:rPr>
        <w:t>Our strategy involves maximizing the potential of our existing brands while continuing to build a portfolio of unique, differentiated products. The result of these efforts has strengthened our market presence, diversified our revenue stream and delivered positive cash flow from operations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772160</wp:posOffset>
            </wp:positionV>
            <wp:extent cx="711200" cy="16294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7">
                      <a:extLst>
                        <a:ext uri="{28A0092B-C50C-407E-A947-70E740481C1C}"/>
                      </a:extLst>
                    </a:blip>
                    <a:srcRect/>
                    <a:stretch>
                      <a:fillRect/>
                    </a:stretch>
                  </pic:blipFill>
                  <pic:spPr bwMode="auto">
                    <a:xfrm>
                      <a:off x="0" y="0"/>
                      <a:ext cx="711200"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280" w:type="dxa"/>
        <w:tblCellMar>
          <w:top w:w="0" w:type="dxa"/>
          <w:left w:w="0" w:type="dxa"/>
          <w:bottom w:w="0" w:type="dxa"/>
          <w:right w:w="0" w:type="dxa"/>
        </w:tblCellMar>
      </w:tblPr>
      <w:tr>
        <w:trPr>
          <w:trHeight w:val="219"/>
        </w:trPr>
        <w:tc>
          <w:tcPr>
            <w:tcW w:w="354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2019</w:t>
            </w:r>
          </w:p>
        </w:tc>
        <w:tc>
          <w:tcPr>
            <w:tcW w:w="600" w:type="dxa"/>
            <w:vAlign w:val="bottom"/>
          </w:tcPr>
          <w:p>
            <w:pPr>
              <w:spacing w:after="0"/>
              <w:rPr>
                <w:sz w:val="19"/>
                <w:szCs w:val="19"/>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2020</w:t>
            </w:r>
          </w:p>
        </w:tc>
        <w:tc>
          <w:tcPr>
            <w:tcW w:w="60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2021</w:t>
            </w:r>
          </w:p>
        </w:tc>
        <w:tc>
          <w:tcPr>
            <w:tcW w:w="600" w:type="dxa"/>
            <w:vAlign w:val="bottom"/>
          </w:tcPr>
          <w:p>
            <w:pPr>
              <w:spacing w:after="0"/>
              <w:rPr>
                <w:sz w:val="19"/>
                <w:szCs w:val="19"/>
                <w:color w:val="auto"/>
              </w:rPr>
            </w:pPr>
          </w:p>
        </w:tc>
        <w:tc>
          <w:tcPr>
            <w:tcW w:w="560" w:type="dxa"/>
            <w:vAlign w:val="bottom"/>
          </w:tcPr>
          <w:p>
            <w:pPr>
              <w:jc w:val="right"/>
              <w:ind w:right="6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00004D"/>
              </w:rPr>
              <w:t>2023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40" w:type="dxa"/>
            <w:vAlign w:val="bottom"/>
            <w:tcBorders>
              <w:bottom w:val="single" w:sz="8" w:color="00004D"/>
            </w:tcBorders>
          </w:tcPr>
          <w:p>
            <w:pPr>
              <w:spacing w:after="0"/>
              <w:rPr>
                <w:sz w:val="6"/>
                <w:szCs w:val="6"/>
                <w:color w:val="auto"/>
              </w:rPr>
            </w:pPr>
          </w:p>
        </w:tc>
        <w:tc>
          <w:tcPr>
            <w:tcW w:w="38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6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340" w:type="dxa"/>
            <w:vAlign w:val="bottom"/>
            <w:tcBorders>
              <w:bottom w:val="single" w:sz="8" w:color="00004D"/>
            </w:tcBorders>
          </w:tcPr>
          <w:p>
            <w:pPr>
              <w:spacing w:after="0"/>
              <w:rPr>
                <w:sz w:val="6"/>
                <w:szCs w:val="6"/>
                <w:color w:val="auto"/>
              </w:rPr>
            </w:pPr>
          </w:p>
        </w:tc>
        <w:tc>
          <w:tcPr>
            <w:tcW w:w="480" w:type="dxa"/>
            <w:vAlign w:val="bottom"/>
            <w:tcBorders>
              <w:bottom w:val="single" w:sz="8" w:color="00004D"/>
            </w:tcBorders>
          </w:tcPr>
          <w:p>
            <w:pPr>
              <w:spacing w:after="0"/>
              <w:rPr>
                <w:sz w:val="6"/>
                <w:szCs w:val="6"/>
                <w:color w:val="auto"/>
              </w:rPr>
            </w:pPr>
          </w:p>
        </w:tc>
        <w:tc>
          <w:tcPr>
            <w:tcW w:w="26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40" w:type="dxa"/>
            <w:vAlign w:val="bottom"/>
          </w:tcPr>
          <w:p>
            <w:pPr>
              <w:ind w:left="60"/>
              <w:spacing w:after="0"/>
              <w:rPr>
                <w:sz w:val="20"/>
                <w:szCs w:val="20"/>
                <w:color w:val="auto"/>
              </w:rPr>
            </w:pPr>
            <w:r>
              <w:rPr>
                <w:rFonts w:ascii="Arial" w:cs="Arial" w:eastAsia="Arial" w:hAnsi="Arial"/>
                <w:sz w:val="16"/>
                <w:szCs w:val="16"/>
                <w:color w:val="00004D"/>
              </w:rPr>
              <w:t>Net Revenues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$47,553</w:t>
            </w: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$37,441</w:t>
            </w: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$35,985</w:t>
            </w: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$42,011</w:t>
            </w:r>
          </w:p>
        </w:tc>
        <w:tc>
          <w:tcPr>
            <w:tcW w:w="2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$39,553</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40" w:type="dxa"/>
            <w:vAlign w:val="bottom"/>
          </w:tcPr>
          <w:p>
            <w:pPr>
              <w:ind w:left="60"/>
              <w:spacing w:after="0"/>
              <w:rPr>
                <w:sz w:val="20"/>
                <w:szCs w:val="20"/>
                <w:color w:val="auto"/>
              </w:rPr>
            </w:pPr>
            <w:r>
              <w:rPr>
                <w:rFonts w:ascii="Arial" w:cs="Arial" w:eastAsia="Arial" w:hAnsi="Arial"/>
                <w:sz w:val="16"/>
                <w:szCs w:val="16"/>
                <w:color w:val="00004D"/>
              </w:rPr>
              <w:t>Less Total Expenses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51,091</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40,780</w:t>
            </w:r>
          </w:p>
        </w:tc>
        <w:tc>
          <w:tcPr>
            <w:tcW w:w="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39,493</w:t>
            </w:r>
          </w:p>
        </w:tc>
        <w:tc>
          <w:tcPr>
            <w:tcW w:w="6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47,661</w:t>
            </w: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45,884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540" w:type="dxa"/>
            <w:vAlign w:val="bottom"/>
            <w:vMerge w:val="restart"/>
          </w:tcPr>
          <w:p>
            <w:pPr>
              <w:ind w:left="60"/>
              <w:spacing w:after="0"/>
              <w:rPr>
                <w:sz w:val="20"/>
                <w:szCs w:val="20"/>
                <w:color w:val="auto"/>
              </w:rPr>
            </w:pPr>
            <w:r>
              <w:rPr>
                <w:rFonts w:ascii="Arial" w:cs="Arial" w:eastAsia="Arial" w:hAnsi="Arial"/>
                <w:sz w:val="16"/>
                <w:szCs w:val="16"/>
                <w:color w:val="00004D"/>
              </w:rPr>
              <w:t>Net Income (Loss)</w:t>
            </w:r>
          </w:p>
        </w:tc>
        <w:tc>
          <w:tcPr>
            <w:tcW w:w="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Borders>
              <w:bottom w:val="single" w:sz="8" w:color="00004D"/>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540" w:type="dxa"/>
            <w:vAlign w:val="bottom"/>
            <w:vMerge w:val="continue"/>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(3,538)</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(3,339)</w:t>
            </w: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(3,508)</w:t>
            </w: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(5,650)</w:t>
            </w: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(6,331)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3540" w:type="dxa"/>
            <w:vAlign w:val="bottom"/>
          </w:tcPr>
          <w:p>
            <w:pPr>
              <w:ind w:left="60"/>
              <w:spacing w:after="0"/>
              <w:rPr>
                <w:sz w:val="20"/>
                <w:szCs w:val="20"/>
                <w:color w:val="auto"/>
              </w:rPr>
            </w:pPr>
            <w:r>
              <w:rPr>
                <w:rFonts w:ascii="Arial" w:cs="Arial" w:eastAsia="Arial" w:hAnsi="Arial"/>
                <w:sz w:val="16"/>
                <w:szCs w:val="16"/>
                <w:color w:val="00004D"/>
              </w:rPr>
              <w:t>Cash Flow from Operating Activities</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3,056</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5,415</w:t>
            </w:r>
          </w:p>
        </w:tc>
        <w:tc>
          <w:tcPr>
            <w:tcW w:w="580" w:type="dxa"/>
            <w:vAlign w:val="bottom"/>
          </w:tcPr>
          <w:p>
            <w:pPr>
              <w:jc w:val="right"/>
              <w:spacing w:after="0"/>
              <w:rPr>
                <w:sz w:val="20"/>
                <w:szCs w:val="20"/>
                <w:color w:val="auto"/>
              </w:rPr>
            </w:pPr>
            <w:r>
              <w:rPr>
                <w:rFonts w:ascii="Arial" w:cs="Arial" w:eastAsia="Arial" w:hAnsi="Arial"/>
                <w:sz w:val="16"/>
                <w:szCs w:val="16"/>
                <w:color w:val="auto"/>
              </w:rPr>
              <w:t>6,342</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8,453</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6,094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tcPr>
          <w:p>
            <w:pPr>
              <w:ind w:left="60"/>
              <w:spacing w:after="0"/>
              <w:rPr>
                <w:sz w:val="20"/>
                <w:szCs w:val="20"/>
                <w:color w:val="auto"/>
              </w:rPr>
            </w:pPr>
            <w:r>
              <w:rPr>
                <w:rFonts w:ascii="Arial" w:cs="Arial" w:eastAsia="Arial" w:hAnsi="Arial"/>
                <w:sz w:val="16"/>
                <w:szCs w:val="16"/>
                <w:color w:val="00004D"/>
              </w:rPr>
              <w:t>Total Assets</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104,549</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96,463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84,460</w:t>
            </w:r>
          </w:p>
        </w:tc>
        <w:tc>
          <w:tcPr>
            <w:tcW w:w="6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92,925</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00004D"/>
              </w:rPr>
              <w:t>81,776</w:t>
            </w:r>
          </w:p>
        </w:tc>
        <w:tc>
          <w:tcPr>
            <w:tcW w:w="0" w:type="dxa"/>
            <w:vAlign w:val="bottom"/>
          </w:tcPr>
          <w:p>
            <w:pPr>
              <w:spacing w:after="0"/>
              <w:rPr>
                <w:sz w:val="1"/>
                <w:szCs w:val="1"/>
                <w:color w:val="auto"/>
              </w:rPr>
            </w:pPr>
          </w:p>
        </w:tc>
      </w:tr>
      <w:tr>
        <w:trPr>
          <w:trHeight w:val="282"/>
        </w:trPr>
        <w:tc>
          <w:tcPr>
            <w:tcW w:w="3540" w:type="dxa"/>
            <w:vAlign w:val="bottom"/>
          </w:tcPr>
          <w:p>
            <w:pPr>
              <w:ind w:left="60"/>
              <w:spacing w:after="0"/>
              <w:rPr>
                <w:sz w:val="20"/>
                <w:szCs w:val="20"/>
                <w:color w:val="auto"/>
              </w:rPr>
            </w:pPr>
            <w:r>
              <w:rPr>
                <w:rFonts w:ascii="Arial" w:cs="Arial" w:eastAsia="Arial" w:hAnsi="Arial"/>
                <w:sz w:val="16"/>
                <w:szCs w:val="16"/>
                <w:color w:val="00004D"/>
              </w:rPr>
              <w:t>Total Liabilities</w:t>
            </w:r>
          </w:p>
        </w:tc>
        <w:tc>
          <w:tcPr>
            <w:tcW w:w="1480" w:type="dxa"/>
            <w:vAlign w:val="bottom"/>
            <w:gridSpan w:val="3"/>
          </w:tcPr>
          <w:p>
            <w:pPr>
              <w:jc w:val="right"/>
              <w:ind w:right="600"/>
              <w:spacing w:after="0"/>
              <w:rPr>
                <w:sz w:val="20"/>
                <w:szCs w:val="20"/>
                <w:color w:val="auto"/>
              </w:rPr>
            </w:pPr>
            <w:r>
              <w:rPr>
                <w:rFonts w:ascii="Arial" w:cs="Arial" w:eastAsia="Arial" w:hAnsi="Arial"/>
                <w:sz w:val="16"/>
                <w:szCs w:val="16"/>
                <w:color w:val="auto"/>
              </w:rPr>
              <w:t>53,464</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49,590</w:t>
            </w: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41,858</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56,951</w:t>
            </w:r>
          </w:p>
        </w:tc>
        <w:tc>
          <w:tcPr>
            <w:tcW w:w="1080" w:type="dxa"/>
            <w:vAlign w:val="bottom"/>
            <w:gridSpan w:val="3"/>
          </w:tcPr>
          <w:p>
            <w:pPr>
              <w:jc w:val="right"/>
              <w:ind w:right="260"/>
              <w:spacing w:after="0"/>
              <w:rPr>
                <w:sz w:val="20"/>
                <w:szCs w:val="20"/>
                <w:color w:val="auto"/>
              </w:rPr>
            </w:pPr>
            <w:r>
              <w:rPr>
                <w:rFonts w:ascii="Arial" w:cs="Arial" w:eastAsia="Arial" w:hAnsi="Arial"/>
                <w:sz w:val="16"/>
                <w:szCs w:val="16"/>
                <w:color w:val="00004D"/>
              </w:rPr>
              <w:t>52,516</w:t>
            </w:r>
          </w:p>
        </w:tc>
        <w:tc>
          <w:tcPr>
            <w:tcW w:w="0" w:type="dxa"/>
            <w:vAlign w:val="bottom"/>
          </w:tcPr>
          <w:p>
            <w:pPr>
              <w:spacing w:after="0"/>
              <w:rPr>
                <w:sz w:val="1"/>
                <w:szCs w:val="1"/>
                <w:color w:val="auto"/>
              </w:rPr>
            </w:pPr>
          </w:p>
        </w:tc>
      </w:tr>
      <w:tr>
        <w:trPr>
          <w:trHeight w:val="282"/>
        </w:trPr>
        <w:tc>
          <w:tcPr>
            <w:tcW w:w="3540" w:type="dxa"/>
            <w:vAlign w:val="bottom"/>
          </w:tcPr>
          <w:p>
            <w:pPr>
              <w:ind w:left="60"/>
              <w:spacing w:after="0"/>
              <w:rPr>
                <w:sz w:val="20"/>
                <w:szCs w:val="20"/>
                <w:color w:val="auto"/>
              </w:rPr>
            </w:pPr>
            <w:r>
              <w:rPr>
                <w:rFonts w:ascii="Arial" w:cs="Arial" w:eastAsia="Arial" w:hAnsi="Arial"/>
                <w:sz w:val="16"/>
                <w:szCs w:val="16"/>
                <w:color w:val="00004D"/>
              </w:rPr>
              <w:t>Total Equity</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51,085</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46,873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42,602</w:t>
            </w:r>
          </w:p>
        </w:tc>
        <w:tc>
          <w:tcPr>
            <w:tcW w:w="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35,974</w:t>
            </w: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00004D"/>
              </w:rPr>
              <w:t>29,260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340" w:right="3360"/>
        <w:spacing w:after="0" w:line="300" w:lineRule="auto"/>
        <w:rPr>
          <w:sz w:val="20"/>
          <w:szCs w:val="20"/>
          <w:color w:val="auto"/>
        </w:rPr>
      </w:pPr>
      <w:r>
        <w:rPr>
          <w:rFonts w:ascii="Arial" w:cs="Arial" w:eastAsia="Arial" w:hAnsi="Arial"/>
          <w:sz w:val="18"/>
          <w:szCs w:val="18"/>
          <w:color w:val="auto"/>
        </w:rPr>
        <w:t xml:space="preserve">Reconciliation of Net Income (Loss) Attributable to Common Shareholders to Adjusted Earnings and Adjusted Diluted Earnings Per Share </w:t>
      </w:r>
      <w:r>
        <w:rPr>
          <w:rFonts w:ascii="Arial" w:cs="Arial" w:eastAsia="Arial" w:hAnsi="Arial"/>
          <w:sz w:val="10"/>
          <w:szCs w:val="10"/>
          <w:color w:val="auto"/>
        </w:rPr>
        <w:t>(1)</w:t>
      </w:r>
      <w:r>
        <w:rPr>
          <w:rFonts w:ascii="Arial" w:cs="Arial" w:eastAsia="Arial" w:hAnsi="Arial"/>
          <w:sz w:val="18"/>
          <w:szCs w:val="18"/>
          <w:color w:val="auto"/>
        </w:rPr>
        <w:t xml:space="preserv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6003925</wp:posOffset>
            </wp:positionH>
            <wp:positionV relativeFrom="paragraph">
              <wp:posOffset>213995</wp:posOffset>
            </wp:positionV>
            <wp:extent cx="711200" cy="2985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8">
                      <a:extLst>
                        <a:ext uri="{28A0092B-C50C-407E-A947-70E740481C1C}"/>
                      </a:extLst>
                    </a:blip>
                    <a:srcRect/>
                    <a:stretch>
                      <a:fillRect/>
                    </a:stretch>
                  </pic:blipFill>
                  <pic:spPr bwMode="auto">
                    <a:xfrm>
                      <a:off x="0" y="0"/>
                      <a:ext cx="711200" cy="2985135"/>
                    </a:xfrm>
                    <a:prstGeom prst="rect">
                      <a:avLst/>
                    </a:prstGeom>
                    <a:noFill/>
                  </pic:spPr>
                </pic:pic>
              </a:graphicData>
            </a:graphic>
          </wp:anchor>
        </w:drawing>
      </w:r>
    </w:p>
    <w:p>
      <w:pPr>
        <w:spacing w:after="0" w:line="390" w:lineRule="exact"/>
        <w:rPr>
          <w:sz w:val="20"/>
          <w:szCs w:val="20"/>
          <w:color w:val="auto"/>
        </w:rPr>
      </w:pPr>
    </w:p>
    <w:tbl>
      <w:tblPr>
        <w:tblLayout w:type="fixed"/>
        <w:tblInd w:w="1280" w:type="dxa"/>
        <w:tblCellMar>
          <w:top w:w="0" w:type="dxa"/>
          <w:left w:w="0" w:type="dxa"/>
          <w:bottom w:w="0" w:type="dxa"/>
          <w:right w:w="0" w:type="dxa"/>
        </w:tblCellMar>
      </w:tblPr>
      <w:tr>
        <w:trPr>
          <w:trHeight w:val="219"/>
        </w:trPr>
        <w:tc>
          <w:tcPr>
            <w:tcW w:w="3520" w:type="dxa"/>
            <w:vAlign w:val="bottom"/>
          </w:tcPr>
          <w:p>
            <w:pPr>
              <w:ind w:left="60"/>
              <w:spacing w:after="0"/>
              <w:rPr>
                <w:sz w:val="20"/>
                <w:szCs w:val="20"/>
                <w:color w:val="auto"/>
              </w:rPr>
            </w:pPr>
            <w:r>
              <w:rPr>
                <w:rFonts w:ascii="Arial" w:cs="Arial" w:eastAsia="Arial" w:hAnsi="Arial"/>
                <w:sz w:val="16"/>
                <w:szCs w:val="16"/>
                <w:color w:val="auto"/>
              </w:rPr>
              <w:t>(dollars in thousands except per share data)</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2020</w:t>
            </w:r>
          </w:p>
        </w:tc>
        <w:tc>
          <w:tcPr>
            <w:tcW w:w="60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00004D"/>
              </w:rPr>
              <w:t>2023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3520" w:type="dxa"/>
            <w:vAlign w:val="bottom"/>
            <w:tcBorders>
              <w:bottom w:val="single" w:sz="8" w:color="00004D"/>
            </w:tcBorders>
          </w:tcPr>
          <w:p>
            <w:pPr>
              <w:spacing w:after="0"/>
              <w:rPr>
                <w:sz w:val="6"/>
                <w:szCs w:val="6"/>
                <w:color w:val="auto"/>
              </w:rPr>
            </w:pPr>
          </w:p>
        </w:tc>
        <w:tc>
          <w:tcPr>
            <w:tcW w:w="400" w:type="dxa"/>
            <w:vAlign w:val="bottom"/>
            <w:tcBorders>
              <w:bottom w:val="single" w:sz="8" w:color="00004D"/>
            </w:tcBorders>
          </w:tcPr>
          <w:p>
            <w:pPr>
              <w:spacing w:after="0"/>
              <w:rPr>
                <w:sz w:val="6"/>
                <w:szCs w:val="6"/>
                <w:color w:val="auto"/>
              </w:rPr>
            </w:pPr>
          </w:p>
        </w:tc>
        <w:tc>
          <w:tcPr>
            <w:tcW w:w="5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3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600" w:type="dxa"/>
            <w:vAlign w:val="bottom"/>
            <w:tcBorders>
              <w:bottom w:val="single" w:sz="8" w:color="00004D"/>
            </w:tcBorders>
          </w:tcPr>
          <w:p>
            <w:pPr>
              <w:spacing w:after="0"/>
              <w:rPr>
                <w:sz w:val="6"/>
                <w:szCs w:val="6"/>
                <w:color w:val="auto"/>
              </w:rPr>
            </w:pPr>
          </w:p>
        </w:tc>
        <w:tc>
          <w:tcPr>
            <w:tcW w:w="58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320" w:type="dxa"/>
            <w:vAlign w:val="bottom"/>
            <w:tcBorders>
              <w:bottom w:val="single" w:sz="8" w:color="00004D"/>
            </w:tcBorders>
          </w:tcPr>
          <w:p>
            <w:pPr>
              <w:spacing w:after="0"/>
              <w:rPr>
                <w:sz w:val="6"/>
                <w:szCs w:val="6"/>
                <w:color w:val="auto"/>
              </w:rPr>
            </w:pPr>
          </w:p>
        </w:tc>
        <w:tc>
          <w:tcPr>
            <w:tcW w:w="54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340" w:type="dxa"/>
            <w:vAlign w:val="bottom"/>
            <w:tcBorders>
              <w:bottom w:val="single" w:sz="8" w:color="00004D"/>
            </w:tcBorders>
          </w:tcPr>
          <w:p>
            <w:pPr>
              <w:spacing w:after="0"/>
              <w:rPr>
                <w:sz w:val="6"/>
                <w:szCs w:val="6"/>
                <w:color w:val="auto"/>
              </w:rPr>
            </w:pPr>
          </w:p>
        </w:tc>
        <w:tc>
          <w:tcPr>
            <w:tcW w:w="460" w:type="dxa"/>
            <w:vAlign w:val="bottom"/>
            <w:tcBorders>
              <w:bottom w:val="single" w:sz="8" w:color="00004D"/>
            </w:tcBorders>
          </w:tcPr>
          <w:p>
            <w:pPr>
              <w:spacing w:after="0"/>
              <w:rPr>
                <w:sz w:val="6"/>
                <w:szCs w:val="6"/>
                <w:color w:val="auto"/>
              </w:rPr>
            </w:pPr>
          </w:p>
        </w:tc>
        <w:tc>
          <w:tcPr>
            <w:tcW w:w="280" w:type="dxa"/>
            <w:vAlign w:val="bottom"/>
            <w:tcBorders>
              <w:bottom w:val="single" w:sz="8" w:color="00004D"/>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520" w:type="dxa"/>
            <w:vAlign w:val="bottom"/>
          </w:tcPr>
          <w:p>
            <w:pPr>
              <w:ind w:left="60"/>
              <w:spacing w:after="0"/>
              <w:rPr>
                <w:sz w:val="20"/>
                <w:szCs w:val="20"/>
                <w:color w:val="auto"/>
              </w:rPr>
            </w:pPr>
            <w:r>
              <w:rPr>
                <w:rFonts w:ascii="Arial" w:cs="Arial" w:eastAsia="Arial" w:hAnsi="Arial"/>
                <w:sz w:val="16"/>
                <w:szCs w:val="16"/>
                <w:color w:val="00004D"/>
              </w:rPr>
              <w:t>Net Income (Loss) from Continuing</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520" w:type="dxa"/>
            <w:vAlign w:val="bottom"/>
          </w:tcPr>
          <w:p>
            <w:pPr>
              <w:ind w:left="200"/>
              <w:spacing w:after="0"/>
              <w:rPr>
                <w:sz w:val="20"/>
                <w:szCs w:val="20"/>
                <w:color w:val="auto"/>
              </w:rPr>
            </w:pPr>
            <w:r>
              <w:rPr>
                <w:rFonts w:ascii="Arial" w:cs="Arial" w:eastAsia="Arial" w:hAnsi="Arial"/>
                <w:sz w:val="16"/>
                <w:szCs w:val="16"/>
                <w:color w:val="00004D"/>
              </w:rPr>
              <w:t>Operations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($3,538)</w:t>
            </w: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($6,625)</w:t>
            </w:r>
          </w:p>
        </w:tc>
        <w:tc>
          <w:tcPr>
            <w:tcW w:w="60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w w:val="93"/>
              </w:rPr>
              <w:t>($5,597)</w:t>
            </w:r>
          </w:p>
        </w:tc>
        <w:tc>
          <w:tcPr>
            <w:tcW w:w="1140" w:type="dxa"/>
            <w:vAlign w:val="bottom"/>
            <w:gridSpan w:val="3"/>
          </w:tcPr>
          <w:p>
            <w:pPr>
              <w:jc w:val="right"/>
              <w:ind w:right="280"/>
              <w:spacing w:after="0"/>
              <w:rPr>
                <w:sz w:val="20"/>
                <w:szCs w:val="20"/>
                <w:color w:val="auto"/>
              </w:rPr>
            </w:pPr>
            <w:r>
              <w:rPr>
                <w:rFonts w:ascii="Arial" w:cs="Arial" w:eastAsia="Arial" w:hAnsi="Arial"/>
                <w:sz w:val="16"/>
                <w:szCs w:val="16"/>
                <w:color w:val="auto"/>
              </w:rPr>
              <w:t>($5,650)</w:t>
            </w: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00004D"/>
              </w:rPr>
              <w:t>($6,331)</w:t>
            </w:r>
          </w:p>
        </w:tc>
        <w:tc>
          <w:tcPr>
            <w:tcW w:w="0" w:type="dxa"/>
            <w:vAlign w:val="bottom"/>
          </w:tcPr>
          <w:p>
            <w:pPr>
              <w:spacing w:after="0"/>
              <w:rPr>
                <w:sz w:val="1"/>
                <w:szCs w:val="1"/>
                <w:color w:val="auto"/>
              </w:rPr>
            </w:pPr>
          </w:p>
        </w:tc>
      </w:tr>
      <w:tr>
        <w:trPr>
          <w:trHeight w:val="242"/>
        </w:trPr>
        <w:tc>
          <w:tcPr>
            <w:tcW w:w="3520" w:type="dxa"/>
            <w:vAlign w:val="bottom"/>
          </w:tcPr>
          <w:p>
            <w:pPr>
              <w:ind w:left="60"/>
              <w:spacing w:after="0"/>
              <w:rPr>
                <w:sz w:val="20"/>
                <w:szCs w:val="20"/>
                <w:color w:val="auto"/>
              </w:rPr>
            </w:pPr>
            <w:r>
              <w:rPr>
                <w:rFonts w:ascii="Arial" w:cs="Arial" w:eastAsia="Arial" w:hAnsi="Arial"/>
                <w:sz w:val="16"/>
                <w:szCs w:val="16"/>
                <w:color w:val="00004D"/>
              </w:rPr>
              <w:t>Adjustments to Net Income (Loss)</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3520" w:type="dxa"/>
            <w:vAlign w:val="bottom"/>
          </w:tcPr>
          <w:p>
            <w:pPr>
              <w:ind w:left="260"/>
              <w:spacing w:after="0"/>
              <w:rPr>
                <w:sz w:val="20"/>
                <w:szCs w:val="20"/>
                <w:color w:val="auto"/>
              </w:rPr>
            </w:pPr>
            <w:r>
              <w:rPr>
                <w:rFonts w:ascii="Arial" w:cs="Arial" w:eastAsia="Arial" w:hAnsi="Arial"/>
                <w:sz w:val="16"/>
                <w:szCs w:val="16"/>
                <w:color w:val="00004D"/>
              </w:rPr>
              <w:t>Income Tax Expense (Benefit)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6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35</w:t>
            </w:r>
          </w:p>
        </w:tc>
        <w:tc>
          <w:tcPr>
            <w:tcW w:w="1140" w:type="dxa"/>
            <w:vAlign w:val="bottom"/>
            <w:gridSpan w:val="3"/>
          </w:tcPr>
          <w:p>
            <w:pPr>
              <w:jc w:val="right"/>
              <w:ind w:right="280"/>
              <w:spacing w:after="0"/>
              <w:rPr>
                <w:sz w:val="20"/>
                <w:szCs w:val="20"/>
                <w:color w:val="auto"/>
              </w:rPr>
            </w:pPr>
            <w:r>
              <w:rPr>
                <w:rFonts w:ascii="Arial" w:cs="Arial" w:eastAsia="Arial" w:hAnsi="Arial"/>
                <w:sz w:val="16"/>
                <w:szCs w:val="16"/>
                <w:color w:val="auto"/>
              </w:rPr>
              <w:t>69</w:t>
            </w:r>
          </w:p>
        </w:tc>
        <w:tc>
          <w:tcPr>
            <w:tcW w:w="800" w:type="dxa"/>
            <w:vAlign w:val="bottom"/>
            <w:gridSpan w:val="2"/>
          </w:tcPr>
          <w:p>
            <w:pPr>
              <w:jc w:val="right"/>
              <w:spacing w:after="0"/>
              <w:rPr>
                <w:sz w:val="20"/>
                <w:szCs w:val="20"/>
                <w:color w:val="auto"/>
              </w:rPr>
            </w:pPr>
            <w:r>
              <w:rPr>
                <w:rFonts w:ascii="Arial" w:cs="Arial" w:eastAsia="Arial" w:hAnsi="Arial"/>
                <w:sz w:val="16"/>
                <w:szCs w:val="16"/>
                <w:color w:val="00004D"/>
              </w:rPr>
              <w:t>46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Depreciation and Amortization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4,404</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4,749</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4,606</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5,328</w:t>
            </w: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00004D"/>
              </w:rPr>
              <w:t>8,280</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Share-Based Compensation</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1,486</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1,047</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742</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447</w:t>
            </w:r>
          </w:p>
        </w:tc>
        <w:tc>
          <w:tcPr>
            <w:tcW w:w="280" w:type="dxa"/>
            <w:vAlign w:val="bottom"/>
          </w:tcPr>
          <w:p>
            <w:pPr>
              <w:spacing w:after="0"/>
              <w:rPr>
                <w:sz w:val="24"/>
                <w:szCs w:val="24"/>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00004D"/>
              </w:rPr>
              <w:t>365</w:t>
            </w: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 xml:space="preserve">Other Adjustments to Net Income </w:t>
            </w:r>
            <w:r>
              <w:rPr>
                <w:rFonts w:ascii="Arial" w:cs="Arial" w:eastAsia="Arial" w:hAnsi="Arial"/>
                <w:sz w:val="9"/>
                <w:szCs w:val="9"/>
                <w:color w:val="00004D"/>
              </w:rPr>
              <w:t>(1)</w:t>
            </w:r>
          </w:p>
        </w:tc>
        <w:tc>
          <w:tcPr>
            <w:tcW w:w="4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440</w:t>
            </w:r>
          </w:p>
        </w:tc>
        <w:tc>
          <w:tcPr>
            <w:tcW w:w="60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(1,051)</w:t>
            </w:r>
          </w:p>
        </w:tc>
        <w:tc>
          <w:tcPr>
            <w:tcW w:w="1140" w:type="dxa"/>
            <w:vAlign w:val="bottom"/>
            <w:gridSpan w:val="3"/>
          </w:tcPr>
          <w:p>
            <w:pPr>
              <w:jc w:val="right"/>
              <w:ind w:right="280"/>
              <w:spacing w:after="0"/>
              <w:rPr>
                <w:sz w:val="20"/>
                <w:szCs w:val="20"/>
                <w:color w:val="auto"/>
              </w:rPr>
            </w:pPr>
            <w:r>
              <w:rPr>
                <w:rFonts w:ascii="Arial" w:cs="Arial" w:eastAsia="Arial" w:hAnsi="Arial"/>
                <w:sz w:val="16"/>
                <w:szCs w:val="16"/>
                <w:color w:val="auto"/>
              </w:rPr>
              <w:t>1,368</w:t>
            </w:r>
          </w:p>
        </w:tc>
        <w:tc>
          <w:tcPr>
            <w:tcW w:w="800" w:type="dxa"/>
            <w:vAlign w:val="bottom"/>
            <w:gridSpan w:val="2"/>
          </w:tcPr>
          <w:p>
            <w:pPr>
              <w:jc w:val="right"/>
              <w:spacing w:after="0"/>
              <w:rPr>
                <w:sz w:val="20"/>
                <w:szCs w:val="20"/>
                <w:color w:val="auto"/>
              </w:rPr>
            </w:pPr>
            <w:r>
              <w:rPr>
                <w:rFonts w:ascii="Arial" w:cs="Arial" w:eastAsia="Arial" w:hAnsi="Arial"/>
                <w:sz w:val="16"/>
                <w:szCs w:val="16"/>
                <w:color w:val="00004D"/>
              </w:rPr>
              <w:t>(347)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Interest Income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00004D"/>
              </w:rPr>
              <w:t>(287)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20" w:type="dxa"/>
            <w:vAlign w:val="bottom"/>
          </w:tcPr>
          <w:p>
            <w:pPr>
              <w:ind w:left="260"/>
              <w:spacing w:after="0"/>
              <w:rPr>
                <w:sz w:val="20"/>
                <w:szCs w:val="20"/>
                <w:color w:val="auto"/>
              </w:rPr>
            </w:pPr>
            <w:r>
              <w:rPr>
                <w:rFonts w:ascii="Arial" w:cs="Arial" w:eastAsia="Arial" w:hAnsi="Arial"/>
                <w:sz w:val="16"/>
                <w:szCs w:val="16"/>
                <w:color w:val="00004D"/>
              </w:rPr>
              <w:t>Interest Expense</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263</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586</w:t>
            </w: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00004D"/>
              </w:rPr>
              <w:t>668</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60"/>
              <w:spacing w:after="0"/>
              <w:rPr>
                <w:sz w:val="20"/>
                <w:szCs w:val="20"/>
                <w:color w:val="auto"/>
              </w:rPr>
            </w:pPr>
            <w:r>
              <w:rPr>
                <w:rFonts w:ascii="Arial" w:cs="Arial" w:eastAsia="Arial" w:hAnsi="Arial"/>
                <w:sz w:val="16"/>
                <w:szCs w:val="16"/>
                <w:color w:val="00004D"/>
              </w:rPr>
              <w:t>Adjusted Earnings</w:t>
            </w: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2,276)</w:t>
            </w:r>
          </w:p>
        </w:tc>
        <w:tc>
          <w:tcPr>
            <w:tcW w:w="300" w:type="dxa"/>
            <w:vAlign w:val="bottom"/>
          </w:tcPr>
          <w:p>
            <w:pPr>
              <w:spacing w:after="0"/>
              <w:rPr>
                <w:sz w:val="19"/>
                <w:szCs w:val="19"/>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($146)</w:t>
            </w:r>
          </w:p>
        </w:tc>
        <w:tc>
          <w:tcPr>
            <w:tcW w:w="600" w:type="dxa"/>
            <w:vAlign w:val="bottom"/>
          </w:tcPr>
          <w:p>
            <w:pPr>
              <w:spacing w:after="0"/>
              <w:rPr>
                <w:sz w:val="19"/>
                <w:szCs w:val="19"/>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6"/>
                <w:szCs w:val="16"/>
                <w:color w:val="auto"/>
                <w:w w:val="93"/>
              </w:rPr>
              <w:t>($1,193)</w:t>
            </w:r>
          </w:p>
        </w:tc>
        <w:tc>
          <w:tcPr>
            <w:tcW w:w="1140" w:type="dxa"/>
            <w:vAlign w:val="bottom"/>
            <w:gridSpan w:val="3"/>
            <w:vMerge w:val="restart"/>
          </w:tcPr>
          <w:p>
            <w:pPr>
              <w:jc w:val="right"/>
              <w:ind w:right="2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2,050</w:t>
            </w:r>
          </w:p>
        </w:tc>
        <w:tc>
          <w:tcPr>
            <w:tcW w:w="1080" w:type="dxa"/>
            <w:vAlign w:val="bottom"/>
            <w:gridSpan w:val="3"/>
            <w:vMerge w:val="restart"/>
          </w:tcPr>
          <w:p>
            <w:pPr>
              <w:jc w:val="right"/>
              <w:ind w:right="280"/>
              <w:spacing w:after="0"/>
              <w:rPr>
                <w:sz w:val="20"/>
                <w:szCs w:val="20"/>
                <w:color w:val="auto"/>
              </w:rPr>
            </w:pPr>
            <w:r>
              <w:rPr>
                <w:rFonts w:ascii="Arial" w:cs="Arial" w:eastAsia="Arial" w:hAnsi="Arial"/>
                <w:sz w:val="16"/>
                <w:szCs w:val="16"/>
                <w:u w:val="single" w:color="auto"/>
                <w:color w:val="00004D"/>
              </w:rPr>
              <w:t>$</w:t>
            </w:r>
            <w:r>
              <w:rPr>
                <w:rFonts w:ascii="Arial" w:cs="Arial" w:eastAsia="Arial" w:hAnsi="Arial"/>
                <w:sz w:val="16"/>
                <w:szCs w:val="16"/>
                <w:color w:val="00004D"/>
              </w:rPr>
              <w:t>2,394</w:t>
            </w:r>
          </w:p>
        </w:tc>
        <w:tc>
          <w:tcPr>
            <w:tcW w:w="0" w:type="dxa"/>
            <w:vAlign w:val="bottom"/>
          </w:tcPr>
          <w:p>
            <w:pPr>
              <w:spacing w:after="0"/>
              <w:rPr>
                <w:sz w:val="1"/>
                <w:szCs w:val="1"/>
                <w:color w:val="auto"/>
              </w:rPr>
            </w:pPr>
          </w:p>
        </w:tc>
      </w:tr>
      <w:tr>
        <w:trPr>
          <w:trHeight w:val="170"/>
        </w:trPr>
        <w:tc>
          <w:tcPr>
            <w:tcW w:w="35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4D"/>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520" w:type="dxa"/>
            <w:vAlign w:val="bottom"/>
          </w:tcPr>
          <w:p>
            <w:pPr>
              <w:ind w:left="60"/>
              <w:spacing w:after="0"/>
              <w:rPr>
                <w:sz w:val="20"/>
                <w:szCs w:val="20"/>
                <w:color w:val="auto"/>
              </w:rPr>
            </w:pPr>
            <w:r>
              <w:rPr>
                <w:rFonts w:ascii="Arial" w:cs="Arial" w:eastAsia="Arial" w:hAnsi="Arial"/>
                <w:sz w:val="16"/>
                <w:szCs w:val="16"/>
                <w:color w:val="00004D"/>
              </w:rPr>
              <w:t>Adjusted Diluted Earnings per Share</w:t>
            </w:r>
          </w:p>
        </w:tc>
        <w:tc>
          <w:tcPr>
            <w:tcW w:w="4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4"/>
              </w:rPr>
              <w:t>($0.32)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($0.01)</w:t>
            </w:r>
          </w:p>
        </w:tc>
        <w:tc>
          <w:tcPr>
            <w:tcW w:w="6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$0.14</w:t>
            </w:r>
          </w:p>
        </w:tc>
        <w:tc>
          <w:tcPr>
            <w:tcW w:w="1080" w:type="dxa"/>
            <w:vAlign w:val="bottom"/>
            <w:gridSpan w:val="3"/>
          </w:tcPr>
          <w:p>
            <w:pPr>
              <w:jc w:val="right"/>
              <w:ind w:right="280"/>
              <w:spacing w:after="0"/>
              <w:rPr>
                <w:sz w:val="20"/>
                <w:szCs w:val="20"/>
                <w:color w:val="auto"/>
              </w:rPr>
            </w:pPr>
            <w:r>
              <w:rPr>
                <w:rFonts w:ascii="Arial" w:cs="Arial" w:eastAsia="Arial" w:hAnsi="Arial"/>
                <w:sz w:val="16"/>
                <w:szCs w:val="16"/>
                <w:color w:val="00004D"/>
              </w:rPr>
              <w:t>$0.17</w:t>
            </w:r>
          </w:p>
        </w:tc>
        <w:tc>
          <w:tcPr>
            <w:tcW w:w="0" w:type="dxa"/>
            <w:vAlign w:val="bottom"/>
          </w:tcPr>
          <w:p>
            <w:pPr>
              <w:spacing w:after="0"/>
              <w:rPr>
                <w:sz w:val="1"/>
                <w:szCs w:val="1"/>
                <w:color w:val="auto"/>
              </w:rPr>
            </w:pPr>
          </w:p>
        </w:tc>
      </w:tr>
      <w:tr>
        <w:trPr>
          <w:trHeight w:val="393"/>
        </w:trPr>
        <w:tc>
          <w:tcPr>
            <w:tcW w:w="3520" w:type="dxa"/>
            <w:vAlign w:val="bottom"/>
          </w:tcPr>
          <w:p>
            <w:pPr>
              <w:ind w:left="60"/>
              <w:spacing w:after="0"/>
              <w:rPr>
                <w:sz w:val="20"/>
                <w:szCs w:val="20"/>
                <w:color w:val="auto"/>
              </w:rPr>
            </w:pPr>
            <w:r>
              <w:rPr>
                <w:rFonts w:ascii="Arial" w:cs="Arial" w:eastAsia="Arial" w:hAnsi="Arial"/>
                <w:sz w:val="16"/>
                <w:szCs w:val="16"/>
                <w:color w:val="00004D"/>
              </w:rPr>
              <w:t>Diluted Weighted-Average Common</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20" w:type="dxa"/>
            <w:vAlign w:val="bottom"/>
          </w:tcPr>
          <w:p>
            <w:pPr>
              <w:ind w:left="200"/>
              <w:spacing w:after="0"/>
              <w:rPr>
                <w:sz w:val="20"/>
                <w:szCs w:val="20"/>
                <w:color w:val="auto"/>
              </w:rPr>
            </w:pPr>
            <w:r>
              <w:rPr>
                <w:rFonts w:ascii="Arial" w:cs="Arial" w:eastAsia="Arial" w:hAnsi="Arial"/>
                <w:sz w:val="16"/>
                <w:szCs w:val="16"/>
                <w:color w:val="00004D"/>
              </w:rPr>
              <w:t>Shares Outstanding:</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15,764</w:t>
            </w: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15,162</w:t>
            </w:r>
          </w:p>
        </w:tc>
        <w:tc>
          <w:tcPr>
            <w:tcW w:w="6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14,905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14,809</w:t>
            </w:r>
          </w:p>
        </w:tc>
        <w:tc>
          <w:tcPr>
            <w:tcW w:w="2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00004D"/>
              </w:rPr>
              <w:t>14,526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(1) The supplemental financial measures are Non-GAAP as defined, the reconciliation of these supplemental measures is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-215265</wp:posOffset>
                </wp:positionH>
                <wp:positionV relativeFrom="paragraph">
                  <wp:posOffset>524510</wp:posOffset>
                </wp:positionV>
                <wp:extent cx="15544165" cy="20383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44165" cy="203835"/>
                        </a:xfrm>
                        <a:prstGeom prst="rect">
                          <a:avLst/>
                        </a:prstGeom>
                        <a:solidFill>
                          <a:srgbClr val="EBF0F4"/>
                        </a:solidFill>
                      </wps:spPr>
                      <wps:bodyPr/>
                    </wps:wsp>
                  </a:graphicData>
                </a:graphic>
              </wp:anchor>
            </w:drawing>
          </mc:Choice>
          <mc:Fallback>
            <w:pict>
              <v:rect id="Shape 46" o:spid="_x0000_s1071" style="position:absolute;margin-left:-16.9499pt;margin-top:41.3pt;width:1223.95pt;height:16.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BF0F4" stroked="f"/>
            </w:pict>
          </mc:Fallback>
        </mc:AlternateContent>
        <mc:AlternateContent>
          <mc:Choice Requires="wps">
            <w:drawing>
              <wp:anchor simplePos="0" relativeHeight="251657728" behindDoc="1" locked="0" layoutInCell="0" allowOverlap="1">
                <wp:simplePos x="0" y="0"/>
                <wp:positionH relativeFrom="column">
                  <wp:posOffset>154305</wp:posOffset>
                </wp:positionH>
                <wp:positionV relativeFrom="paragraph">
                  <wp:posOffset>505460</wp:posOffset>
                </wp:positionV>
                <wp:extent cx="0" cy="24447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4475"/>
                        </a:xfrm>
                        <a:prstGeom prst="line">
                          <a:avLst/>
                        </a:prstGeom>
                        <a:solidFill>
                          <a:srgbClr val="FFFFFF"/>
                        </a:solidFill>
                        <a:ln w="20116">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15pt,39.8pt" to="12.15pt,59.05pt" o:allowincell="f" strokecolor="#FFFFFF" strokeweight="1.5839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54"/>
          <w:szCs w:val="54"/>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-3298825</wp:posOffset>
            </wp:positionV>
            <wp:extent cx="7772400" cy="3653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9">
                      <a:extLst>
                        <a:ext uri="{28A0092B-C50C-407E-A947-70E740481C1C}"/>
                      </a:extLst>
                    </a:blip>
                    <a:srcRect/>
                    <a:stretch>
                      <a:fillRect/>
                    </a:stretch>
                  </pic:blipFill>
                  <pic:spPr bwMode="auto">
                    <a:xfrm>
                      <a:off x="0" y="0"/>
                      <a:ext cx="7772400" cy="3653155"/>
                    </a:xfrm>
                    <a:prstGeom prst="rect">
                      <a:avLst/>
                    </a:prstGeom>
                    <a:noFill/>
                  </pic:spPr>
                </pic:pic>
              </a:graphicData>
            </a:graphic>
          </wp:anchor>
        </w:drawing>
        <w:drawing>
          <wp:anchor simplePos="0" relativeHeight="251657728" behindDoc="1" locked="0" layoutInCell="0" allowOverlap="1">
            <wp:simplePos x="0" y="0"/>
            <wp:positionH relativeFrom="column">
              <wp:posOffset>463550</wp:posOffset>
            </wp:positionH>
            <wp:positionV relativeFrom="paragraph">
              <wp:posOffset>862965</wp:posOffset>
            </wp:positionV>
            <wp:extent cx="929640" cy="1170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0">
                      <a:extLst>
                        <a:ext uri="{28A0092B-C50C-407E-A947-70E740481C1C}"/>
                      </a:extLst>
                    </a:blip>
                    <a:srcRect/>
                    <a:stretch>
                      <a:fillRect/>
                    </a:stretch>
                  </pic:blipFill>
                  <pic:spPr bwMode="auto">
                    <a:xfrm>
                      <a:off x="0" y="0"/>
                      <a:ext cx="929640" cy="117030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862965</wp:posOffset>
            </wp:positionV>
            <wp:extent cx="929640" cy="1170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extLst>
                        <a:ext uri="{28A0092B-C50C-407E-A947-70E740481C1C}"/>
                      </a:extLst>
                    </a:blip>
                    <a:srcRect/>
                    <a:stretch>
                      <a:fillRect/>
                    </a:stretch>
                  </pic:blipFill>
                  <pic:spPr bwMode="auto">
                    <a:xfrm>
                      <a:off x="0" y="0"/>
                      <a:ext cx="92964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23"/>
          <w:szCs w:val="23"/>
          <w:b w:val="1"/>
          <w:bCs w:val="1"/>
          <w:color w:val="377FA7"/>
        </w:rPr>
        <w:t>A.J. Kazimi</w:t>
      </w:r>
      <w:r>
        <w:rPr>
          <w:sz w:val="20"/>
          <w:szCs w:val="20"/>
          <w:color w:val="auto"/>
        </w:rPr>
        <w:tab/>
      </w:r>
      <w:r>
        <w:rPr>
          <w:rFonts w:ascii="Arial" w:cs="Arial" w:eastAsia="Arial" w:hAnsi="Arial"/>
          <w:sz w:val="21"/>
          <w:szCs w:val="21"/>
          <w:b w:val="1"/>
          <w:bCs w:val="1"/>
          <w:color w:val="377FA7"/>
        </w:rPr>
        <w:t>James R. Jones</w:t>
      </w:r>
    </w:p>
    <w:p>
      <w:pPr>
        <w:ind w:left="2340"/>
        <w:spacing w:after="0"/>
        <w:tabs>
          <w:tab w:leader="none" w:pos="7300" w:val="left"/>
        </w:tabs>
        <w:rPr>
          <w:sz w:val="20"/>
          <w:szCs w:val="20"/>
          <w:color w:val="auto"/>
        </w:rPr>
      </w:pPr>
      <w:r>
        <w:rPr>
          <w:rFonts w:ascii="Arial" w:cs="Arial" w:eastAsia="Arial" w:hAnsi="Arial"/>
          <w:sz w:val="20"/>
          <w:szCs w:val="20"/>
          <w:b w:val="1"/>
          <w:bCs w:val="1"/>
          <w:color w:val="377FA7"/>
        </w:rPr>
        <w:t>Chairman</w:t>
      </w:r>
      <w:r>
        <w:rPr>
          <w:sz w:val="20"/>
          <w:szCs w:val="20"/>
          <w:color w:val="auto"/>
        </w:rPr>
        <w:tab/>
      </w:r>
      <w:r>
        <w:rPr>
          <w:rFonts w:ascii="Arial" w:cs="Arial" w:eastAsia="Arial" w:hAnsi="Arial"/>
          <w:sz w:val="20"/>
          <w:szCs w:val="20"/>
          <w:b w:val="1"/>
          <w:bCs w:val="1"/>
          <w:color w:val="377FA7"/>
        </w:rPr>
        <w:t>Director</w:t>
      </w:r>
    </w:p>
    <w:p>
      <w:pPr>
        <w:spacing w:after="0" w:line="35"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6"/>
          <w:szCs w:val="16"/>
          <w:color w:val="00004D"/>
        </w:rPr>
        <w:t>Chief Executive Officer</w:t>
      </w:r>
      <w:r>
        <w:rPr>
          <w:sz w:val="20"/>
          <w:szCs w:val="20"/>
          <w:color w:val="auto"/>
        </w:rPr>
        <w:tab/>
      </w:r>
      <w:r>
        <w:rPr>
          <w:rFonts w:ascii="Arial" w:cs="Arial" w:eastAsia="Arial" w:hAnsi="Arial"/>
          <w:sz w:val="16"/>
          <w:szCs w:val="16"/>
          <w:color w:val="00004D"/>
        </w:rPr>
        <w:t>Former Managing Partner</w:t>
      </w:r>
    </w:p>
    <w:p>
      <w:pPr>
        <w:spacing w:after="0" w:line="38"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auto"/>
        </w:rPr>
        <w:t>Cumberland Pharmaceuticals</w:t>
      </w:r>
      <w:r>
        <w:rPr>
          <w:sz w:val="20"/>
          <w:szCs w:val="20"/>
          <w:color w:val="auto"/>
        </w:rPr>
        <w:tab/>
      </w:r>
      <w:r>
        <w:rPr>
          <w:rFonts w:ascii="Arial" w:cs="Arial" w:eastAsia="Arial" w:hAnsi="Arial"/>
          <w:sz w:val="14"/>
          <w:szCs w:val="14"/>
          <w:color w:val="auto"/>
        </w:rPr>
        <w:t>KPMG LLP-Nashville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448310</wp:posOffset>
            </wp:positionV>
            <wp:extent cx="929640" cy="1170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a:extLst>
                        <a:ext uri="{28A0092B-C50C-407E-A947-70E740481C1C}"/>
                      </a:extLst>
                    </a:blip>
                    <a:srcRect/>
                    <a:stretch>
                      <a:fillRect/>
                    </a:stretch>
                  </pic:blipFill>
                  <pic:spPr bwMode="auto">
                    <a:xfrm>
                      <a:off x="0" y="0"/>
                      <a:ext cx="929640" cy="117030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448310</wp:posOffset>
            </wp:positionV>
            <wp:extent cx="929640" cy="1170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3">
                      <a:extLst>
                        <a:ext uri="{28A0092B-C50C-407E-A947-70E740481C1C}"/>
                      </a:extLst>
                    </a:blip>
                    <a:srcRect/>
                    <a:stretch>
                      <a:fillRect/>
                    </a:stretch>
                  </pic:blipFill>
                  <pic:spPr bwMode="auto">
                    <a:xfrm>
                      <a:off x="0" y="0"/>
                      <a:ext cx="92964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23"/>
          <w:szCs w:val="23"/>
          <w:b w:val="1"/>
          <w:bCs w:val="1"/>
          <w:color w:val="377FA7"/>
        </w:rPr>
        <w:t>Dr. Gordon R. Bernard</w:t>
      </w:r>
      <w:r>
        <w:rPr>
          <w:sz w:val="20"/>
          <w:szCs w:val="20"/>
          <w:color w:val="auto"/>
        </w:rPr>
        <w:tab/>
      </w:r>
      <w:r>
        <w:rPr>
          <w:rFonts w:ascii="Arial" w:cs="Arial" w:eastAsia="Arial" w:hAnsi="Arial"/>
          <w:sz w:val="22"/>
          <w:szCs w:val="22"/>
          <w:b w:val="1"/>
          <w:bCs w:val="1"/>
          <w:color w:val="377FA7"/>
        </w:rPr>
        <w:t>Kenneth J. Krogulski</w:t>
      </w:r>
    </w:p>
    <w:p>
      <w:pPr>
        <w:ind w:left="2340"/>
        <w:spacing w:after="0"/>
        <w:tabs>
          <w:tab w:leader="none" w:pos="7300" w:val="left"/>
        </w:tabs>
        <w:rPr>
          <w:sz w:val="20"/>
          <w:szCs w:val="20"/>
          <w:color w:val="auto"/>
        </w:rPr>
      </w:pPr>
      <w:r>
        <w:rPr>
          <w:rFonts w:ascii="Arial" w:cs="Arial" w:eastAsia="Arial" w:hAnsi="Arial"/>
          <w:sz w:val="20"/>
          <w:szCs w:val="20"/>
          <w:b w:val="1"/>
          <w:bCs w:val="1"/>
          <w:color w:val="377FA7"/>
        </w:rPr>
        <w:t>Director</w:t>
      </w:r>
      <w:r>
        <w:rPr>
          <w:sz w:val="20"/>
          <w:szCs w:val="20"/>
          <w:color w:val="auto"/>
        </w:rPr>
        <w:tab/>
      </w:r>
      <w:r>
        <w:rPr>
          <w:rFonts w:ascii="Arial" w:cs="Arial" w:eastAsia="Arial" w:hAnsi="Arial"/>
          <w:sz w:val="20"/>
          <w:szCs w:val="20"/>
          <w:b w:val="1"/>
          <w:bCs w:val="1"/>
          <w:color w:val="377FA7"/>
        </w:rPr>
        <w:t xml:space="preserve">Lead </w:t>
      </w:r>
      <w:r>
        <w:rPr>
          <w:rFonts w:ascii="Arial" w:cs="Arial" w:eastAsia="Arial" w:hAnsi="Arial"/>
          <w:sz w:val="23"/>
          <w:szCs w:val="23"/>
          <w:b w:val="1"/>
          <w:bCs w:val="1"/>
          <w:color w:val="377FA7"/>
        </w:rPr>
        <w:t>Director</w:t>
      </w:r>
    </w:p>
    <w:p>
      <w:pPr>
        <w:spacing w:after="0" w:line="34"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6"/>
          <w:szCs w:val="16"/>
          <w:color w:val="00004D"/>
        </w:rPr>
        <w:t>Professor of Medicine</w:t>
      </w:r>
      <w:r>
        <w:rPr>
          <w:sz w:val="20"/>
          <w:szCs w:val="20"/>
          <w:color w:val="auto"/>
        </w:rPr>
        <w:tab/>
      </w:r>
      <w:r>
        <w:rPr>
          <w:rFonts w:ascii="Arial" w:cs="Arial" w:eastAsia="Arial" w:hAnsi="Arial"/>
          <w:sz w:val="16"/>
          <w:szCs w:val="16"/>
          <w:color w:val="00004D"/>
        </w:rPr>
        <w:t>Managing Partner and</w:t>
      </w:r>
    </w:p>
    <w:p>
      <w:pPr>
        <w:spacing w:after="0" w:line="36"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auto"/>
        </w:rPr>
        <w:t>Division of Pulmonary &amp; Critical Care Medicine</w:t>
      </w:r>
      <w:r>
        <w:rPr>
          <w:sz w:val="20"/>
          <w:szCs w:val="20"/>
          <w:color w:val="auto"/>
        </w:rPr>
        <w:tab/>
      </w:r>
      <w:r>
        <w:rPr>
          <w:rFonts w:ascii="Arial" w:cs="Arial" w:eastAsia="Arial" w:hAnsi="Arial"/>
          <w:sz w:val="16"/>
          <w:szCs w:val="16"/>
          <w:color w:val="00004D"/>
        </w:rPr>
        <w:t>Chief Investment Officer</w:t>
      </w:r>
    </w:p>
    <w:p>
      <w:pPr>
        <w:spacing w:after="0" w:line="28"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auto"/>
        </w:rPr>
        <w:t>Vanderbilt University Medical Center</w:t>
      </w:r>
      <w:r>
        <w:rPr>
          <w:sz w:val="20"/>
          <w:szCs w:val="20"/>
          <w:color w:val="auto"/>
        </w:rPr>
        <w:tab/>
      </w:r>
      <w:r>
        <w:rPr>
          <w:rFonts w:ascii="Arial" w:cs="Arial" w:eastAsia="Arial" w:hAnsi="Arial"/>
          <w:sz w:val="14"/>
          <w:szCs w:val="14"/>
          <w:color w:val="auto"/>
        </w:rPr>
        <w:t>Berkshire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392430</wp:posOffset>
            </wp:positionV>
            <wp:extent cx="929640" cy="1170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4">
                      <a:extLst>
                        <a:ext uri="{28A0092B-C50C-407E-A947-70E740481C1C}"/>
                      </a:extLst>
                    </a:blip>
                    <a:srcRect/>
                    <a:stretch>
                      <a:fillRect/>
                    </a:stretch>
                  </pic:blipFill>
                  <pic:spPr bwMode="auto">
                    <a:xfrm>
                      <a:off x="0" y="0"/>
                      <a:ext cx="929640" cy="1170305"/>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392430</wp:posOffset>
            </wp:positionV>
            <wp:extent cx="929640" cy="1170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5">
                      <a:extLst>
                        <a:ext uri="{28A0092B-C50C-407E-A947-70E740481C1C}"/>
                      </a:extLst>
                    </a:blip>
                    <a:srcRect/>
                    <a:stretch>
                      <a:fillRect/>
                    </a:stretch>
                  </pic:blipFill>
                  <pic:spPr bwMode="auto">
                    <a:xfrm>
                      <a:off x="0" y="0"/>
                      <a:ext cx="92964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23"/>
          <w:szCs w:val="23"/>
          <w:b w:val="1"/>
          <w:bCs w:val="1"/>
          <w:color w:val="377FA7"/>
        </w:rPr>
        <w:t>Martin S. Brown</w:t>
      </w:r>
      <w:r>
        <w:rPr>
          <w:sz w:val="20"/>
          <w:szCs w:val="20"/>
          <w:color w:val="auto"/>
        </w:rPr>
        <w:tab/>
      </w:r>
      <w:r>
        <w:rPr>
          <w:rFonts w:ascii="Arial" w:cs="Arial" w:eastAsia="Arial" w:hAnsi="Arial"/>
          <w:sz w:val="21"/>
          <w:szCs w:val="21"/>
          <w:b w:val="1"/>
          <w:bCs w:val="1"/>
          <w:color w:val="377FA7"/>
        </w:rPr>
        <w:t>Caroline R. Young</w:t>
      </w:r>
    </w:p>
    <w:p>
      <w:pPr>
        <w:ind w:left="2340"/>
        <w:spacing w:after="0"/>
        <w:tabs>
          <w:tab w:leader="none" w:pos="7300" w:val="left"/>
        </w:tabs>
        <w:rPr>
          <w:sz w:val="20"/>
          <w:szCs w:val="20"/>
          <w:color w:val="auto"/>
        </w:rPr>
      </w:pPr>
      <w:r>
        <w:rPr>
          <w:rFonts w:ascii="Arial" w:cs="Arial" w:eastAsia="Arial" w:hAnsi="Arial"/>
          <w:sz w:val="20"/>
          <w:szCs w:val="20"/>
          <w:b w:val="1"/>
          <w:bCs w:val="1"/>
          <w:color w:val="377FA7"/>
        </w:rPr>
        <w:t>Director</w:t>
      </w:r>
      <w:r>
        <w:rPr>
          <w:sz w:val="20"/>
          <w:szCs w:val="20"/>
          <w:color w:val="auto"/>
        </w:rPr>
        <w:tab/>
      </w:r>
      <w:r>
        <w:rPr>
          <w:rFonts w:ascii="Arial" w:cs="Arial" w:eastAsia="Arial" w:hAnsi="Arial"/>
          <w:sz w:val="20"/>
          <w:szCs w:val="20"/>
          <w:b w:val="1"/>
          <w:bCs w:val="1"/>
          <w:color w:val="377FA7"/>
        </w:rPr>
        <w:t>Director</w:t>
      </w:r>
    </w:p>
    <w:p>
      <w:pPr>
        <w:spacing w:after="0" w:line="35" w:lineRule="exact"/>
        <w:rPr>
          <w:sz w:val="20"/>
          <w:szCs w:val="20"/>
          <w:color w:val="auto"/>
        </w:rPr>
      </w:pPr>
    </w:p>
    <w:p>
      <w:pPr>
        <w:jc w:val="right"/>
        <w:ind w:right="640"/>
        <w:spacing w:after="0"/>
        <w:tabs>
          <w:tab w:leader="none" w:pos="3180" w:val="left"/>
        </w:tabs>
        <w:rPr>
          <w:sz w:val="20"/>
          <w:szCs w:val="20"/>
          <w:color w:val="auto"/>
        </w:rPr>
      </w:pPr>
      <w:r>
        <w:rPr>
          <w:rFonts w:ascii="Arial" w:cs="Arial" w:eastAsia="Arial" w:hAnsi="Arial"/>
          <w:sz w:val="16"/>
          <w:szCs w:val="16"/>
          <w:color w:val="00004D"/>
        </w:rPr>
        <w:t>Attorney of Counsel</w:t>
      </w:r>
      <w:r>
        <w:rPr>
          <w:sz w:val="20"/>
          <w:szCs w:val="20"/>
          <w:color w:val="auto"/>
        </w:rPr>
        <w:tab/>
      </w:r>
      <w:r>
        <w:rPr>
          <w:rFonts w:ascii="Arial" w:cs="Arial" w:eastAsia="Arial" w:hAnsi="Arial"/>
          <w:sz w:val="16"/>
          <w:szCs w:val="16"/>
          <w:color w:val="00004D"/>
        </w:rPr>
        <w:t>Vice President of Partnership Development</w:t>
      </w:r>
    </w:p>
    <w:p>
      <w:pPr>
        <w:spacing w:after="0" w:line="38"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auto"/>
        </w:rPr>
        <w:t>Adams and Reese LLP</w:t>
      </w:r>
      <w:r>
        <w:rPr>
          <w:sz w:val="20"/>
          <w:szCs w:val="20"/>
          <w:color w:val="auto"/>
        </w:rPr>
        <w:tab/>
      </w:r>
      <w:r>
        <w:rPr>
          <w:rFonts w:ascii="Arial" w:cs="Arial" w:eastAsia="Arial" w:hAnsi="Arial"/>
          <w:sz w:val="14"/>
          <w:szCs w:val="14"/>
          <w:color w:val="auto"/>
        </w:rPr>
        <w:t>Frist Cressey Ventures</w:t>
      </w:r>
    </w:p>
    <w:p>
      <w:pPr>
        <w:spacing w:after="0" w:line="39"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00004D"/>
        </w:rPr>
        <w:t>Former Board Director</w:t>
      </w:r>
      <w:r>
        <w:rPr>
          <w:sz w:val="20"/>
          <w:szCs w:val="20"/>
          <w:color w:val="auto"/>
        </w:rPr>
        <w:tab/>
      </w:r>
      <w:r>
        <w:rPr>
          <w:rFonts w:ascii="Arial" w:cs="Arial" w:eastAsia="Arial" w:hAnsi="Arial"/>
          <w:sz w:val="14"/>
          <w:szCs w:val="14"/>
          <w:color w:val="00004D"/>
        </w:rPr>
        <w:t>Former President</w:t>
      </w:r>
    </w:p>
    <w:p>
      <w:pPr>
        <w:spacing w:after="0" w:line="39" w:lineRule="exact"/>
        <w:rPr>
          <w:sz w:val="20"/>
          <w:szCs w:val="20"/>
          <w:color w:val="auto"/>
        </w:rPr>
      </w:pPr>
    </w:p>
    <w:p>
      <w:pPr>
        <w:ind w:left="2340"/>
        <w:spacing w:after="0"/>
        <w:tabs>
          <w:tab w:leader="none" w:pos="7300" w:val="left"/>
        </w:tabs>
        <w:rPr>
          <w:sz w:val="20"/>
          <w:szCs w:val="20"/>
          <w:color w:val="auto"/>
        </w:rPr>
      </w:pPr>
      <w:r>
        <w:rPr>
          <w:rFonts w:ascii="Arial" w:cs="Arial" w:eastAsia="Arial" w:hAnsi="Arial"/>
          <w:sz w:val="14"/>
          <w:szCs w:val="14"/>
          <w:color w:val="auto"/>
        </w:rPr>
        <w:t>Brown-Forman Corporation</w:t>
      </w:r>
      <w:r>
        <w:rPr>
          <w:sz w:val="20"/>
          <w:szCs w:val="20"/>
          <w:color w:val="auto"/>
        </w:rPr>
        <w:tab/>
      </w:r>
      <w:r>
        <w:rPr>
          <w:rFonts w:ascii="Arial" w:cs="Arial" w:eastAsia="Arial" w:hAnsi="Arial"/>
          <w:sz w:val="14"/>
          <w:szCs w:val="14"/>
          <w:color w:val="auto"/>
        </w:rPr>
        <w:t>Nashville Health Care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328930</wp:posOffset>
            </wp:positionV>
            <wp:extent cx="929640" cy="1170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6">
                      <a:extLst>
                        <a:ext uri="{28A0092B-C50C-407E-A947-70E740481C1C}"/>
                      </a:extLst>
                    </a:blip>
                    <a:srcRect/>
                    <a:stretch>
                      <a:fillRect/>
                    </a:stretch>
                  </pic:blipFill>
                  <pic:spPr bwMode="auto">
                    <a:xfrm>
                      <a:off x="0" y="0"/>
                      <a:ext cx="929640" cy="117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340"/>
        <w:spacing w:after="0"/>
        <w:rPr>
          <w:sz w:val="20"/>
          <w:szCs w:val="20"/>
          <w:color w:val="auto"/>
        </w:rPr>
      </w:pPr>
      <w:r>
        <w:rPr>
          <w:rFonts w:ascii="Arial" w:cs="Arial" w:eastAsia="Arial" w:hAnsi="Arial"/>
          <w:sz w:val="23"/>
          <w:szCs w:val="23"/>
          <w:b w:val="1"/>
          <w:bCs w:val="1"/>
          <w:color w:val="377FA7"/>
        </w:rPr>
        <w:t>Joseph C. Galante</w:t>
      </w:r>
    </w:p>
    <w:p>
      <w:pPr>
        <w:ind w:left="2340"/>
        <w:spacing w:after="0"/>
        <w:rPr>
          <w:sz w:val="20"/>
          <w:szCs w:val="20"/>
          <w:color w:val="auto"/>
        </w:rPr>
      </w:pPr>
      <w:r>
        <w:rPr>
          <w:rFonts w:ascii="Arial" w:cs="Arial" w:eastAsia="Arial" w:hAnsi="Arial"/>
          <w:sz w:val="20"/>
          <w:szCs w:val="20"/>
          <w:b w:val="1"/>
          <w:bCs w:val="1"/>
          <w:color w:val="377FA7"/>
        </w:rPr>
        <w:t>Director</w:t>
      </w:r>
    </w:p>
    <w:p>
      <w:pPr>
        <w:spacing w:after="0" w:line="35" w:lineRule="exact"/>
        <w:rPr>
          <w:sz w:val="20"/>
          <w:szCs w:val="20"/>
          <w:color w:val="auto"/>
        </w:rPr>
      </w:pPr>
    </w:p>
    <w:p>
      <w:pPr>
        <w:ind w:left="2340"/>
        <w:spacing w:after="0"/>
        <w:rPr>
          <w:sz w:val="20"/>
          <w:szCs w:val="20"/>
          <w:color w:val="auto"/>
        </w:rPr>
      </w:pPr>
      <w:r>
        <w:rPr>
          <w:rFonts w:ascii="Arial" w:cs="Arial" w:eastAsia="Arial" w:hAnsi="Arial"/>
          <w:sz w:val="16"/>
          <w:szCs w:val="16"/>
          <w:color w:val="00004D"/>
        </w:rPr>
        <w:t>Former Chairman</w:t>
      </w:r>
    </w:p>
    <w:p>
      <w:pPr>
        <w:spacing w:after="0" w:line="38"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Sony Music Nashville</w:t>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4"/>
          <w:szCs w:val="14"/>
          <w:color w:val="00004D"/>
        </w:rPr>
        <w:t>Former President</w:t>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RCA Records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6942455</wp:posOffset>
                </wp:positionH>
                <wp:positionV relativeFrom="paragraph">
                  <wp:posOffset>471170</wp:posOffset>
                </wp:positionV>
                <wp:extent cx="0" cy="24384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43840"/>
                        </a:xfrm>
                        <a:prstGeom prst="line">
                          <a:avLst/>
                        </a:prstGeom>
                        <a:solidFill>
                          <a:srgbClr val="FFFFFF"/>
                        </a:solidFill>
                        <a:ln w="20116">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6.65pt,37.1pt" to="546.65pt,56.3pt" o:allowincell="f" strokecolor="#FFFFFF" strokeweight="1.5839pt"/>
            </w:pict>
          </mc:Fallback>
        </mc:AlternateContent>
      </w:r>
    </w:p>
    <w:p>
      <w:pPr>
        <w:spacing w:after="0" w:line="200" w:lineRule="exact"/>
        <w:rPr>
          <w:sz w:val="20"/>
          <w:szCs w:val="20"/>
          <w:color w:val="auto"/>
        </w:rPr>
      </w:pPr>
    </w:p>
    <w:p>
      <w:pPr>
        <w:sectPr>
          <w:pgSz w:w="24480" w:h="15840" w:orient="landscape"/>
          <w:cols w:equalWidth="0" w:num="2">
            <w:col w:w="11900" w:space="720"/>
            <w:col w:w="11160"/>
          </w:cols>
          <w:pgMar w:left="340" w:top="1440" w:right="360" w:bottom="0" w:gutter="0" w:footer="0" w:header="0"/>
        </w:sectPr>
      </w:pPr>
    </w:p>
    <w:p>
      <w:pPr>
        <w:spacing w:after="0" w:line="200" w:lineRule="exact"/>
        <w:rPr>
          <w:sz w:val="20"/>
          <w:szCs w:val="20"/>
          <w:color w:val="auto"/>
        </w:rPr>
      </w:pPr>
    </w:p>
    <w:p>
      <w:pPr>
        <w:spacing w:after="0" w:line="400" w:lineRule="exact"/>
        <w:rPr>
          <w:sz w:val="20"/>
          <w:szCs w:val="20"/>
          <w:color w:val="auto"/>
        </w:rPr>
      </w:pPr>
    </w:p>
    <w:p>
      <w:pPr>
        <w:spacing w:after="0"/>
        <w:tabs>
          <w:tab w:leader="none" w:pos="340" w:val="left"/>
          <w:tab w:leader="none" w:pos="21840" w:val="left"/>
          <w:tab w:leader="none" w:pos="23640" w:val="left"/>
        </w:tabs>
        <w:rPr>
          <w:sz w:val="20"/>
          <w:szCs w:val="20"/>
          <w:color w:val="auto"/>
        </w:rPr>
      </w:pPr>
      <w:r>
        <w:rPr>
          <w:rFonts w:ascii="Arial" w:cs="Arial" w:eastAsia="Arial" w:hAnsi="Arial"/>
          <w:sz w:val="16"/>
          <w:szCs w:val="16"/>
          <w:color w:val="377FA7"/>
        </w:rPr>
        <w:t>10</w:t>
      </w:r>
      <w:r>
        <w:rPr>
          <w:rFonts w:ascii="Arial" w:cs="Arial" w:eastAsia="Arial" w:hAnsi="Arial"/>
          <w:sz w:val="16"/>
          <w:szCs w:val="16"/>
          <w:color w:val="00004D"/>
        </w:rPr>
        <w:tab/>
        <w:t>Cumberland Pharmaceuticals</w:t>
      </w:r>
      <w:r>
        <w:rPr>
          <w:sz w:val="20"/>
          <w:szCs w:val="20"/>
          <w:color w:val="auto"/>
        </w:rPr>
        <w:tab/>
      </w:r>
      <w:r>
        <w:rPr>
          <w:rFonts w:ascii="Arial" w:cs="Arial" w:eastAsia="Arial" w:hAnsi="Arial"/>
          <w:sz w:val="16"/>
          <w:szCs w:val="16"/>
          <w:color w:val="00004D"/>
        </w:rPr>
        <w:t>2023 Annual Report</w:t>
      </w:r>
      <w:r>
        <w:rPr>
          <w:sz w:val="20"/>
          <w:szCs w:val="20"/>
          <w:color w:val="auto"/>
        </w:rPr>
        <w:tab/>
      </w:r>
      <w:r>
        <w:rPr>
          <w:rFonts w:ascii="Arial" w:cs="Arial" w:eastAsia="Arial" w:hAnsi="Arial"/>
          <w:sz w:val="10"/>
          <w:szCs w:val="10"/>
          <w:color w:val="377FA7"/>
        </w:rPr>
        <w:t>11</w:t>
      </w:r>
    </w:p>
    <w:p>
      <w:pPr>
        <w:sectPr>
          <w:pgSz w:w="24480" w:h="15840" w:orient="landscape"/>
          <w:cols w:equalWidth="0" w:num="1">
            <w:col w:w="23780"/>
          </w:cols>
          <w:pgMar w:left="340" w:top="1440" w:right="360" w:bottom="0" w:gutter="0" w:footer="0" w:header="0"/>
          <w:type w:val="continuous"/>
        </w:sectPr>
      </w:pPr>
    </w:p>
    <w:bookmarkStart w:id="7" w:name="page8"/>
    <w:bookmarkEnd w:id="7"/>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0</wp:posOffset>
                </wp:positionH>
                <wp:positionV relativeFrom="page">
                  <wp:posOffset>0</wp:posOffset>
                </wp:positionV>
                <wp:extent cx="15544800" cy="1005840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544800" cy="10058400"/>
                        </a:xfrm>
                        <a:prstGeom prst="rect">
                          <a:avLst/>
                        </a:prstGeom>
                        <a:solidFill>
                          <a:srgbClr val="7EB8D8"/>
                        </a:solidFill>
                      </wps:spPr>
                      <wps:bodyPr/>
                    </wps:wsp>
                  </a:graphicData>
                </a:graphic>
              </wp:anchor>
            </w:drawing>
          </mc:Choice>
          <mc:Fallback>
            <w:pict>
              <v:rect id="Shape 57" o:spid="_x0000_s1082" style="position:absolute;margin-left:0pt;margin-top:0pt;width:1224pt;height:792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7EB8D8" stroked="f">
                <w10:wrap anchorx="page" anchory="page"/>
              </v:rec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40"/>
        <w:spacing w:after="0"/>
        <w:rPr>
          <w:sz w:val="20"/>
          <w:szCs w:val="20"/>
          <w:color w:val="auto"/>
        </w:rPr>
      </w:pPr>
      <w:r>
        <w:rPr>
          <w:rFonts w:ascii="Arial" w:cs="Arial" w:eastAsia="Arial" w:hAnsi="Arial"/>
          <w:sz w:val="40"/>
          <w:szCs w:val="40"/>
          <w:color w:val="00004D"/>
        </w:rPr>
        <w:t>Corporate Information</w:t>
      </w:r>
    </w:p>
    <w:p>
      <w:pPr>
        <w:sectPr>
          <w:pgSz w:w="24480" w:h="15840" w:orient="landscape"/>
          <w:cols w:equalWidth="0" w:num="1">
            <w:col w:w="2160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FFFFF"/>
        </w:rPr>
        <w:t>Stock Listing</w:t>
      </w:r>
    </w:p>
    <w:p>
      <w:pPr>
        <w:spacing w:after="0" w:line="31" w:lineRule="exact"/>
        <w:rPr>
          <w:sz w:val="20"/>
          <w:szCs w:val="20"/>
          <w:color w:val="auto"/>
        </w:rPr>
      </w:pPr>
    </w:p>
    <w:p>
      <w:pPr>
        <w:ind w:left="440" w:right="660"/>
        <w:spacing w:after="0" w:line="323" w:lineRule="auto"/>
        <w:rPr>
          <w:sz w:val="20"/>
          <w:szCs w:val="20"/>
          <w:color w:val="auto"/>
        </w:rPr>
      </w:pPr>
      <w:r>
        <w:rPr>
          <w:rFonts w:ascii="Arial" w:cs="Arial" w:eastAsia="Arial" w:hAnsi="Arial"/>
          <w:sz w:val="18"/>
          <w:szCs w:val="18"/>
          <w:color w:val="auto"/>
        </w:rPr>
        <w:t>NASDAQ Global Select Market Ticker Symbol: CPIX</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24"/>
          <w:szCs w:val="24"/>
          <w:b w:val="1"/>
          <w:bCs w:val="1"/>
          <w:color w:val="FFFFFF"/>
        </w:rPr>
        <w:t>Annual Meeting</w:t>
      </w:r>
    </w:p>
    <w:p>
      <w:pPr>
        <w:spacing w:after="0" w:line="31" w:lineRule="exact"/>
        <w:rPr>
          <w:sz w:val="20"/>
          <w:szCs w:val="20"/>
          <w:color w:val="auto"/>
        </w:rPr>
      </w:pPr>
    </w:p>
    <w:p>
      <w:pPr>
        <w:ind w:left="440" w:right="700"/>
        <w:spacing w:after="0" w:line="278" w:lineRule="auto"/>
        <w:rPr>
          <w:sz w:val="20"/>
          <w:szCs w:val="20"/>
          <w:color w:val="auto"/>
        </w:rPr>
      </w:pPr>
      <w:r>
        <w:rPr>
          <w:rFonts w:ascii="Arial" w:cs="Arial" w:eastAsia="Arial" w:hAnsi="Arial"/>
          <w:sz w:val="18"/>
          <w:szCs w:val="18"/>
          <w:color w:val="auto"/>
        </w:rPr>
        <w:t>9:30 a.m. Central Time Wednesday, April 24, 2024 Cumberland Headquarters</w:t>
      </w:r>
    </w:p>
    <w:p>
      <w:pPr>
        <w:spacing w:after="0" w:line="1" w:lineRule="exact"/>
        <w:rPr>
          <w:sz w:val="20"/>
          <w:szCs w:val="20"/>
          <w:color w:val="auto"/>
        </w:rPr>
      </w:pPr>
    </w:p>
    <w:p>
      <w:pPr>
        <w:ind w:left="440" w:right="120"/>
        <w:spacing w:after="0" w:line="323" w:lineRule="auto"/>
        <w:rPr>
          <w:sz w:val="20"/>
          <w:szCs w:val="20"/>
          <w:color w:val="auto"/>
        </w:rPr>
      </w:pPr>
      <w:r>
        <w:rPr>
          <w:rFonts w:ascii="Arial" w:cs="Arial" w:eastAsia="Arial" w:hAnsi="Arial"/>
          <w:sz w:val="18"/>
          <w:szCs w:val="18"/>
          <w:color w:val="auto"/>
        </w:rPr>
        <w:t>1600 West End Avenue, Suite 1300 Nashville, TN 37203</w:t>
      </w:r>
    </w:p>
    <w:p>
      <w:pPr>
        <w:spacing w:after="0" w:line="276" w:lineRule="exact"/>
        <w:rPr>
          <w:sz w:val="20"/>
          <w:szCs w:val="20"/>
          <w:color w:val="auto"/>
        </w:rPr>
      </w:pPr>
    </w:p>
    <w:p>
      <w:pPr>
        <w:ind w:left="440" w:right="120"/>
        <w:spacing w:after="0" w:line="255" w:lineRule="auto"/>
        <w:rPr>
          <w:sz w:val="20"/>
          <w:szCs w:val="20"/>
          <w:color w:val="auto"/>
        </w:rPr>
      </w:pPr>
      <w:r>
        <w:rPr>
          <w:rFonts w:ascii="Arial" w:cs="Arial" w:eastAsia="Arial" w:hAnsi="Arial"/>
          <w:sz w:val="24"/>
          <w:szCs w:val="24"/>
          <w:b w:val="1"/>
          <w:bCs w:val="1"/>
          <w:color w:val="FFFFFF"/>
        </w:rPr>
        <w:t>Independent Registered Public Accounting Firm</w:t>
      </w:r>
    </w:p>
    <w:p>
      <w:pPr>
        <w:spacing w:after="0" w:line="1" w:lineRule="exact"/>
        <w:rPr>
          <w:sz w:val="20"/>
          <w:szCs w:val="20"/>
          <w:color w:val="auto"/>
        </w:rPr>
      </w:pPr>
    </w:p>
    <w:p>
      <w:pPr>
        <w:ind w:left="440" w:right="600"/>
        <w:spacing w:after="0" w:line="293" w:lineRule="auto"/>
        <w:rPr>
          <w:sz w:val="20"/>
          <w:szCs w:val="20"/>
          <w:color w:val="auto"/>
        </w:rPr>
      </w:pPr>
      <w:r>
        <w:rPr>
          <w:rFonts w:ascii="Arial" w:cs="Arial" w:eastAsia="Arial" w:hAnsi="Arial"/>
          <w:sz w:val="18"/>
          <w:szCs w:val="18"/>
          <w:color w:val="auto"/>
        </w:rPr>
        <w:t>Carr, Riggs &amp; Ingram, LLC 3011 Armory Drive, Suite 300 Nashville, TN 37204 (615) 665-1811</w:t>
      </w:r>
    </w:p>
    <w:p>
      <w:pPr>
        <w:spacing w:after="0" w:line="302" w:lineRule="exact"/>
        <w:rPr>
          <w:sz w:val="20"/>
          <w:szCs w:val="20"/>
          <w:color w:val="auto"/>
        </w:rPr>
      </w:pPr>
    </w:p>
    <w:p>
      <w:pPr>
        <w:ind w:left="440" w:right="740"/>
        <w:spacing w:after="0" w:line="255" w:lineRule="auto"/>
        <w:rPr>
          <w:sz w:val="20"/>
          <w:szCs w:val="20"/>
          <w:color w:val="auto"/>
        </w:rPr>
      </w:pPr>
      <w:r>
        <w:rPr>
          <w:rFonts w:ascii="Arial" w:cs="Arial" w:eastAsia="Arial" w:hAnsi="Arial"/>
          <w:sz w:val="24"/>
          <w:szCs w:val="24"/>
          <w:b w:val="1"/>
          <w:bCs w:val="1"/>
          <w:color w:val="FFFFFF"/>
        </w:rPr>
        <w:t>Transfer Agent and Registrar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Continental Stock Transfer</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&amp; Trust Company</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State Street, 30th Floor</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10004</w:t>
      </w:r>
    </w:p>
    <w:p>
      <w:pPr>
        <w:spacing w:after="0" w:line="33" w:lineRule="exact"/>
        <w:rPr>
          <w:sz w:val="20"/>
          <w:szCs w:val="20"/>
          <w:color w:val="auto"/>
        </w:rPr>
      </w:pPr>
    </w:p>
    <w:p>
      <w:pPr>
        <w:ind w:left="920" w:hanging="474"/>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509-5586</w:t>
      </w:r>
    </w:p>
    <w:p>
      <w:pPr>
        <w:spacing w:after="0" w:line="32" w:lineRule="exact"/>
        <w:rPr>
          <w:rFonts w:ascii="Arial" w:cs="Arial" w:eastAsia="Arial" w:hAnsi="Arial"/>
          <w:sz w:val="18"/>
          <w:szCs w:val="18"/>
          <w:color w:val="auto"/>
        </w:rPr>
      </w:pPr>
    </w:p>
    <w:p>
      <w:pPr>
        <w:ind w:left="440" w:right="360" w:firstLine="6"/>
        <w:spacing w:after="0" w:line="393" w:lineRule="auto"/>
        <w:tabs>
          <w:tab w:leader="none" w:pos="842" w:val="left"/>
        </w:tabs>
        <w:numPr>
          <w:ilvl w:val="0"/>
          <w:numId w:val="6"/>
        </w:numPr>
        <w:rPr>
          <w:rFonts w:ascii="Arial" w:cs="Arial" w:eastAsia="Arial" w:hAnsi="Arial"/>
          <w:sz w:val="16"/>
          <w:szCs w:val="16"/>
          <w:color w:val="auto"/>
        </w:rPr>
      </w:pPr>
      <w:r>
        <w:rPr>
          <w:rFonts w:ascii="Arial" w:cs="Arial" w:eastAsia="Arial" w:hAnsi="Arial"/>
          <w:sz w:val="16"/>
          <w:szCs w:val="16"/>
          <w:color w:val="auto"/>
        </w:rPr>
        <w:t>509-4000 cstmail@continentalstock.com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Forward-Looking</w:t>
      </w:r>
    </w:p>
    <w:p>
      <w:pPr>
        <w:spacing w:after="0" w:line="4"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annual report includes forward-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regarding expected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future results of the company. A variety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factors could cause actual results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 differ materially from expected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results. Please see the risk factors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more fully described in our Annual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10-K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which is filed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with the U.S. Securities and Exchange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386" w:lineRule="exact"/>
        <w:rPr>
          <w:sz w:val="20"/>
          <w:szCs w:val="20"/>
          <w:color w:val="auto"/>
        </w:rPr>
      </w:pPr>
    </w:p>
    <w:p>
      <w:pPr>
        <w:spacing w:after="0"/>
        <w:rPr>
          <w:sz w:val="20"/>
          <w:szCs w:val="20"/>
          <w:color w:val="auto"/>
        </w:rPr>
      </w:pPr>
      <w:r>
        <w:rPr>
          <w:rFonts w:ascii="Arial" w:cs="Arial" w:eastAsia="Arial" w:hAnsi="Arial"/>
          <w:sz w:val="24"/>
          <w:szCs w:val="24"/>
          <w:b w:val="1"/>
          <w:bCs w:val="1"/>
          <w:color w:val="FFFFFF"/>
        </w:rPr>
        <w:t>Company Headquarters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Cumberland Pharmaceuticals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1600 West End Avenue, Suite 1300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Nashville, TN 37203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Phone: (615) 255-0068</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Toll Free: (877) 484-2700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Fax: (615) 255-0094</w:t>
      </w:r>
    </w:p>
    <w:p>
      <w:pPr>
        <w:sectPr>
          <w:pgSz w:w="24480" w:h="15840" w:orient="landscape"/>
          <w:cols w:equalWidth="0" w:num="2">
            <w:col w:w="3400" w:space="720"/>
            <w:col w:w="17480"/>
          </w:cols>
          <w:pgMar w:left="1440" w:top="1440" w:right="1440" w:bottom="1440" w:gutter="0" w:footer="0" w:header="0"/>
          <w:type w:val="continuous"/>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
    </w:lvl>
  </w:abstractNum>
  <w:abstractNum w:abstractNumId="4">
    <w:nsid w:val="3D1B58BA"/>
    <w:multiLevelType w:val="hybridMultilevel"/>
    <w:lvl w:ilvl="0">
      <w:lvlJc w:val="left"/>
      <w:lvlText w:val="(%1)"/>
      <w:numFmt w:val="decimal"/>
      <w:start w:val="800"/>
    </w:lvl>
  </w:abstractNum>
  <w:abstractNum w:abstractNumId="5">
    <w:nsid w:val="507ED7A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2024-03-22T18:44:36Z</dcterms:created>
  <dcterms:modified xsi:type="dcterms:W3CDTF">2024-03-22T18:44:36Z</dcterms:modified>
</cp:coreProperties>
</file>