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21, 2025 (October 21,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20, 2025, Cumberland Pharmaceuticals Inc. (“Cumberland”) announced strategic arrangements with RedHill Biopharma Ltd. (Nasdaq: RDHL), a specialty biopharmaceutical company, to jointly commercialize Talicia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FDA-approved oral capsule is indicated for the treatment of Helicobacter pylori infection in adults, a bacterial infection and leading risk factor for gastric cancer.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0" w:type="dxa"/>
            <w:vAlign w:val="bottom"/>
          </w:tcPr>
          <w:p>
            <w:pPr>
              <w:spacing w:after="0"/>
              <w:rPr>
                <w:sz w:val="15"/>
                <w:szCs w:val="15"/>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9"/>
        </w:trPr>
        <w:tc>
          <w:tcPr>
            <w:tcW w:w="2240" w:type="dxa"/>
            <w:vAlign w:val="bottom"/>
            <w:tcBorders>
              <w:top w:val="single" w:sz="8" w:color="auto"/>
            </w:tcBorders>
            <w:gridSpan w:val="3"/>
          </w:tcPr>
          <w:p>
            <w:pPr>
              <w:jc w:val="right"/>
              <w:ind w:right="960"/>
              <w:spacing w:after="0" w:line="18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82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dated October 21, 2025</w:t>
            </w:r>
          </w:p>
        </w:tc>
        <w:tc>
          <w:tcPr>
            <w:tcW w:w="1780" w:type="dxa"/>
            <w:vAlign w:val="bottom"/>
          </w:tcPr>
          <w:p>
            <w:pPr>
              <w:spacing w:after="0"/>
              <w:rPr>
                <w:sz w:val="16"/>
                <w:szCs w:val="16"/>
                <w:color w:val="auto"/>
              </w:rPr>
            </w:pPr>
          </w:p>
        </w:tc>
      </w:tr>
      <w:tr>
        <w:trPr>
          <w:trHeight w:val="3160"/>
        </w:trPr>
        <w:tc>
          <w:tcPr>
            <w:tcW w:w="96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top w:val="single" w:sz="8" w:color="0000FF"/>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7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21, 2025</w:t>
            </w:r>
          </w:p>
        </w:tc>
        <w:tc>
          <w:tcPr>
            <w:tcW w:w="39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2136775</wp:posOffset>
            </wp:positionH>
            <wp:positionV relativeFrom="page">
              <wp:posOffset>671830</wp:posOffset>
            </wp:positionV>
            <wp:extent cx="3282950" cy="74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28295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378"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ANNOUNCES THE ADDITION OF AN ESTABLISHED FDA APPROVED PRODUCT TO ITS COMMERCIAL PORTFOLIO </w:t>
      </w:r>
      <w:r>
        <w:rPr>
          <w:rFonts w:ascii="Times New Roman" w:cs="Times New Roman" w:eastAsia="Times New Roman" w:hAnsi="Times New Roman"/>
          <w:sz w:val="22"/>
          <w:szCs w:val="22"/>
          <w:i w:val="1"/>
          <w:iCs w:val="1"/>
          <w:color w:val="auto"/>
        </w:rPr>
        <w:t>Cumberland to expand its gastroenterology offerings with the market-leading Helicobacter pylori therapy</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color w:val="auto"/>
        </w:rPr>
        <w:t xml:space="preserve">NASHVILLE, Tenn., (Oct. 20, 2025) – Cumberland Pharmaceuticals Inc. </w:t>
      </w:r>
      <w:r>
        <w:rPr>
          <w:rFonts w:ascii="Times New Roman" w:cs="Times New Roman" w:eastAsia="Times New Roman" w:hAnsi="Times New Roman"/>
          <w:sz w:val="20"/>
          <w:szCs w:val="20"/>
          <w:color w:val="auto"/>
        </w:rPr>
        <w:t>(Nasdaq: CPIX), a specialty pharmaceutical company focused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on delivering high-quality products to improve patient care, announced strategic arrangements with </w:t>
      </w:r>
      <w:r>
        <w:rPr>
          <w:rFonts w:ascii="Times New Roman" w:cs="Times New Roman" w:eastAsia="Times New Roman" w:hAnsi="Times New Roman"/>
          <w:sz w:val="20"/>
          <w:szCs w:val="20"/>
          <w:b w:val="1"/>
          <w:bCs w:val="1"/>
          <w:color w:val="auto"/>
        </w:rPr>
        <w:t>RedHill Biopharma Ltd.</w:t>
      </w:r>
      <w:r>
        <w:rPr>
          <w:rFonts w:ascii="Times New Roman" w:cs="Times New Roman" w:eastAsia="Times New Roman" w:hAnsi="Times New Roman"/>
          <w:sz w:val="20"/>
          <w:szCs w:val="20"/>
          <w:color w:val="auto"/>
        </w:rPr>
        <w:t xml:space="preserve"> (Nasdaq: RDHL), a specialty biopharmaceutical company, to jointly commercialize </w:t>
      </w:r>
      <w:r>
        <w:rPr>
          <w:rFonts w:ascii="Times New Roman" w:cs="Times New Roman" w:eastAsia="Times New Roman" w:hAnsi="Times New Roman"/>
          <w:sz w:val="20"/>
          <w:szCs w:val="20"/>
          <w:b w:val="1"/>
          <w:bCs w:val="1"/>
          <w:color w:val="auto"/>
        </w:rPr>
        <w:t>Talicia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FDA-approved oral capsule is indicated for the treatment of </w:t>
      </w:r>
      <w:r>
        <w:rPr>
          <w:rFonts w:ascii="Times New Roman" w:cs="Times New Roman" w:eastAsia="Times New Roman" w:hAnsi="Times New Roman"/>
          <w:sz w:val="20"/>
          <w:szCs w:val="20"/>
          <w:i w:val="1"/>
          <w:iCs w:val="1"/>
          <w:color w:val="auto"/>
        </w:rPr>
        <w:t>Helicobacter pylori</w:t>
      </w:r>
      <w:r>
        <w:rPr>
          <w:rFonts w:ascii="Times New Roman" w:cs="Times New Roman" w:eastAsia="Times New Roman" w:hAnsi="Times New Roman"/>
          <w:sz w:val="20"/>
          <w:szCs w:val="20"/>
          <w:color w:val="auto"/>
        </w:rPr>
        <w:t xml:space="preserve"> infection in adults, a bacterial infection and leading risk factor for gastric cancer.</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the terms of the agreement, Cumberland and RedHill will form a new, jointly owned company. RedHill will contribute all its Talicia assets to the new company, including the product’s growing international licenses with associated revenues. Cumberland will provide $4 million in investment capital. Cumberland will assume responsibility for the product’s distribution and record the product sales. Talicia net revenues were $8 million in 2024. The two companies will equally share in those net revenues and collaborate on all operational aspects, including sales, marketing, manufacturing, regulatory and supply chain functions. Through this co-commercialization agreement, Cumberland will leverage its established national field sales force to lead promotional efforts for Talicia and expand its reach among office-based healthcare providers.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“Talicia features an outstanding clinical profile and represents an excellent strategic match for our organization,” said A.J. Kazimi, CEO of Cumberland Pharmaceuticals. “It provides us with an immediate growth opportunity, as we will build on the excellent foundation RedHill has created and bring this critical therapy to many more patients.”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Talicia is the only all-in-one treatment containing omeprazole, amoxicillin and rifabutin. It was FDA approved based on two large Phase 3 studies demonstrating excellent safety and efficacy results. The product features include three key advantages: 1) high eradication rates at &gt;90%, 2) simplicity of an all-in-one capsule and 3) low resistance.</w:t>
      </w:r>
    </w:p>
    <w:p>
      <w:pPr>
        <w:spacing w:after="0" w:line="1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As a result of these attributes, Talicia is now listed as a </w:t>
      </w:r>
      <w:r>
        <w:rPr>
          <w:rFonts w:ascii="Times New Roman" w:cs="Times New Roman" w:eastAsia="Times New Roman" w:hAnsi="Times New Roman"/>
          <w:sz w:val="20"/>
          <w:szCs w:val="20"/>
          <w:u w:val="single" w:color="auto"/>
          <w:color w:val="auto"/>
        </w:rPr>
        <w:t>first line option</w:t>
      </w:r>
      <w:r>
        <w:rPr>
          <w:rFonts w:ascii="Times New Roman" w:cs="Times New Roman" w:eastAsia="Times New Roman" w:hAnsi="Times New Roman"/>
          <w:sz w:val="20"/>
          <w:szCs w:val="20"/>
          <w:color w:val="auto"/>
        </w:rPr>
        <w:t xml:space="preserve"> in the newly updated </w:t>
      </w:r>
      <w:r>
        <w:rPr>
          <w:rFonts w:ascii="Times New Roman" w:cs="Times New Roman" w:eastAsia="Times New Roman" w:hAnsi="Times New Roman"/>
          <w:sz w:val="20"/>
          <w:szCs w:val="20"/>
          <w:i w:val="1"/>
          <w:iCs w:val="1"/>
          <w:color w:val="auto"/>
        </w:rPr>
        <w:t>American College of Gastroenterology</w:t>
      </w:r>
      <w:r>
        <w:rPr>
          <w:rFonts w:ascii="Times New Roman" w:cs="Times New Roman" w:eastAsia="Times New Roman" w:hAnsi="Times New Roman"/>
          <w:sz w:val="20"/>
          <w:szCs w:val="20"/>
          <w:color w:val="auto"/>
        </w:rPr>
        <w:t xml:space="preserve"> guidelines for the treatment of </w:t>
      </w:r>
      <w:r>
        <w:rPr>
          <w:rFonts w:ascii="Times New Roman" w:cs="Times New Roman" w:eastAsia="Times New Roman" w:hAnsi="Times New Roman"/>
          <w:sz w:val="20"/>
          <w:szCs w:val="20"/>
          <w:i w:val="1"/>
          <w:iCs w:val="1"/>
          <w:color w:val="auto"/>
        </w:rPr>
        <w:t>H. pylori</w:t>
      </w:r>
      <w:r>
        <w:rPr>
          <w:rFonts w:ascii="Times New Roman" w:cs="Times New Roman" w:eastAsia="Times New Roman" w:hAnsi="Times New Roman"/>
          <w:sz w:val="20"/>
          <w:szCs w:val="20"/>
          <w:color w:val="auto"/>
        </w:rPr>
        <w:t xml:space="preserve"> infections.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“These arrangements represent an excellent opportunity for Cumberland, a highly capable and driven partner with a strong gastroenterology market presence, to add a market-leading approved product to its portfolio,” said Rick Scruggs, Chief Commercial Officer of RedHill Inc. We believe Cumberland can help drive prescriptions and deliver revenue growth, further strengthening Talicia’s U.S. market leadership.”</w:t>
      </w:r>
    </w:p>
    <w:p>
      <w:pPr>
        <w:spacing w:after="0" w:line="1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product is patent protected through 2042 and received eight years of U.S. market exclusivity under its Qualified Infectious Disease Product (QIDP) designation.</w:t>
      </w:r>
    </w:p>
    <w:p>
      <w:pPr>
        <w:spacing w:after="0" w:line="7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111111"/>
        </w:rPr>
        <w:t>There is broad U.S. insurance coverage established for the product with includes 70% of American lives covered by commercial plans and 60% coverage by government plans.</w:t>
      </w:r>
    </w:p>
    <w:p>
      <w:pPr>
        <w:spacing w:after="0" w:line="105"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111111"/>
        </w:rPr>
        <w:t>Talicia is dispensed by retail pharmacies across the country. An agreement with CVS provides for stocking of the product at 1,700 of their pharmacies.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full prescribing information, visit </w:t>
      </w:r>
      <w:r>
        <w:rPr>
          <w:rFonts w:ascii="Times New Roman" w:cs="Times New Roman" w:eastAsia="Times New Roman" w:hAnsi="Times New Roman"/>
          <w:sz w:val="20"/>
          <w:szCs w:val="20"/>
          <w:u w:val="single" w:color="auto"/>
          <w:color w:val="0000FF"/>
        </w:rPr>
        <w:t>https://www.talicia.com/</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Talicia</w:t>
      </w:r>
      <w:r>
        <w:rPr>
          <w:rFonts w:ascii="Times New Roman" w:cs="Times New Roman" w:eastAsia="Times New Roman" w:hAnsi="Times New Roman"/>
          <w:sz w:val="25"/>
          <w:szCs w:val="25"/>
          <w:u w:val="single" w:color="auto"/>
          <w:color w:val="auto"/>
          <w:vertAlign w:val="superscript"/>
        </w:rPr>
        <w:t>®</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Approved by the FDA for the treatment of </w:t>
      </w:r>
      <w:r>
        <w:rPr>
          <w:rFonts w:ascii="Times New Roman" w:cs="Times New Roman" w:eastAsia="Times New Roman" w:hAnsi="Times New Roman"/>
          <w:sz w:val="20"/>
          <w:szCs w:val="20"/>
          <w:i w:val="1"/>
          <w:iCs w:val="1"/>
          <w:color w:val="auto"/>
        </w:rPr>
        <w:t>H. pylori</w:t>
      </w:r>
      <w:r>
        <w:rPr>
          <w:rFonts w:ascii="Times New Roman" w:cs="Times New Roman" w:eastAsia="Times New Roman" w:hAnsi="Times New Roman"/>
          <w:sz w:val="20"/>
          <w:szCs w:val="20"/>
          <w:color w:val="auto"/>
        </w:rPr>
        <w:t xml:space="preserve"> infection in adults in November 2019, Talicia is a novel, fixed-dose, all-in-one oral capsule combination of two antibiotics (amoxicillin and rifabutin) and a proton pump inhibitor (omeprazole). Talicia received eight years of U.S. market exclusivity under its Qualified Infectious Disease Product (QIDP) designation and is also covered by U.S. patents extending patent protection through 2042 with additional patents and applications pending and granted in various territories worldwide.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RedHill Biopharma</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RedHill Biopharma Ltd. (Nasdaq: RDHL) is a specialty biopharmaceutical company primarily focused on U.S. development and commercialization of drugs for gastrointestinal diseases, infectious diseases and oncology. RedHill promotes the FDA approved gastrointestinal drug </w:t>
      </w:r>
      <w:r>
        <w:rPr>
          <w:rFonts w:ascii="Times New Roman" w:cs="Times New Roman" w:eastAsia="Times New Roman" w:hAnsi="Times New Roman"/>
          <w:sz w:val="20"/>
          <w:szCs w:val="20"/>
          <w:b w:val="1"/>
          <w:bCs w:val="1"/>
          <w:color w:val="auto"/>
        </w:rPr>
        <w:t>Talicia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the treatment of </w:t>
      </w:r>
      <w:r>
        <w:rPr>
          <w:rFonts w:ascii="Times New Roman" w:cs="Times New Roman" w:eastAsia="Times New Roman" w:hAnsi="Times New Roman"/>
          <w:sz w:val="20"/>
          <w:szCs w:val="20"/>
          <w:i w:val="1"/>
          <w:iCs w:val="1"/>
          <w:color w:val="auto"/>
        </w:rPr>
        <w:t>Helicobacter pylori (H. pylori)</w:t>
      </w:r>
      <w:r>
        <w:rPr>
          <w:rFonts w:ascii="Times New Roman" w:cs="Times New Roman" w:eastAsia="Times New Roman" w:hAnsi="Times New Roman"/>
          <w:sz w:val="20"/>
          <w:szCs w:val="20"/>
          <w:color w:val="auto"/>
        </w:rPr>
        <w:t xml:space="preserve"> infection in adults</w:t>
      </w:r>
      <w:r>
        <w:rPr>
          <w:rFonts w:ascii="Times New Roman" w:cs="Times New Roman" w:eastAsia="Times New Roman" w:hAnsi="Times New Roman"/>
          <w:sz w:val="25"/>
          <w:szCs w:val="25"/>
          <w:color w:val="auto"/>
          <w:vertAlign w:val="superscript"/>
        </w:rPr>
        <w:t>i</w:t>
      </w:r>
      <w:r>
        <w:rPr>
          <w:rFonts w:ascii="Times New Roman" w:cs="Times New Roman" w:eastAsia="Times New Roman" w:hAnsi="Times New Roman"/>
          <w:sz w:val="20"/>
          <w:szCs w:val="20"/>
          <w:color w:val="auto"/>
        </w:rPr>
        <w:t xml:space="preserve">. RedHill's key clinical late-stage development programs include: (i) </w:t>
      </w:r>
      <w:r>
        <w:rPr>
          <w:rFonts w:ascii="Times New Roman" w:cs="Times New Roman" w:eastAsia="Times New Roman" w:hAnsi="Times New Roman"/>
          <w:sz w:val="20"/>
          <w:szCs w:val="20"/>
          <w:b w:val="1"/>
          <w:bCs w:val="1"/>
          <w:color w:val="auto"/>
        </w:rPr>
        <w:t>opaganib (ABC294640)</w:t>
      </w:r>
      <w:r>
        <w:rPr>
          <w:rFonts w:ascii="Times New Roman" w:cs="Times New Roman" w:eastAsia="Times New Roman" w:hAnsi="Times New Roman"/>
          <w:sz w:val="20"/>
          <w:szCs w:val="20"/>
          <w:color w:val="auto"/>
        </w:rPr>
        <w:t xml:space="preserve">, a first-in-class, orally administered sphingosine kinase-2 (SPHK2) selective inhibitor with anti-inflammatory, antiviral, and anticancer activity, targeting multiple indications with U.S. government and academic collaborations for development for radiation and chemical exposure indications such as GI-Acute Radiation Syndrome (GI-ARS), a Phase 2/3 program for hospitalized COVID-19, and a Phase 2 study in prostate cancer in combination with darolutamide; (ii) </w:t>
      </w:r>
      <w:r>
        <w:rPr>
          <w:rFonts w:ascii="Times New Roman" w:cs="Times New Roman" w:eastAsia="Times New Roman" w:hAnsi="Times New Roman"/>
          <w:sz w:val="20"/>
          <w:szCs w:val="20"/>
          <w:b w:val="1"/>
          <w:bCs w:val="1"/>
          <w:color w:val="auto"/>
        </w:rPr>
        <w:t>RHB-204</w:t>
      </w:r>
      <w:r>
        <w:rPr>
          <w:rFonts w:ascii="Times New Roman" w:cs="Times New Roman" w:eastAsia="Times New Roman" w:hAnsi="Times New Roman"/>
          <w:sz w:val="20"/>
          <w:szCs w:val="20"/>
          <w:color w:val="auto"/>
        </w:rPr>
        <w:t xml:space="preserve">, a next-generation optimized formulation of RHB-104, with a planned Phase 2 study for Crohn’s disease (based on RHB-104’s positive Phase 3 Crohn’s disease study results) and Phase 3-stage for pulmonary nontuberculous mycobacteria (NTM) disease; (iii) </w:t>
      </w:r>
      <w:r>
        <w:rPr>
          <w:rFonts w:ascii="Times New Roman" w:cs="Times New Roman" w:eastAsia="Times New Roman" w:hAnsi="Times New Roman"/>
          <w:sz w:val="20"/>
          <w:szCs w:val="20"/>
          <w:b w:val="1"/>
          <w:bCs w:val="1"/>
          <w:color w:val="auto"/>
        </w:rPr>
        <w:t>RHB-107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upamostat</w:t>
      </w:r>
      <w:r>
        <w:rPr>
          <w:rFonts w:ascii="Times New Roman" w:cs="Times New Roman" w:eastAsia="Times New Roman" w:hAnsi="Times New Roman"/>
          <w:sz w:val="20"/>
          <w:szCs w:val="20"/>
          <w:color w:val="auto"/>
        </w:rPr>
        <w:t xml:space="preserve">), an oral broad-acting, host-directed, serine protease inhibitor with potential for pandemic preparedness, is in late-stage development as a treatment for non-hospitalized symptomatic COVID-19 and is also targeting multiple other cancer and inflammatory gastrointestinal diseases; and (iv) </w:t>
      </w:r>
      <w:r>
        <w:rPr>
          <w:rFonts w:ascii="Times New Roman" w:cs="Times New Roman" w:eastAsia="Times New Roman" w:hAnsi="Times New Roman"/>
          <w:sz w:val="20"/>
          <w:szCs w:val="20"/>
          <w:b w:val="1"/>
          <w:bCs w:val="1"/>
          <w:color w:val="auto"/>
        </w:rPr>
        <w:t>RHB-102</w:t>
      </w:r>
      <w:r>
        <w:rPr>
          <w:rFonts w:ascii="Times New Roman" w:cs="Times New Roman" w:eastAsia="Times New Roman" w:hAnsi="Times New Roman"/>
          <w:sz w:val="20"/>
          <w:szCs w:val="20"/>
          <w:color w:val="auto"/>
        </w:rPr>
        <w:t>, with potential UK submission for chemotherapy and radiotherapy induced nausea and vomiting, positive results from a U.S. Phase 3 study for acute gastroenteritis and gastritis and positive results from a U.S. Phase 2 study for IBS-D. RHB-102 is partnered with Hyloris Pharma (EBR: HYL) for worldwide development and commercialization outside North America.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More information about the Company is available at </w:t>
      </w:r>
      <w:r>
        <w:rPr>
          <w:rFonts w:ascii="Times New Roman" w:cs="Times New Roman" w:eastAsia="Times New Roman" w:hAnsi="Times New Roman"/>
          <w:sz w:val="20"/>
          <w:szCs w:val="20"/>
          <w:u w:val="single" w:color="auto"/>
          <w:color w:val="0000FF"/>
        </w:rPr>
        <w:t>www.redhillbio.com</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0000FF"/>
        </w:rPr>
        <w:t>X.com/RedHillBio</w:t>
      </w:r>
      <w:r>
        <w:rPr>
          <w:rFonts w:ascii="Times New Roman" w:cs="Times New Roman" w:eastAsia="Times New Roman" w:hAnsi="Times New Roman"/>
          <w:sz w:val="20"/>
          <w:szCs w:val="20"/>
          <w:color w:val="auto"/>
        </w:rPr>
        <w:t>.</w:t>
      </w:r>
    </w:p>
    <w:p>
      <w:pPr>
        <w:spacing w:after="0" w:line="3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Cumberland Pharmaceuticals Inc. </w:t>
      </w:r>
      <w:r>
        <w:rPr>
          <w:rFonts w:ascii="Times New Roman" w:cs="Times New Roman" w:eastAsia="Times New Roman" w:hAnsi="Times New Roman"/>
          <w:sz w:val="20"/>
          <w:szCs w:val="20"/>
          <w:color w:val="auto"/>
        </w:rPr>
        <w:t>is the largest biopharmaceutical company founded and headquartered in Tennessee and is focused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unique products that improve the quality of patient care. The company develops, acquires, and commercializes products for the hospital acute care, gastroenterology and oncology market segments. The Company’s portfolio of FDA-approved brands includes:</w:t>
      </w:r>
    </w:p>
    <w:p>
      <w:pPr>
        <w:spacing w:after="0" w:line="94" w:lineRule="exact"/>
        <w:rPr>
          <w:sz w:val="20"/>
          <w:szCs w:val="20"/>
          <w:color w:val="auto"/>
        </w:rPr>
      </w:pPr>
    </w:p>
    <w:p>
      <w:pPr>
        <w:ind w:left="960" w:hanging="304"/>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Acetadote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acetylcysteine</w:t>
      </w:r>
      <w:r>
        <w:rPr>
          <w:rFonts w:ascii="Times New Roman" w:cs="Times New Roman" w:eastAsia="Times New Roman" w:hAnsi="Times New Roman"/>
          <w:sz w:val="20"/>
          <w:szCs w:val="20"/>
          <w:color w:val="auto"/>
        </w:rPr>
        <w:t>) injection, for the treatment of acetaminophen poisoning;</w:t>
      </w:r>
    </w:p>
    <w:p>
      <w:pPr>
        <w:spacing w:after="0" w:line="10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Caldolor</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ibuprofen</w:t>
      </w:r>
      <w:r>
        <w:rPr>
          <w:rFonts w:ascii="Times New Roman" w:cs="Times New Roman" w:eastAsia="Times New Roman" w:hAnsi="Times New Roman"/>
          <w:sz w:val="20"/>
          <w:szCs w:val="20"/>
          <w:color w:val="auto"/>
        </w:rPr>
        <w:t>) injection, for the treatment of pain and fever;</w:t>
      </w:r>
    </w:p>
    <w:p>
      <w:pPr>
        <w:spacing w:after="0" w:line="90"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Kristalose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lactulose</w:t>
      </w:r>
      <w:r>
        <w:rPr>
          <w:rFonts w:ascii="Times New Roman" w:cs="Times New Roman" w:eastAsia="Times New Roman" w:hAnsi="Times New Roman"/>
          <w:sz w:val="20"/>
          <w:szCs w:val="20"/>
          <w:color w:val="auto"/>
        </w:rPr>
        <w:t>) oral, a prescription laxative, for the treatment of constipation;</w:t>
      </w:r>
    </w:p>
    <w:p>
      <w:pPr>
        <w:spacing w:after="0" w:line="90" w:lineRule="exact"/>
        <w:rPr>
          <w:rFonts w:ascii="Times New Roman" w:cs="Times New Roman" w:eastAsia="Times New Roman" w:hAnsi="Times New Roman"/>
          <w:sz w:val="20"/>
          <w:szCs w:val="20"/>
          <w:color w:val="auto"/>
        </w:rPr>
      </w:pPr>
    </w:p>
    <w:p>
      <w:pPr>
        <w:ind w:left="980" w:right="400" w:hanging="324"/>
        <w:spacing w:after="0" w:line="234" w:lineRule="auto"/>
        <w:tabs>
          <w:tab w:leader="none" w:pos="96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Sancuso</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granisetron</w:t>
      </w:r>
      <w:r>
        <w:rPr>
          <w:rFonts w:ascii="Times New Roman" w:cs="Times New Roman" w:eastAsia="Times New Roman" w:hAnsi="Times New Roman"/>
          <w:sz w:val="20"/>
          <w:szCs w:val="20"/>
          <w:color w:val="auto"/>
        </w:rPr>
        <w:t>) transdermal, for the prevention of nausea and vomiting in patients receiving certain types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chemotherapy treatment;</w:t>
      </w:r>
    </w:p>
    <w:p>
      <w:pPr>
        <w:spacing w:after="0" w:line="116" w:lineRule="exact"/>
        <w:rPr>
          <w:rFonts w:ascii="Times New Roman" w:cs="Times New Roman" w:eastAsia="Times New Roman" w:hAnsi="Times New Roman"/>
          <w:sz w:val="20"/>
          <w:szCs w:val="20"/>
          <w:color w:val="auto"/>
        </w:rPr>
      </w:pPr>
    </w:p>
    <w:p>
      <w:pPr>
        <w:ind w:left="980" w:right="380" w:hanging="324"/>
        <w:spacing w:after="0" w:line="234" w:lineRule="auto"/>
        <w:tabs>
          <w:tab w:leader="none" w:pos="96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Vaprisol</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conivaptan</w:t>
      </w:r>
      <w:r>
        <w:rPr>
          <w:rFonts w:ascii="Times New Roman" w:cs="Times New Roman" w:eastAsia="Times New Roman" w:hAnsi="Times New Roman"/>
          <w:sz w:val="20"/>
          <w:szCs w:val="20"/>
          <w:color w:val="auto"/>
        </w:rPr>
        <w:t>) injection, to raise serum sodium levels in hospitalized patients with euvolemic and hypervolemic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hyponatremia; and</w:t>
      </w:r>
    </w:p>
    <w:p>
      <w:pPr>
        <w:spacing w:after="0" w:line="116" w:lineRule="exact"/>
        <w:rPr>
          <w:rFonts w:ascii="Times New Roman" w:cs="Times New Roman" w:eastAsia="Times New Roman" w:hAnsi="Times New Roman"/>
          <w:sz w:val="20"/>
          <w:szCs w:val="20"/>
          <w:color w:val="auto"/>
        </w:rPr>
      </w:pPr>
    </w:p>
    <w:p>
      <w:pPr>
        <w:ind w:left="980" w:right="380" w:hanging="324"/>
        <w:spacing w:after="0" w:line="234" w:lineRule="auto"/>
        <w:tabs>
          <w:tab w:leader="none" w:pos="96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Vibativ</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telavancin</w:t>
      </w:r>
      <w:r>
        <w:rPr>
          <w:rFonts w:ascii="Times New Roman" w:cs="Times New Roman" w:eastAsia="Times New Roman" w:hAnsi="Times New Roman"/>
          <w:sz w:val="20"/>
          <w:szCs w:val="20"/>
          <w:color w:val="auto"/>
        </w:rPr>
        <w:t>) injection, for the treatment of certain serious bacterial infections including hospital-acquired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ventilator-associated bacterial pneumonia, as well as complicated skin and skin structure infections.</w:t>
      </w:r>
    </w:p>
    <w:p>
      <w:pPr>
        <w:spacing w:after="0" w:line="12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company also has Phase II clinical studies evaluating its ifetroban product candidate in patients with Duchenne muscular dystrophy, systemic sclerosis and idiopathic pulmonary fibrosis.</w:t>
      </w:r>
    </w:p>
    <w:p>
      <w:pPr>
        <w:spacing w:after="0" w:line="1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For more information on Cumberland’s approved products, including full prescribing information, please visit the individual product websites, which can be found on the company’s website: </w:t>
      </w:r>
      <w:r>
        <w:rPr>
          <w:rFonts w:ascii="Times New Roman" w:cs="Times New Roman" w:eastAsia="Times New Roman" w:hAnsi="Times New Roman"/>
          <w:sz w:val="20"/>
          <w:szCs w:val="20"/>
          <w:u w:val="single" w:color="auto"/>
          <w:color w:val="0000FF"/>
        </w:rPr>
        <w:t>www.cumberlandpharma.com</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Cumberland Pharmaceuticals Inc.</w:t>
      </w:r>
    </w:p>
    <w:p>
      <w:pPr>
        <w:sectPr>
          <w:pgSz w:w="11900" w:h="16838" w:orient="portrait"/>
          <w:cols w:equalWidth="0" w:num="1">
            <w:col w:w="11240"/>
          </w:cols>
          <w:pgMar w:left="320" w:top="1031" w:right="3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Investor Contact: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66" w:lineRule="exact"/>
        <w:rPr>
          <w:sz w:val="20"/>
          <w:szCs w:val="20"/>
          <w:color w:val="auto"/>
        </w:rPr>
      </w:pPr>
    </w:p>
    <w:p>
      <w:pPr>
        <w:sectPr>
          <w:pgSz w:w="11900" w:h="16838" w:orient="portrait"/>
          <w:cols w:equalWidth="0" w:num="2">
            <w:col w:w="1560" w:space="720"/>
            <w:col w:w="8960"/>
          </w:cols>
          <w:pgMar w:left="320" w:top="10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Shayla Simpson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Emily Kent</w:t>
      </w:r>
    </w:p>
    <w:p>
      <w:pPr>
        <w:spacing w:after="0" w:line="160" w:lineRule="exact"/>
        <w:rPr>
          <w:sz w:val="20"/>
          <w:szCs w:val="20"/>
          <w:color w:val="auto"/>
        </w:rPr>
      </w:pPr>
    </w:p>
    <w:p>
      <w:pPr>
        <w:sectPr>
          <w:pgSz w:w="11900" w:h="16838" w:orient="portrait"/>
          <w:cols w:equalWidth="0" w:num="2">
            <w:col w:w="1600" w:space="720"/>
            <w:col w:w="8920"/>
          </w:cols>
          <w:pgMar w:left="320" w:top="10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Cumberland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Dalton Agency</w:t>
      </w:r>
    </w:p>
    <w:p>
      <w:pPr>
        <w:spacing w:after="0" w:line="160" w:lineRule="exact"/>
        <w:rPr>
          <w:sz w:val="20"/>
          <w:szCs w:val="20"/>
          <w:color w:val="auto"/>
        </w:rPr>
      </w:pPr>
    </w:p>
    <w:p>
      <w:pPr>
        <w:sectPr>
          <w:pgSz w:w="11900" w:h="16838" w:orient="portrait"/>
          <w:cols w:equalWidth="0" w:num="2">
            <w:col w:w="2340" w:space="580"/>
            <w:col w:w="8320"/>
          </w:cols>
          <w:pgMar w:left="320" w:top="10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(615) 255-0068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(540) 621-5448</w:t>
      </w:r>
    </w:p>
    <w:p>
      <w:pPr>
        <w:spacing w:after="0" w:line="200" w:lineRule="exact"/>
        <w:rPr>
          <w:sz w:val="20"/>
          <w:szCs w:val="20"/>
          <w:color w:val="auto"/>
        </w:rPr>
      </w:pPr>
    </w:p>
    <w:p>
      <w:pPr>
        <w:sectPr>
          <w:pgSz w:w="11900" w:h="16838" w:orient="portrait"/>
          <w:cols w:equalWidth="0" w:num="2">
            <w:col w:w="1520" w:space="720"/>
            <w:col w:w="9000"/>
          </w:cols>
          <w:pgMar w:left="320" w:top="10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w:t>
      </w:r>
    </w:p>
    <w:sectPr>
      <w:pgSz w:w="11900" w:h="16838" w:orient="portrait"/>
      <w:cols w:equalWidth="0" w:num="1">
        <w:col w:w="11240"/>
      </w:cols>
      <w:pgMar w:left="320" w:top="10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2025-10-21T08:27:07Z</dcterms:created>
  <dcterms:modified xsi:type="dcterms:W3CDTF">2025-10-21T08:27:07Z</dcterms:modified>
</cp:coreProperties>
</file>