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9734" w:type="dxa"/>
        <w:jc w:val="center"/>
        <w:tblInd w:w="0" w:type="dxa"/>
        <w:tblLayout w:type="fixed"/>
        <w:tblCellMar>
          <w:top w:w="28" w:type="dxa"/>
          <w:left w:w="28" w:type="dxa"/>
          <w:bottom w:w="28" w:type="dxa"/>
          <w:right w:w="28" w:type="dxa"/>
        </w:tblCellMar>
      </w:tblPr>
      <w:tblGrid>
        <w:gridCol w:w="3118"/>
        <w:gridCol w:w="2741"/>
        <w:gridCol w:w="3875"/>
      </w:tblGrid>
      <w:tr>
        <w:trPr/>
        <w:tc>
          <w:tcPr>
            <w:tcW w:w="3118"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9734" w:type="dxa"/>
            <w:gridSpan w:val="3"/>
            <w:tcBorders/>
            <w:tcMar>
              <w:top w:w="0" w:type="dxa"/>
              <w:left w:w="0" w:type="dxa"/>
              <w:bottom w:w="0" w:type="dxa"/>
              <w:right w:w="0" w:type="dxa"/>
            </w:tcMar>
            <w:vAlign w:val="center"/>
          </w:tcPr>
          <w:p>
            <w:pPr>
              <w:pStyle w:val="TableContents"/>
              <w:bidi w:val="0"/>
              <w:spacing w:before="0" w:after="240"/>
              <w:jc w:val="center"/>
              <w:rPr/>
            </w:pPr>
            <w:r>
              <w:rPr/>
              <w:drawing>
                <wp:inline distT="0" distB="0" distL="0" distR="0">
                  <wp:extent cx="3657600"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95275"/>
                          </a:xfrm>
                          <a:prstGeom prst="rect">
                            <a:avLst/>
                          </a:prstGeom>
                        </pic:spPr>
                      </pic:pic>
                    </a:graphicData>
                  </a:graphic>
                </wp:inline>
              </w:drawing>
            </w:r>
          </w:p>
        </w:tc>
      </w:tr>
      <w:tr>
        <w:trPr/>
        <w:tc>
          <w:tcPr>
            <w:tcW w:w="973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6C6F70"/>
                <w:sz w:val="20"/>
              </w:rPr>
              <w:t xml:space="preserve">SUITE 2000 </w:t>
            </w:r>
            <w:r>
              <w:rPr>
                <w:color w:val="6C6F70"/>
              </w:rPr>
              <w:t xml:space="preserve">• </w:t>
            </w:r>
            <w:r>
              <w:rPr>
                <w:rFonts w:ascii="Times New Roman;serif" w:hAnsi="Times New Roman;serif"/>
                <w:b w:val="false"/>
                <w:color w:val="6C6F70"/>
                <w:sz w:val="20"/>
              </w:rPr>
              <w:t xml:space="preserve">1600 WEST END AVENUE </w:t>
            </w:r>
            <w:r>
              <w:rPr>
                <w:color w:val="6C6F70"/>
              </w:rPr>
              <w:t xml:space="preserve">• </w:t>
            </w:r>
            <w:r>
              <w:rPr>
                <w:rFonts w:ascii="Times New Roman;serif" w:hAnsi="Times New Roman;serif"/>
                <w:b w:val="false"/>
                <w:color w:val="6C6F70"/>
                <w:sz w:val="20"/>
              </w:rPr>
              <w:t xml:space="preserve">NASHVILLE, TENNESSEE 37203 </w:t>
            </w:r>
            <w:r>
              <w:rPr>
                <w:color w:val="6C6F70"/>
              </w:rPr>
              <w:t xml:space="preserve">• </w:t>
            </w:r>
            <w:r>
              <w:rPr>
                <w:rFonts w:ascii="Times New Roman;serif" w:hAnsi="Times New Roman;serif"/>
                <w:b w:val="false"/>
                <w:color w:val="6C6F70"/>
                <w:sz w:val="20"/>
              </w:rPr>
              <w:t xml:space="preserve">615.726.5600 </w:t>
            </w:r>
            <w:r>
              <w:rPr>
                <w:color w:val="6C6F70"/>
              </w:rPr>
              <w:t xml:space="preserve">• </w:t>
            </w:r>
            <w:r>
              <w:rPr>
                <w:rFonts w:ascii="Times New Roman;serif" w:hAnsi="Times New Roman;serif"/>
                <w:b w:val="false"/>
                <w:color w:val="6C6F70"/>
                <w:sz w:val="20"/>
              </w:rPr>
              <w:t>bakerdonelson.com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Tonya Mitchem Grindon, Shareholder</w:t>
      </w:r>
    </w:p>
    <w:p>
      <w:pPr>
        <w:pStyle w:val="TextBody"/>
        <w:bidi w:val="0"/>
        <w:spacing w:lineRule="auto" w:line="288" w:before="0" w:after="0"/>
        <w:jc w:val="left"/>
        <w:rPr/>
      </w:pPr>
      <w:r>
        <w:rPr>
          <w:rFonts w:ascii="Times New Roman;serif" w:hAnsi="Times New Roman;serif"/>
          <w:b/>
          <w:color w:val="000000"/>
          <w:sz w:val="20"/>
        </w:rPr>
        <w:t>Direct Dial</w:t>
      </w:r>
      <w:r>
        <w:rPr>
          <w:rFonts w:ascii="Times New Roman;serif" w:hAnsi="Times New Roman;serif"/>
          <w:b w:val="false"/>
          <w:color w:val="000000"/>
          <w:sz w:val="20"/>
        </w:rPr>
        <w:t>: 615.726.5607</w:t>
      </w:r>
    </w:p>
    <w:p>
      <w:pPr>
        <w:pStyle w:val="TextBody"/>
        <w:bidi w:val="0"/>
        <w:spacing w:lineRule="auto" w:line="288" w:before="0" w:after="0"/>
        <w:jc w:val="left"/>
        <w:rPr/>
      </w:pPr>
      <w:r>
        <w:rPr>
          <w:rFonts w:ascii="Times New Roman;serif" w:hAnsi="Times New Roman;serif"/>
          <w:b/>
          <w:color w:val="000000"/>
          <w:sz w:val="20"/>
        </w:rPr>
        <w:t>Direct Fax</w:t>
      </w:r>
      <w:r>
        <w:rPr>
          <w:rFonts w:ascii="Times New Roman;serif" w:hAnsi="Times New Roman;serif"/>
          <w:b w:val="false"/>
          <w:color w:val="000000"/>
          <w:sz w:val="20"/>
        </w:rPr>
        <w:t>: 615.744.5607</w:t>
      </w:r>
    </w:p>
    <w:p>
      <w:pPr>
        <w:pStyle w:val="TextBody"/>
        <w:bidi w:val="0"/>
        <w:spacing w:lineRule="auto" w:line="288" w:before="0" w:after="0"/>
        <w:jc w:val="left"/>
        <w:rPr/>
      </w:pPr>
      <w:r>
        <w:rPr>
          <w:rFonts w:ascii="Times New Roman;serif" w:hAnsi="Times New Roman;serif"/>
          <w:b/>
          <w:color w:val="000000"/>
          <w:sz w:val="20"/>
        </w:rPr>
        <w:t>E-Mail Address</w:t>
      </w:r>
      <w:r>
        <w:rPr>
          <w:rFonts w:ascii="Times New Roman;serif" w:hAnsi="Times New Roman;serif"/>
          <w:b w:val="false"/>
          <w:color w:val="000000"/>
          <w:sz w:val="20"/>
        </w:rPr>
        <w:t>: tgrindon@bakerdonelson.com</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August 15, 2025</w:t>
      </w:r>
    </w:p>
    <w:p>
      <w:pPr>
        <w:pStyle w:val="TextBody"/>
        <w:bidi w:val="0"/>
        <w:spacing w:before="11"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United States Securities and Exchange Commission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Division of Corporation Finance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100 F Street, N.E.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before="0" w:after="0"/>
        <w:jc w:val="both"/>
        <w:rPr/>
      </w:pPr>
      <w:r>
        <w:rPr/>
      </w:r>
    </w:p>
    <w:tbl>
      <w:tblPr>
        <w:tblW w:w="7269" w:type="dxa"/>
        <w:jc w:val="left"/>
        <w:tblInd w:w="0" w:type="dxa"/>
        <w:tblLayout w:type="fixed"/>
        <w:tblCellMar>
          <w:top w:w="28" w:type="dxa"/>
          <w:left w:w="28" w:type="dxa"/>
          <w:bottom w:w="28" w:type="dxa"/>
          <w:right w:w="28" w:type="dxa"/>
        </w:tblCellMar>
      </w:tblPr>
      <w:tblGrid>
        <w:gridCol w:w="211"/>
        <w:gridCol w:w="186"/>
        <w:gridCol w:w="188"/>
        <w:gridCol w:w="303"/>
        <w:gridCol w:w="303"/>
        <w:gridCol w:w="303"/>
        <w:gridCol w:w="1686"/>
        <w:gridCol w:w="1686"/>
        <w:gridCol w:w="2403"/>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Attn:</w:t>
            </w:r>
          </w:p>
        </w:tc>
        <w:tc>
          <w:tcPr>
            <w:tcW w:w="66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Vanessa Robertson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Tracie Mariner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Re:</w:t>
            </w:r>
          </w:p>
        </w:tc>
        <w:tc>
          <w:tcPr>
            <w:tcW w:w="5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Cumberland Pharmaceuticals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Form 10-K for the Fiscal Year Ended December 31, 2024</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File No. 001-33637</w:t>
            </w:r>
          </w:p>
        </w:tc>
      </w:tr>
    </w:tbl>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To whom it may concern:</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letter is submitted on behalf of Cumberland Pharmaceuticals Inc. (the “Company”) in response to the comment letter (the “Comment Letter”) from the Staff of the Division of Corporation Finance (the “Staff”) of the Securities and Exchange Commission (the “Commission”), dated August 4, 2025, relating to the Company’s Form 10-K for the fiscal year ended December 31, 2024 (the “Form 10-K”), filed with the Commission on March 7, 2025.</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ease of reference, the headings and numbers of the Company’s responses set forth below correspond to the headings and numbers in the Comment Letter, and we have set forth below, in italics, the text of the Staff’s comment prior to each of the Company’s responses in the same order as presented in the Comment Letter.</w:t>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Form 10-K for the Fiscal Year Ended December 31, 2024</w:t>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Item 7. Management's Discussion and Analysis of Financial Condition and Results of Operations</w:t>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Results of Operations</w:t>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Research and development, page 68</w:t>
      </w:r>
    </w:p>
    <w:p>
      <w:pPr>
        <w:pStyle w:val="TextBody"/>
        <w:bidi w:val="0"/>
        <w:spacing w:lineRule="auto" w:line="288" w:before="206" w:after="283"/>
        <w:jc w:val="left"/>
        <w:rPr>
          <w:rFonts w:ascii="Times New Roman;serif" w:hAnsi="Times New Roman;serif"/>
          <w:b/>
          <w:color w:val="000000"/>
          <w:sz w:val="22"/>
        </w:rPr>
      </w:pPr>
      <w:r>
        <w:rPr>
          <w:rFonts w:ascii="Times New Roman;serif" w:hAnsi="Times New Roman;serif"/>
          <w:b/>
          <w:color w:val="000000"/>
          <w:sz w:val="22"/>
        </w:rPr>
        <w:t>Comment:</w:t>
      </w:r>
    </w:p>
    <w:p>
      <w:pPr>
        <w:pStyle w:val="TextBody"/>
        <w:bidi w:val="0"/>
        <w:spacing w:lineRule="auto" w:line="288" w:before="36" w:after="283"/>
        <w:ind w:left="0" w:right="0" w:hanging="707"/>
        <w:jc w:val="both"/>
        <w:rPr/>
      </w:pPr>
      <w:r>
        <w:rPr>
          <w:rFonts w:ascii="Times New Roman;serif" w:hAnsi="Times New Roman;serif"/>
          <w:b w:val="false"/>
          <w:color w:val="000000"/>
          <w:sz w:val="24"/>
        </w:rPr>
        <w:t>1.</w:t>
      </w:r>
      <w:r>
        <w:rPr>
          <w:rFonts w:ascii="Times New Roman;serif" w:hAnsi="Times New Roman;serif"/>
          <w:b w:val="false"/>
          <w:i/>
          <w:color w:val="000000"/>
          <w:sz w:val="22"/>
        </w:rPr>
        <w:t>Please provide revised disclosure to be included in future filings to break out research and development expenses by clinical program or by indication. For amounts that are not tracked by program, provide other quantitative or qualitative disclosure that provides more transparency as to the type of research and development expenses incurred (i.e. by nature or type of expense) for each period presented which should reconcile to total research and development expense on the Statements of Operations.</w:t>
      </w:r>
    </w:p>
    <w:p>
      <w:pPr>
        <w:pStyle w:val="TextBody"/>
        <w:bidi w:val="0"/>
        <w:spacing w:before="36" w:after="283"/>
        <w:jc w:val="left"/>
        <w:rPr/>
      </w:pPr>
      <w:r>
        <w:rPr/>
      </w:r>
    </w:p>
    <w:p>
      <w:pPr>
        <w:pStyle w:val="TextBody"/>
        <w:bidi w:val="0"/>
        <w:spacing w:before="36" w:after="283"/>
        <w:jc w:val="left"/>
        <w:rPr/>
      </w:pPr>
      <w:r>
        <w:rPr/>
      </w:r>
    </w:p>
    <w:p>
      <w:pPr>
        <w:pStyle w:val="TextBody"/>
        <w:bidi w:val="0"/>
        <w:spacing w:before="36" w:after="283"/>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US Securities and Exchange Commission</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190625"/>
                <wp:effectExtent l="0" t="0" r="0" b="0"/>
                <wp:wrapNone/>
                <wp:docPr id="2" name="Frame1"/>
                <a:graphic xmlns:a="http://schemas.openxmlformats.org/drawingml/2006/main">
                  <a:graphicData uri="http://schemas.microsoft.com/office/word/2010/wordprocessingShape">
                    <wps:wsp>
                      <wps:cNvSpPr txBox="1"/>
                      <wps:spPr>
                        <a:xfrm>
                          <a:off x="0" y="0"/>
                          <a:ext cx="6480175" cy="1190625"/>
                        </a:xfrm>
                        <a:prstGeom prst="rect"/>
                        <a:solidFill>
                          <a:srgbClr val="FFFFFF"/>
                        </a:solidFill>
                      </wps:spPr>
                      <wps:txbx>
                        <w:txbxContent>
                          <w:tbl>
                            <w:tblPr>
                              <w:tblW w:w="8474" w:type="dxa"/>
                              <w:jc w:val="left"/>
                              <w:tblInd w:w="0" w:type="dxa"/>
                              <w:tblLayout w:type="fixed"/>
                              <w:tblCellMar>
                                <w:top w:w="28" w:type="dxa"/>
                                <w:left w:w="28" w:type="dxa"/>
                                <w:bottom w:w="28" w:type="dxa"/>
                                <w:right w:w="28" w:type="dxa"/>
                              </w:tblCellMar>
                            </w:tblPr>
                            <w:tblGrid>
                              <w:gridCol w:w="2712"/>
                              <w:gridCol w:w="2386"/>
                              <w:gridCol w:w="3376"/>
                            </w:tblGrid>
                            <w:tr>
                              <w:trPr/>
                              <w:tc>
                                <w:tcPr>
                                  <w:tcW w:w="2712" w:type="dxa"/>
                                  <w:tcBorders/>
                                  <w:vAlign w:val="center"/>
                                </w:tcPr>
                                <w:p>
                                  <w:pPr>
                                    <w:pStyle w:val="TableContents"/>
                                    <w:bidi w:val="0"/>
                                    <w:spacing w:before="0" w:after="283"/>
                                    <w:jc w:val="left"/>
                                    <w:rPr>
                                      <w:sz w:val="4"/>
                                      <w:szCs w:val="4"/>
                                    </w:rPr>
                                  </w:pPr>
                                  <w:r>
                                    <w:rPr>
                                      <w:sz w:val="4"/>
                                      <w:szCs w:val="4"/>
                                    </w:rPr>
                                  </w:r>
                                  <w:r>
                                    <w:br w:type="page"/>
                                  </w:r>
                                </w:p>
                              </w:tc>
                              <w:tc>
                                <w:tcPr>
                                  <w:tcW w:w="238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847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6C6F70"/>
                                      <w:sz w:val="18"/>
                                    </w:rPr>
                                    <w:t xml:space="preserve">ALABAMA </w:t>
                                  </w:r>
                                  <w:r>
                                    <w:rPr>
                                      <w:color w:val="6C6F70"/>
                                    </w:rPr>
                                    <w:t xml:space="preserve">• </w:t>
                                  </w:r>
                                  <w:r>
                                    <w:rPr>
                                      <w:rFonts w:ascii="Times New Roman;serif" w:hAnsi="Times New Roman;serif"/>
                                      <w:b w:val="false"/>
                                      <w:color w:val="6C6F70"/>
                                      <w:sz w:val="18"/>
                                    </w:rPr>
                                    <w:t xml:space="preserve">FLORIDA </w:t>
                                  </w:r>
                                  <w:r>
                                    <w:rPr>
                                      <w:color w:val="6C6F70"/>
                                    </w:rPr>
                                    <w:t xml:space="preserve">• </w:t>
                                  </w:r>
                                  <w:r>
                                    <w:rPr>
                                      <w:rFonts w:ascii="Times New Roman;serif" w:hAnsi="Times New Roman;serif"/>
                                      <w:b w:val="false"/>
                                      <w:color w:val="6C6F70"/>
                                      <w:sz w:val="18"/>
                                    </w:rPr>
                                    <w:t xml:space="preserve">GEORGIA </w:t>
                                  </w:r>
                                  <w:r>
                                    <w:rPr>
                                      <w:color w:val="6C6F70"/>
                                    </w:rPr>
                                    <w:t xml:space="preserve">• </w:t>
                                  </w:r>
                                  <w:r>
                                    <w:rPr>
                                      <w:rFonts w:ascii="Times New Roman;serif" w:hAnsi="Times New Roman;serif"/>
                                      <w:b w:val="false"/>
                                      <w:color w:val="6C6F70"/>
                                      <w:sz w:val="18"/>
                                    </w:rPr>
                                    <w:t xml:space="preserve">LOUISIANA </w:t>
                                  </w:r>
                                  <w:r>
                                    <w:rPr>
                                      <w:color w:val="6C6F70"/>
                                    </w:rPr>
                                    <w:t xml:space="preserve">• </w:t>
                                  </w:r>
                                  <w:r>
                                    <w:rPr>
                                      <w:rFonts w:ascii="Times New Roman;serif" w:hAnsi="Times New Roman;serif"/>
                                      <w:b w:val="false"/>
                                      <w:color w:val="6C6F70"/>
                                      <w:sz w:val="18"/>
                                    </w:rPr>
                                    <w:t xml:space="preserve">MARYLAND </w:t>
                                  </w:r>
                                  <w:r>
                                    <w:rPr>
                                      <w:color w:val="6C6F70"/>
                                    </w:rPr>
                                    <w:t xml:space="preserve">• </w:t>
                                  </w:r>
                                  <w:r>
                                    <w:rPr>
                                      <w:rFonts w:ascii="Times New Roman;serif" w:hAnsi="Times New Roman;serif"/>
                                      <w:b w:val="false"/>
                                      <w:color w:val="6C6F70"/>
                                      <w:sz w:val="18"/>
                                    </w:rPr>
                                    <w:t xml:space="preserve">MISSISSIPPI </w:t>
                                  </w:r>
                                  <w:r>
                                    <w:rPr>
                                      <w:color w:val="6C6F70"/>
                                    </w:rPr>
                                    <w:t xml:space="preserve">• </w:t>
                                  </w:r>
                                  <w:r>
                                    <w:rPr>
                                      <w:rFonts w:ascii="Times New Roman;serif" w:hAnsi="Times New Roman;serif"/>
                                      <w:b w:val="false"/>
                                      <w:color w:val="6C6F70"/>
                                      <w:sz w:val="18"/>
                                    </w:rPr>
                                    <w:t xml:space="preserve">NEW JERSEY </w:t>
                                  </w:r>
                                </w:p>
                                <w:p>
                                  <w:pPr>
                                    <w:pStyle w:val="TableContents"/>
                                    <w:bidi w:val="0"/>
                                    <w:spacing w:lineRule="auto" w:line="288" w:before="0" w:after="0"/>
                                    <w:jc w:val="center"/>
                                    <w:rPr/>
                                  </w:pPr>
                                  <w:r>
                                    <w:rPr>
                                      <w:rFonts w:ascii="Times New Roman;serif" w:hAnsi="Times New Roman;serif"/>
                                      <w:b w:val="false"/>
                                      <w:color w:val="6C6F70"/>
                                      <w:sz w:val="18"/>
                                    </w:rPr>
                                    <w:t xml:space="preserve">NORTH CAROLINA </w:t>
                                  </w:r>
                                  <w:r>
                                    <w:rPr>
                                      <w:color w:val="6C6F70"/>
                                    </w:rPr>
                                    <w:t xml:space="preserve">• </w:t>
                                  </w:r>
                                  <w:r>
                                    <w:rPr>
                                      <w:rFonts w:ascii="Times New Roman;serif" w:hAnsi="Times New Roman;serif"/>
                                      <w:b w:val="false"/>
                                      <w:color w:val="6C6F70"/>
                                      <w:sz w:val="18"/>
                                    </w:rPr>
                                    <w:t xml:space="preserve">SOUTH CAROLINA </w:t>
                                  </w:r>
                                  <w:r>
                                    <w:rPr>
                                      <w:color w:val="6C6F70"/>
                                    </w:rPr>
                                    <w:t xml:space="preserve">• </w:t>
                                  </w:r>
                                  <w:r>
                                    <w:rPr>
                                      <w:rFonts w:ascii="Times New Roman;serif" w:hAnsi="Times New Roman;serif"/>
                                      <w:b w:val="false"/>
                                      <w:color w:val="6C6F70"/>
                                      <w:sz w:val="18"/>
                                    </w:rPr>
                                    <w:t xml:space="preserve">TENNESSEE </w:t>
                                  </w:r>
                                  <w:r>
                                    <w:rPr>
                                      <w:color w:val="6C6F70"/>
                                    </w:rPr>
                                    <w:t xml:space="preserve">• </w:t>
                                  </w:r>
                                  <w:r>
                                    <w:rPr>
                                      <w:rFonts w:ascii="Times New Roman;serif" w:hAnsi="Times New Roman;serif"/>
                                      <w:b w:val="false"/>
                                      <w:color w:val="6C6F70"/>
                                      <w:sz w:val="18"/>
                                    </w:rPr>
                                    <w:t xml:space="preserve">TEXAS </w:t>
                                  </w:r>
                                  <w:r>
                                    <w:rPr>
                                      <w:color w:val="6C6F70"/>
                                    </w:rPr>
                                    <w:t xml:space="preserve">• </w:t>
                                  </w:r>
                                  <w:r>
                                    <w:rPr>
                                      <w:rFonts w:ascii="Times New Roman;serif" w:hAnsi="Times New Roman;serif"/>
                                      <w:b w:val="false"/>
                                      <w:color w:val="6C6F70"/>
                                      <w:sz w:val="18"/>
                                    </w:rPr>
                                    <w:t xml:space="preserve">VIRGINIA </w:t>
                                  </w:r>
                                  <w:r>
                                    <w:rPr>
                                      <w:color w:val="6C6F70"/>
                                    </w:rPr>
                                    <w:t xml:space="preserve">• </w:t>
                                  </w:r>
                                  <w:r>
                                    <w:rPr>
                                      <w:rFonts w:ascii="Times New Roman;serif" w:hAnsi="Times New Roman;serif"/>
                                      <w:b w:val="false"/>
                                      <w:color w:val="6C6F70"/>
                                      <w:sz w:val="18"/>
                                    </w:rPr>
                                    <w:t>WASHINGTON, D.C.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75pt;mso-wrap-distance-left:0pt;mso-wrap-distance-right:0pt;mso-wrap-distance-top:0pt;mso-wrap-distance-bottom:0pt;margin-top:0pt;mso-position-vertical:top;mso-position-vertical-relative:text;margin-left:0pt;mso-position-horizontal:left;mso-position-horizontal-relative:text">
                <v:textbox>
                  <w:txbxContent>
                    <w:tbl>
                      <w:tblPr>
                        <w:tblW w:w="8474" w:type="dxa"/>
                        <w:jc w:val="left"/>
                        <w:tblInd w:w="0" w:type="dxa"/>
                        <w:tblLayout w:type="fixed"/>
                        <w:tblCellMar>
                          <w:top w:w="28" w:type="dxa"/>
                          <w:left w:w="28" w:type="dxa"/>
                          <w:bottom w:w="28" w:type="dxa"/>
                          <w:right w:w="28" w:type="dxa"/>
                        </w:tblCellMar>
                      </w:tblPr>
                      <w:tblGrid>
                        <w:gridCol w:w="2712"/>
                        <w:gridCol w:w="2386"/>
                        <w:gridCol w:w="3376"/>
                      </w:tblGrid>
                      <w:tr>
                        <w:trPr/>
                        <w:tc>
                          <w:tcPr>
                            <w:tcW w:w="2712"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847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6C6F70"/>
                                <w:sz w:val="18"/>
                              </w:rPr>
                              <w:t xml:space="preserve">ALABAMA </w:t>
                            </w:r>
                            <w:r>
                              <w:rPr>
                                <w:color w:val="6C6F70"/>
                              </w:rPr>
                              <w:t xml:space="preserve">• </w:t>
                            </w:r>
                            <w:r>
                              <w:rPr>
                                <w:rFonts w:ascii="Times New Roman;serif" w:hAnsi="Times New Roman;serif"/>
                                <w:b w:val="false"/>
                                <w:color w:val="6C6F70"/>
                                <w:sz w:val="18"/>
                              </w:rPr>
                              <w:t xml:space="preserve">FLORIDA </w:t>
                            </w:r>
                            <w:r>
                              <w:rPr>
                                <w:color w:val="6C6F70"/>
                              </w:rPr>
                              <w:t xml:space="preserve">• </w:t>
                            </w:r>
                            <w:r>
                              <w:rPr>
                                <w:rFonts w:ascii="Times New Roman;serif" w:hAnsi="Times New Roman;serif"/>
                                <w:b w:val="false"/>
                                <w:color w:val="6C6F70"/>
                                <w:sz w:val="18"/>
                              </w:rPr>
                              <w:t xml:space="preserve">GEORGIA </w:t>
                            </w:r>
                            <w:r>
                              <w:rPr>
                                <w:color w:val="6C6F70"/>
                              </w:rPr>
                              <w:t xml:space="preserve">• </w:t>
                            </w:r>
                            <w:r>
                              <w:rPr>
                                <w:rFonts w:ascii="Times New Roman;serif" w:hAnsi="Times New Roman;serif"/>
                                <w:b w:val="false"/>
                                <w:color w:val="6C6F70"/>
                                <w:sz w:val="18"/>
                              </w:rPr>
                              <w:t xml:space="preserve">LOUISIANA </w:t>
                            </w:r>
                            <w:r>
                              <w:rPr>
                                <w:color w:val="6C6F70"/>
                              </w:rPr>
                              <w:t xml:space="preserve">• </w:t>
                            </w:r>
                            <w:r>
                              <w:rPr>
                                <w:rFonts w:ascii="Times New Roman;serif" w:hAnsi="Times New Roman;serif"/>
                                <w:b w:val="false"/>
                                <w:color w:val="6C6F70"/>
                                <w:sz w:val="18"/>
                              </w:rPr>
                              <w:t xml:space="preserve">MARYLAND </w:t>
                            </w:r>
                            <w:r>
                              <w:rPr>
                                <w:color w:val="6C6F70"/>
                              </w:rPr>
                              <w:t xml:space="preserve">• </w:t>
                            </w:r>
                            <w:r>
                              <w:rPr>
                                <w:rFonts w:ascii="Times New Roman;serif" w:hAnsi="Times New Roman;serif"/>
                                <w:b w:val="false"/>
                                <w:color w:val="6C6F70"/>
                                <w:sz w:val="18"/>
                              </w:rPr>
                              <w:t xml:space="preserve">MISSISSIPPI </w:t>
                            </w:r>
                            <w:r>
                              <w:rPr>
                                <w:color w:val="6C6F70"/>
                              </w:rPr>
                              <w:t xml:space="preserve">• </w:t>
                            </w:r>
                            <w:r>
                              <w:rPr>
                                <w:rFonts w:ascii="Times New Roman;serif" w:hAnsi="Times New Roman;serif"/>
                                <w:b w:val="false"/>
                                <w:color w:val="6C6F70"/>
                                <w:sz w:val="18"/>
                              </w:rPr>
                              <w:t xml:space="preserve">NEW JERSEY </w:t>
                            </w:r>
                          </w:p>
                          <w:p>
                            <w:pPr>
                              <w:pStyle w:val="TableContents"/>
                              <w:bidi w:val="0"/>
                              <w:spacing w:lineRule="auto" w:line="288" w:before="0" w:after="0"/>
                              <w:jc w:val="center"/>
                              <w:rPr/>
                            </w:pPr>
                            <w:r>
                              <w:rPr>
                                <w:rFonts w:ascii="Times New Roman;serif" w:hAnsi="Times New Roman;serif"/>
                                <w:b w:val="false"/>
                                <w:color w:val="6C6F70"/>
                                <w:sz w:val="18"/>
                              </w:rPr>
                              <w:t xml:space="preserve">NORTH CAROLINA </w:t>
                            </w:r>
                            <w:r>
                              <w:rPr>
                                <w:color w:val="6C6F70"/>
                              </w:rPr>
                              <w:t xml:space="preserve">• </w:t>
                            </w:r>
                            <w:r>
                              <w:rPr>
                                <w:rFonts w:ascii="Times New Roman;serif" w:hAnsi="Times New Roman;serif"/>
                                <w:b w:val="false"/>
                                <w:color w:val="6C6F70"/>
                                <w:sz w:val="18"/>
                              </w:rPr>
                              <w:t xml:space="preserve">SOUTH CAROLINA </w:t>
                            </w:r>
                            <w:r>
                              <w:rPr>
                                <w:color w:val="6C6F70"/>
                              </w:rPr>
                              <w:t xml:space="preserve">• </w:t>
                            </w:r>
                            <w:r>
                              <w:rPr>
                                <w:rFonts w:ascii="Times New Roman;serif" w:hAnsi="Times New Roman;serif"/>
                                <w:b w:val="false"/>
                                <w:color w:val="6C6F70"/>
                                <w:sz w:val="18"/>
                              </w:rPr>
                              <w:t xml:space="preserve">TENNESSEE </w:t>
                            </w:r>
                            <w:r>
                              <w:rPr>
                                <w:color w:val="6C6F70"/>
                              </w:rPr>
                              <w:t xml:space="preserve">• </w:t>
                            </w:r>
                            <w:r>
                              <w:rPr>
                                <w:rFonts w:ascii="Times New Roman;serif" w:hAnsi="Times New Roman;serif"/>
                                <w:b w:val="false"/>
                                <w:color w:val="6C6F70"/>
                                <w:sz w:val="18"/>
                              </w:rPr>
                              <w:t xml:space="preserve">TEXAS </w:t>
                            </w:r>
                            <w:r>
                              <w:rPr>
                                <w:color w:val="6C6F70"/>
                              </w:rPr>
                              <w:t xml:space="preserve">• </w:t>
                            </w:r>
                            <w:r>
                              <w:rPr>
                                <w:rFonts w:ascii="Times New Roman;serif" w:hAnsi="Times New Roman;serif"/>
                                <w:b w:val="false"/>
                                <w:color w:val="6C6F70"/>
                                <w:sz w:val="18"/>
                              </w:rPr>
                              <w:t xml:space="preserve">VIRGINIA </w:t>
                            </w:r>
                            <w:r>
                              <w:rPr>
                                <w:color w:val="6C6F70"/>
                              </w:rPr>
                              <w:t xml:space="preserve">• </w:t>
                            </w:r>
                            <w:r>
                              <w:rPr>
                                <w:rFonts w:ascii="Times New Roman;serif" w:hAnsi="Times New Roman;serif"/>
                                <w:b w:val="false"/>
                                <w:color w:val="6C6F70"/>
                                <w:sz w:val="18"/>
                              </w:rPr>
                              <w:t>WASHINGTON, D.C.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15, 2025</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Response:</w:t>
      </w:r>
    </w:p>
    <w:p>
      <w:pPr>
        <w:pStyle w:val="TextBody"/>
        <w:bidi w:val="0"/>
        <w:spacing w:before="36"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respectfully advises the Staff that it does not track all its research and development costs by program given that it incurs expenses in support of both its portfolio of commercial brands and its growing pipeline of new product candidates. The Company manages its research and development efforts dynamically, taking into account activities needed to support and expand its commercial brands, as well as those involved in its efforts to develop new product candidates that address unmet medical needs.  These activities include product formulation, preclinical testing, clinical studies, data analysis, pharmacovigilance and regulatory submissions.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is able to accurately track research and development expenses by certain expense categories. The Company can identify and provide information by external and internal costs. The Company’s external research and development expenses primarily consist of expenses for clinical development, regulatory and others including research activities and non-clinical studies. The Company’s internal research and development expenses primarily consist of personnel-related costs, including salaries, bonuses, benefits, payroll taxes and stock-based compensation for employees engaged in research and development functions.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The Company respectfully advises the Staff that the Company will include, beginning with its third quarter 2025 and all future filings, disclosures consistent with the table set forth below and provide a break down by nature or type of research and development expenses incurred (specifically, internal development costs and external development costs), which the Company will reconcile to total research and development expense on the Statements of Operations. The Company intends to include a similar table to that set forth below in each Quarterly Report on Form 10-Q and Annual Report on Form 10-K on a prospective basis, beginning with its Form 10-Q for the quarter ended September 30, 2025. Such a table will be included in the section titled </w:t>
      </w:r>
      <w:r>
        <w:rPr>
          <w:rFonts w:ascii="Times New Roman;serif" w:hAnsi="Times New Roman;serif"/>
          <w:b w:val="false"/>
          <w:i/>
          <w:color w:val="000000"/>
          <w:sz w:val="22"/>
        </w:rPr>
        <w:t>Management’s Discussion and Analysis of Financial Condition and Results of Operations</w:t>
      </w:r>
      <w:r>
        <w:rPr>
          <w:rFonts w:ascii="Times New Roman;serif" w:hAnsi="Times New Roman;serif"/>
          <w:b w:val="false"/>
          <w:color w:val="000000"/>
          <w:sz w:val="22"/>
        </w:rPr>
        <w:t>.</w:t>
      </w:r>
    </w:p>
    <w:tbl>
      <w:tblPr>
        <w:tblW w:w="6587" w:type="dxa"/>
        <w:jc w:val="center"/>
        <w:tblInd w:w="0" w:type="dxa"/>
        <w:tblLayout w:type="fixed"/>
        <w:tblCellMar>
          <w:top w:w="28" w:type="dxa"/>
          <w:left w:w="28" w:type="dxa"/>
          <w:bottom w:w="28" w:type="dxa"/>
          <w:right w:w="28" w:type="dxa"/>
        </w:tblCellMar>
      </w:tblPr>
      <w:tblGrid>
        <w:gridCol w:w="941"/>
        <w:gridCol w:w="828"/>
        <w:gridCol w:w="831"/>
        <w:gridCol w:w="110"/>
        <w:gridCol w:w="110"/>
        <w:gridCol w:w="110"/>
        <w:gridCol w:w="110"/>
        <w:gridCol w:w="110"/>
        <w:gridCol w:w="110"/>
        <w:gridCol w:w="110"/>
        <w:gridCol w:w="110"/>
        <w:gridCol w:w="110"/>
        <w:gridCol w:w="110"/>
        <w:gridCol w:w="110"/>
        <w:gridCol w:w="110"/>
        <w:gridCol w:w="110"/>
        <w:gridCol w:w="110"/>
        <w:gridCol w:w="110"/>
        <w:gridCol w:w="110"/>
        <w:gridCol w:w="110"/>
        <w:gridCol w:w="110"/>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1980" w:type="dxa"/>
            <w:gridSpan w:val="18"/>
            <w:tcBorders/>
            <w:tcMar>
              <w:top w:w="0" w:type="dxa"/>
              <w:left w:w="0" w:type="dxa"/>
              <w:bottom w:w="0" w:type="dxa"/>
              <w:right w:w="0" w:type="dxa"/>
            </w:tcMar>
            <w:vAlign w:val="center"/>
          </w:tcPr>
          <w:p>
            <w:pPr>
              <w:pStyle w:val="TableContents"/>
              <w:bidi w:val="0"/>
              <w:spacing w:lineRule="auto" w:line="319" w:before="0" w:after="0"/>
              <w:jc w:val="center"/>
              <w:rPr>
                <w:color w:val="000000"/>
              </w:rPr>
            </w:pPr>
            <w:r>
              <w:rPr>
                <w:color w:val="000000"/>
              </w:rPr>
              <w:t> </w:t>
            </w:r>
            <w:r>
              <w:rPr>
                <w:rFonts w:ascii="Times New Roman;serif" w:hAnsi="Times New Roman;serif"/>
                <w:b/>
                <w:color w:val="000000"/>
                <w:sz w:val="20"/>
              </w:rPr>
              <w:t xml:space="preserve">Months Three Ended </w:t>
            </w:r>
          </w:p>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September 30,</w:t>
            </w:r>
          </w:p>
        </w:tc>
        <w:tc>
          <w:tcPr>
            <w:tcW w:w="2007"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 xml:space="preserve">Nine Months Ended </w:t>
            </w:r>
          </w:p>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External R&amp;D Expenses</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Clinical Development</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Regulatory Expenses</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Other External</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Subtotal - external expenses</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Internal R&amp;D Expenses</w:t>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Other Internal</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Subtotal - internal expenses</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Total R&amp;D expenses</w:t>
            </w:r>
          </w:p>
        </w:tc>
        <w:tc>
          <w:tcPr>
            <w:tcW w:w="330"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top w:val="single" w:sz="8"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op w:val="single" w:sz="8"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0"/>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6" w:space="0" w:color="000000"/>
            </w:tcBorders>
            <w:tcMar>
              <w:top w:w="0" w:type="dxa"/>
              <w:left w:w="0" w:type="dxa"/>
              <w:bottom w:w="30" w:type="dxa"/>
              <w:right w:w="0" w:type="dxa"/>
            </w:tcMar>
            <w:vAlign w:val="center"/>
          </w:tcPr>
          <w:p>
            <w:pPr>
              <w:pStyle w:val="TableContents"/>
              <w:bidi w:val="0"/>
              <w:spacing w:lineRule="auto" w:line="319" w:before="0" w:after="0"/>
              <w:jc w:val="left"/>
              <w:rPr>
                <w:color w:val="000000"/>
              </w:rPr>
            </w:pPr>
            <w:r>
              <w:rPr>
                <w:color w:val="000000"/>
              </w:rPr>
              <w:t> </w:t>
            </w:r>
          </w:p>
        </w:tc>
        <w:tc>
          <w:tcPr>
            <w:tcW w:w="327" w:type="dxa"/>
            <w:gridSpan w:val="3"/>
            <w:tcBorders>
              <w:top w:val="single" w:sz="8" w:space="0" w:color="000000"/>
              <w:bottom w:val="double" w:sz="6" w:space="0" w:color="000000"/>
            </w:tcBorders>
            <w:tcMar>
              <w:top w:w="30" w:type="dxa"/>
              <w:left w:w="0" w:type="dxa"/>
              <w:bottom w:w="30" w:type="dxa"/>
              <w:right w:w="0" w:type="dxa"/>
            </w:tcMar>
            <w:vAlign w:val="center"/>
          </w:tcPr>
          <w:p>
            <w:pPr>
              <w:pStyle w:val="TableContents"/>
              <w:bidi w:val="0"/>
              <w:spacing w:lineRule="auto" w:line="319" w:before="0" w:after="0"/>
              <w:jc w:val="left"/>
              <w:rPr>
                <w:color w:val="000000"/>
              </w:rPr>
            </w:pPr>
            <w:r>
              <w:rPr>
                <w:color w:val="000000"/>
              </w:rPr>
              <w:t> </w:t>
            </w:r>
          </w:p>
        </w:tc>
        <w:tc>
          <w:tcPr>
            <w:tcW w:w="372" w:type="dxa"/>
            <w:gridSpan w:val="3"/>
            <w:tcBorders>
              <w:top w:val="single" w:sz="8" w:space="0" w:color="000000"/>
              <w:bottom w:val="doub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2"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US Securities and Exchange Commission</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25780"/>
                <wp:effectExtent l="0" t="0" r="0" b="0"/>
                <wp:wrapNone/>
                <wp:docPr id="3" name="Frame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15, 2025</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Notes to Consolidated Financial Statements</w:t>
      </w:r>
    </w:p>
    <w:p>
      <w:pPr>
        <w:pStyle w:val="TextBody"/>
        <w:bidi w:val="0"/>
        <w:spacing w:before="42" w:after="283"/>
        <w:jc w:val="left"/>
        <w:rPr/>
      </w:pPr>
      <w:r>
        <w:rPr/>
      </w:r>
    </w:p>
    <w:p>
      <w:pPr>
        <w:pStyle w:val="TextBody"/>
        <w:bidi w:val="0"/>
        <w:spacing w:before="0" w:after="0"/>
        <w:ind w:left="0" w:right="0" w:hanging="1440"/>
        <w:jc w:val="left"/>
        <w:rPr/>
      </w:pPr>
      <w:r>
        <w:rPr/>
      </w:r>
    </w:p>
    <w:p>
      <w:pPr>
        <w:pStyle w:val="TextBody"/>
        <w:bidi w:val="0"/>
        <w:spacing w:lineRule="auto" w:line="240"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(2) Significant Accounting Policies, page F-10</w:t>
      </w:r>
    </w:p>
    <w:p>
      <w:pPr>
        <w:pStyle w:val="TextBody"/>
        <w:bidi w:val="0"/>
        <w:spacing w:lineRule="auto" w:line="288" w:before="131" w:after="283"/>
        <w:jc w:val="left"/>
        <w:rPr>
          <w:rFonts w:ascii="Times New Roman;serif" w:hAnsi="Times New Roman;serif"/>
          <w:b/>
          <w:color w:val="000000"/>
          <w:sz w:val="22"/>
        </w:rPr>
      </w:pPr>
      <w:r>
        <w:rPr>
          <w:rFonts w:ascii="Times New Roman;serif" w:hAnsi="Times New Roman;serif"/>
          <w:b/>
          <w:color w:val="000000"/>
          <w:sz w:val="22"/>
        </w:rPr>
        <w:t>Comment:</w:t>
      </w:r>
    </w:p>
    <w:p>
      <w:pPr>
        <w:pStyle w:val="TextBody"/>
        <w:bidi w:val="0"/>
        <w:spacing w:before="0" w:after="0"/>
        <w:jc w:val="left"/>
        <w:rPr/>
      </w:pPr>
      <w:r>
        <w:rPr/>
      </w:r>
    </w:p>
    <w:p>
      <w:pPr>
        <w:pStyle w:val="TextBody"/>
        <w:bidi w:val="0"/>
        <w:spacing w:lineRule="auto" w:line="288" w:before="1" w:after="283"/>
        <w:ind w:left="0" w:right="0" w:hanging="707"/>
        <w:jc w:val="both"/>
        <w:rPr/>
      </w:pPr>
      <w:r>
        <w:rPr>
          <w:rFonts w:ascii="Times New Roman;serif" w:hAnsi="Times New Roman;serif"/>
          <w:b w:val="false"/>
          <w:color w:val="000000"/>
          <w:sz w:val="24"/>
        </w:rPr>
        <w:t>2.</w:t>
      </w:r>
      <w:r>
        <w:rPr>
          <w:rFonts w:ascii="Times New Roman;serif" w:hAnsi="Times New Roman;serif"/>
          <w:b w:val="false"/>
          <w:i/>
          <w:color w:val="000000"/>
          <w:sz w:val="22"/>
        </w:rPr>
        <w:t>Please confirm that you will provide the segment disclosures required by ASC 280-10-50, as amended by ASU 2023-07, in your future filings. Refer to ASC 280-10-50-</w:t>
      </w:r>
      <w:r>
        <w:rPr>
          <w:color w:val="000000"/>
        </w:rPr>
        <w:t xml:space="preserve"> </w:t>
      </w:r>
      <w:r>
        <w:rPr>
          <w:rFonts w:ascii="Times New Roman;serif" w:hAnsi="Times New Roman;serif"/>
          <w:b w:val="false"/>
          <w:i/>
          <w:color w:val="000000"/>
          <w:sz w:val="22"/>
        </w:rPr>
        <w:t>20 for single reportable segment entity requirements.</w:t>
      </w:r>
    </w:p>
    <w:p>
      <w:pPr>
        <w:pStyle w:val="TextBody"/>
        <w:bidi w:val="0"/>
        <w:spacing w:lineRule="auto" w:line="288" w:before="158" w:after="283"/>
        <w:jc w:val="left"/>
        <w:rPr>
          <w:rFonts w:ascii="Times New Roman;serif" w:hAnsi="Times New Roman;serif"/>
          <w:b/>
          <w:color w:val="000000"/>
          <w:sz w:val="22"/>
        </w:rPr>
      </w:pPr>
      <w:r>
        <w:rPr>
          <w:rFonts w:ascii="Times New Roman;serif" w:hAnsi="Times New Roman;serif"/>
          <w:b/>
          <w:color w:val="000000"/>
          <w:sz w:val="22"/>
        </w:rPr>
        <w:t>Response: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acknowledges the Staff’s comment and will expand its operating segment disclosure to include the title of the chief operation decision maker (CODM) and provide a table summarizing select financial information of the Company’s single operating segment, as set forth below under “Operating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would propose to include this additional information in future applicable filings, beginning with the Company’s Quarterly Report on Form 10-Q for the quarter ending September 30, 2025, to include all disclosures required by ASC 280-10-50, as amended by ASU 2023-07.</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Operating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has one reportable segment which is specialty pharmaceutical products. The Company's chief operating decision maker (“CODM”) is its chief executive officer. The CODM uses consolidated, single segment financial information for purposes of evaluating performance, planning and forecasting future period financial results, and allocating resources. 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selected financial information of the Company’s single operating segment for the three and nine months ended September 30, 2025 and 2024.</w:t>
      </w:r>
    </w:p>
    <w:p>
      <w:pPr>
        <w:pStyle w:val="TextBody"/>
        <w:bidi w:val="0"/>
        <w:spacing w:before="0" w:after="0"/>
        <w:jc w:val="left"/>
        <w:rPr/>
      </w:pPr>
      <w:r>
        <w:rPr/>
      </w:r>
    </w:p>
    <w:tbl>
      <w:tblPr>
        <w:tblW w:w="6787" w:type="dxa"/>
        <w:jc w:val="center"/>
        <w:tblInd w:w="0" w:type="dxa"/>
        <w:tblLayout w:type="fixed"/>
        <w:tblCellMar>
          <w:top w:w="28" w:type="dxa"/>
          <w:left w:w="28" w:type="dxa"/>
          <w:bottom w:w="28" w:type="dxa"/>
          <w:right w:w="28" w:type="dxa"/>
        </w:tblCellMar>
      </w:tblPr>
      <w:tblGrid>
        <w:gridCol w:w="979"/>
        <w:gridCol w:w="863"/>
        <w:gridCol w:w="867"/>
        <w:gridCol w:w="211"/>
        <w:gridCol w:w="211"/>
        <w:gridCol w:w="211"/>
        <w:gridCol w:w="211"/>
        <w:gridCol w:w="211"/>
        <w:gridCol w:w="211"/>
        <w:gridCol w:w="211"/>
        <w:gridCol w:w="211"/>
        <w:gridCol w:w="225"/>
        <w:gridCol w:w="109"/>
        <w:gridCol w:w="109"/>
        <w:gridCol w:w="109"/>
        <w:gridCol w:w="194"/>
        <w:gridCol w:w="194"/>
        <w:gridCol w:w="194"/>
        <w:gridCol w:w="194"/>
        <w:gridCol w:w="194"/>
        <w:gridCol w:w="194"/>
        <w:gridCol w:w="194"/>
        <w:gridCol w:w="194"/>
        <w:gridCol w:w="286"/>
      </w:tblGrid>
      <w:tr>
        <w:trPr/>
        <w:tc>
          <w:tcPr>
            <w:tcW w:w="97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Three Months Ended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Nine Months Ended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expenses</w:t>
            </w:r>
          </w:p>
        </w:tc>
        <w:tc>
          <w:tcPr>
            <w:tcW w:w="6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63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US Securities and Exchange Commission</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25780"/>
                <wp:effectExtent l="0" t="0" r="0" b="0"/>
                <wp:wrapNone/>
                <wp:docPr id="4" name="Frame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4</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August 15, 2025</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bl>
      <w:tblPr>
        <w:tblW w:w="4263" w:type="dxa"/>
        <w:jc w:val="center"/>
        <w:tblInd w:w="0" w:type="dxa"/>
        <w:tblLayout w:type="fixed"/>
        <w:tblCellMar>
          <w:top w:w="28" w:type="dxa"/>
          <w:left w:w="28" w:type="dxa"/>
          <w:bottom w:w="28" w:type="dxa"/>
          <w:right w:w="28" w:type="dxa"/>
        </w:tblCellMar>
      </w:tblPr>
      <w:tblGrid>
        <w:gridCol w:w="699"/>
        <w:gridCol w:w="612"/>
        <w:gridCol w:w="618"/>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4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If you have any questions or would like further information concerning the Company’s responses to your Comment Letter, please do not hesitate to contact me at (615) 726-5607.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 Tonya Mitchem Grindon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Tonya Mitchem Grindon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cc: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A.J. Kazimi, Chief Executive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John M. Hamm, Chief Financial Officer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r>
    </w:p>
    <w:p>
      <w:pPr>
        <w:pStyle w:val="TextBody"/>
        <w:bidi w:val="0"/>
        <w:spacing w:lineRule="auto" w:line="288"/>
        <w:jc w:val="left"/>
        <w:rPr>
          <w:rFonts w:ascii="Arial;sans-serif" w:hAnsi="Arial;sans-serif"/>
          <w:b w:val="false"/>
          <w:color w:val="000000"/>
          <w:sz w:val="22"/>
        </w:rPr>
      </w:pPr>
      <w:r>
        <w:rPr>
          <w:rFonts w:ascii="Arial;sans-serif" w:hAnsi="Arial;sans-serif"/>
          <w:b w:val="false"/>
          <w:color w:val="000000"/>
          <w:sz w:val="22"/>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5780"/>
                <wp:effectExtent l="0" t="0" r="0" b="0"/>
                <wp:wrapNone/>
                <wp:docPr id="5" name="Frame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1083</Words>
  <Characters>6143</Characters>
  <CharactersWithSpaces>7234</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