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 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10-K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ANNUAL REPORT 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fiscal year ended December 31, 2025</w:t>
      </w:r>
    </w:p>
    <w:p>
      <w:pPr>
        <w:pStyle w:val="TextBody"/>
        <w:bidi w:val="0"/>
        <w:spacing w:before="0" w:after="0"/>
        <w:jc w:val="center"/>
        <w:rPr/>
      </w:pPr>
      <w:r>
        <w:rPr/>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0"/>
        <w:jc w:val="center"/>
        <w:rPr/>
      </w:pPr>
      <w:r>
        <w:rPr>
          <w:rFonts w:ascii="Times New Roman;serif" w:hAnsi="Times New Roman;serif"/>
          <w:b/>
          <w:color w:val="000000"/>
          <w:sz w:val="44"/>
        </w:rPr>
        <w:t>CUMBERLAND PHARMACEUTICALS INC</w:t>
      </w:r>
      <w:r>
        <w:rPr>
          <w:rFonts w:ascii="Times New Roman;serif" w:hAnsi="Times New Roman;serif"/>
          <w:b/>
          <w:color w:val="000000"/>
          <w:sz w:val="52"/>
        </w:rPr>
        <w: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A Tennessee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IRS Employer Identification No. 62-1765329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001-33637</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1600 West End Avenue, Suite 1300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Nashville, Tennessee 37203</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(615) 255-0068</w:t>
      </w:r>
    </w:p>
    <w:p>
      <w:pPr>
        <w:pStyle w:val="TextBody"/>
        <w:bidi w:val="0"/>
        <w:spacing w:before="60" w:after="283"/>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76" w:before="0" w:after="0"/>
        <w:jc w:val="center"/>
        <w:rPr/>
      </w:pPr>
      <w:r>
        <w:rPr>
          <w:rFonts w:ascii="Times New Roman;serif" w:hAnsi="Times New Roman;serif"/>
          <w:b w:val="false"/>
          <w:color w:val="000000"/>
          <w:sz w:val="20"/>
        </w:rPr>
        <w:t>Securities registered pursuant to Section 12(g) of the Act:</w:t>
      </w:r>
      <w:r>
        <w:rPr>
          <w:color w:val="000000"/>
        </w:rPr>
        <w:t xml:space="preserve"> </w:t>
      </w:r>
      <w:r>
        <w:rPr>
          <w:rFonts w:ascii="Times New Roman;serif" w:hAnsi="Times New Roman;serif"/>
          <w:b w:val="false"/>
          <w:color w:val="000000"/>
          <w:sz w:val="20"/>
          <w:u w:val="single"/>
        </w:rPr>
        <w:t>None</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is not a well-known seasoned issuer, as defined in Rule 405 of the Securities Act.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Pharmaceuticals Inc. is required to file reports pursuant to Section 13 or Section 15(d) of the Act.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(1) has filed all reports required to be filed by Section 13 or 15(d) of the Securities Exchange Act of 1934 during the preceding 12 months, and (2) has been subject to such filing requirements for the past 90 days.</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Pharmaceuticals Inc. has submitted electronically every Interactive Data File required to be submitted and posted pursuant to Rule 405 of Regulation S-T (§232.405 of this chapter) during the preceding 12 months.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is a non-accelerated filer and a smaller reporting company as defined in Rule 12b-2 of the Exchange Act and is not a shell company.</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has not filed a report on and attestation to its management's assessment of the effectiveness of its internal control over financial reporting under Section 404(b) of the Sarbanes-Oxley Act (15 U.S.C. 7262(b)) by the registered public accounting firm that prepared and issued its audit report.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common stock held by non-affiliates as of June 30, 2025 was $29,403,593. The number of shares of the registrant’s Common Stock, no par value, outstanding as of March 4, 2026 was 14,956,627.</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ind w:left="0" w:right="0" w:firstLine="360"/>
        <w:jc w:val="both"/>
        <w:rPr/>
      </w:pPr>
      <w:r>
        <w:rPr/>
      </w:r>
    </w:p>
    <w:p>
      <w:pPr>
        <w:pStyle w:val="TextBody"/>
        <w:bidi w:val="0"/>
        <w:spacing w:lineRule="auto" w:line="288" w:before="40" w:after="283"/>
        <w:ind w:left="0" w:right="0" w:firstLine="360"/>
        <w:jc w:val="both"/>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in Part III of Form 10-K is incorporated by reference from the registrant’s Proxy Statement for its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10205" w:type="dxa"/>
        <w:jc w:val="center"/>
        <w:tblInd w:w="0" w:type="dxa"/>
        <w:tblLayout w:type="fixed"/>
        <w:tblCellMar>
          <w:top w:w="28" w:type="dxa"/>
          <w:left w:w="28" w:type="dxa"/>
          <w:bottom w:w="28" w:type="dxa"/>
          <w:right w:w="28" w:type="dxa"/>
        </w:tblCellMar>
      </w:tblPr>
      <w:tblGrid>
        <w:gridCol w:w="3308"/>
        <w:gridCol w:w="2858"/>
        <w:gridCol w:w="2874"/>
        <w:gridCol w:w="340"/>
        <w:gridCol w:w="340"/>
        <w:gridCol w:w="485"/>
      </w:tblGrid>
      <w:tr>
        <w:trPr/>
        <w:tc>
          <w:tcPr>
            <w:tcW w:w="330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 Number</w:t>
            </w:r>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0">
              <w:r>
                <w:rPr>
                  <w:rStyle w:val="InternetLink"/>
                  <w:rFonts w:ascii="Times New Roman;serif" w:hAnsi="Times New Roman;serif"/>
                  <w:b w:val="false"/>
                  <w:color w:val="0000FF"/>
                  <w:sz w:val="20"/>
                  <w:u w:val="single"/>
                </w:rPr>
                <w:t>PART 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0">
              <w:r>
                <w:rPr>
                  <w:rStyle w:val="InternetLink"/>
                  <w:rFonts w:ascii="Times New Roman;serif" w:hAnsi="Times New Roman;serif"/>
                  <w:b w:val="false"/>
                  <w:color w:val="0000FF"/>
                  <w:sz w:val="20"/>
                  <w:u w:val="single"/>
                </w:rPr>
                <w:t>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 Business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679">
              <w:r>
                <w:rPr>
                  <w:rStyle w:val="InternetLink"/>
                  <w:rFonts w:ascii="Times New Roman;serif" w:hAnsi="Times New Roman;serif"/>
                  <w:b w:val="false"/>
                  <w:color w:val="0000FF"/>
                  <w:sz w:val="20"/>
                  <w:u w:val="single"/>
                </w:rPr>
                <w:t>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 Risk Factors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264">
              <w:r>
                <w:rPr>
                  <w:rStyle w:val="InternetLink"/>
                  <w:rFonts w:ascii="Times New Roman;serif" w:hAnsi="Times New Roman;serif"/>
                  <w:b w:val="false"/>
                  <w:color w:val="0000FF"/>
                  <w:sz w:val="20"/>
                  <w:u w:val="single"/>
                </w:rPr>
                <w:t>36</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1B: Unresolved Staff Comments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64">
              <w:r>
                <w:rPr>
                  <w:rStyle w:val="InternetLink"/>
                  <w:rFonts w:ascii="Times New Roman;serif" w:hAnsi="Times New Roman;serif"/>
                  <w:b w:val="false"/>
                  <w:color w:val="0000FF"/>
                  <w:sz w:val="20"/>
                  <w:u w:val="single"/>
                </w:rPr>
                <w:t>62</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1C. Cybersecurity</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67">
              <w:r>
                <w:rPr>
                  <w:rStyle w:val="InternetLink"/>
                  <w:rFonts w:ascii="Times New Roman;serif" w:hAnsi="Times New Roman;serif"/>
                  <w:b w:val="false"/>
                  <w:color w:val="0000FF"/>
                  <w:sz w:val="20"/>
                  <w:u w:val="single"/>
                </w:rPr>
                <w:t>63</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2: Properties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70">
              <w:r>
                <w:rPr>
                  <w:rStyle w:val="InternetLink"/>
                  <w:rFonts w:ascii="Times New Roman;serif" w:hAnsi="Times New Roman;serif"/>
                  <w:b w:val="false"/>
                  <w:color w:val="0000FF"/>
                  <w:sz w:val="20"/>
                  <w:u w:val="single"/>
                </w:rPr>
                <w:t>64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3: Legal Proceedings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73">
              <w:r>
                <w:rPr>
                  <w:rStyle w:val="InternetLink"/>
                  <w:rFonts w:ascii="Times New Roman;serif" w:hAnsi="Times New Roman;serif"/>
                  <w:b w:val="false"/>
                  <w:color w:val="0000FF"/>
                  <w:sz w:val="20"/>
                  <w:u w:val="single"/>
                </w:rPr>
                <w:t>64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4. Mine Safety Disclosures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76">
              <w:r>
                <w:rPr>
                  <w:rStyle w:val="InternetLink"/>
                  <w:rFonts w:ascii="Times New Roman;serif" w:hAnsi="Times New Roman;serif"/>
                  <w:b w:val="false"/>
                  <w:color w:val="0000FF"/>
                  <w:sz w:val="20"/>
                  <w:u w:val="single"/>
                </w:rPr>
                <w:t>64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79">
              <w:r>
                <w:rPr>
                  <w:rStyle w:val="InternetLink"/>
                  <w:rFonts w:ascii="Times New Roman;serif" w:hAnsi="Times New Roman;serif"/>
                  <w:b w:val="false"/>
                  <w:color w:val="0000FF"/>
                  <w:sz w:val="20"/>
                  <w:u w:val="single"/>
                </w:rPr>
                <w:t>PART II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79">
              <w:r>
                <w:rPr>
                  <w:rStyle w:val="InternetLink"/>
                  <w:rFonts w:ascii="Times New Roman;serif" w:hAnsi="Times New Roman;serif"/>
                  <w:b w:val="false"/>
                  <w:color w:val="0000FF"/>
                  <w:sz w:val="20"/>
                  <w:u w:val="single"/>
                </w:rPr>
                <w:t>64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82">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82">
              <w:r>
                <w:rPr>
                  <w:rStyle w:val="InternetLink"/>
                  <w:rFonts w:ascii="Times New Roman;serif" w:hAnsi="Times New Roman;serif"/>
                  <w:b w:val="false"/>
                  <w:color w:val="0000FF"/>
                  <w:sz w:val="20"/>
                  <w:u w:val="single"/>
                </w:rPr>
                <w:t>65</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85">
              <w:r>
                <w:rPr>
                  <w:rStyle w:val="InternetLink"/>
                  <w:rFonts w:ascii="Times New Roman;serif" w:hAnsi="Times New Roman;serif"/>
                  <w:b w:val="false"/>
                  <w:color w:val="0000FF"/>
                  <w:sz w:val="20"/>
                  <w:u w:val="single"/>
                </w:rPr>
                <w:t>Item 6: Reserved</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85">
              <w:r>
                <w:rPr>
                  <w:rStyle w:val="InternetLink"/>
                  <w:rFonts w:ascii="Times New Roman;serif" w:hAnsi="Times New Roman;serif"/>
                  <w:b w:val="false"/>
                  <w:color w:val="0000FF"/>
                  <w:sz w:val="20"/>
                  <w:u w:val="single"/>
                </w:rPr>
                <w:t>66</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88">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88">
              <w:r>
                <w:rPr>
                  <w:rStyle w:val="InternetLink"/>
                  <w:rFonts w:ascii="Times New Roman;serif" w:hAnsi="Times New Roman;serif"/>
                  <w:b w:val="false"/>
                  <w:color w:val="0000FF"/>
                  <w:sz w:val="20"/>
                  <w:u w:val="single"/>
                </w:rPr>
                <w:t>66</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109">
              <w:r>
                <w:rPr>
                  <w:rStyle w:val="InternetLink"/>
                  <w:rFonts w:ascii="Times New Roman;serif" w:hAnsi="Times New Roman;serif"/>
                  <w:b w:val="false"/>
                  <w:color w:val="0000FF"/>
                  <w:sz w:val="20"/>
                  <w:u w:val="single"/>
                </w:rPr>
                <w:t>Item 7A: Quantitative and Qualitative Disclosures About Market Risk</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09">
              <w:r>
                <w:rPr>
                  <w:rStyle w:val="InternetLink"/>
                  <w:rFonts w:ascii="Times New Roman;serif" w:hAnsi="Times New Roman;serif"/>
                  <w:b w:val="false"/>
                  <w:color w:val="0000FF"/>
                  <w:sz w:val="20"/>
                  <w:u w:val="single"/>
                </w:rPr>
                <w:t>79</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112">
              <w:r>
                <w:rPr>
                  <w:rStyle w:val="InternetLink"/>
                  <w:rFonts w:ascii="Times New Roman;serif" w:hAnsi="Times New Roman;serif"/>
                  <w:b w:val="false"/>
                  <w:color w:val="0000FF"/>
                  <w:sz w:val="20"/>
                  <w:u w:val="single"/>
                </w:rPr>
                <w:t>Item 8: Financial Statements and Supplementary Data</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12">
              <w:r>
                <w:rPr>
                  <w:rStyle w:val="InternetLink"/>
                  <w:rFonts w:ascii="Times New Roman;serif" w:hAnsi="Times New Roman;serif"/>
                  <w:b w:val="false"/>
                  <w:color w:val="0000FF"/>
                  <w:sz w:val="20"/>
                  <w:u w:val="single"/>
                </w:rPr>
                <w:t>80</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15">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15">
              <w:r>
                <w:rPr>
                  <w:rStyle w:val="InternetLink"/>
                  <w:rFonts w:ascii="Times New Roman;serif" w:hAnsi="Times New Roman;serif"/>
                  <w:b w:val="false"/>
                  <w:color w:val="0000FF"/>
                  <w:sz w:val="20"/>
                  <w:u w:val="single"/>
                </w:rPr>
                <w:t>80</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118">
              <w:r>
                <w:rPr>
                  <w:rStyle w:val="InternetLink"/>
                  <w:rFonts w:ascii="Times New Roman;serif" w:hAnsi="Times New Roman;serif"/>
                  <w:b w:val="false"/>
                  <w:color w:val="0000FF"/>
                  <w:sz w:val="20"/>
                  <w:u w:val="single"/>
                </w:rPr>
                <w:t>Item 9A: Controls and Procedures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18">
              <w:r>
                <w:rPr>
                  <w:rStyle w:val="InternetLink"/>
                  <w:rFonts w:ascii="Times New Roman;serif" w:hAnsi="Times New Roman;serif"/>
                  <w:b w:val="false"/>
                  <w:color w:val="0000FF"/>
                  <w:sz w:val="20"/>
                  <w:u w:val="single"/>
                </w:rPr>
                <w:t>80</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121">
              <w:r>
                <w:rPr>
                  <w:rStyle w:val="InternetLink"/>
                  <w:rFonts w:ascii="Times New Roman;serif" w:hAnsi="Times New Roman;serif"/>
                  <w:b w:val="false"/>
                  <w:color w:val="0000FF"/>
                  <w:sz w:val="20"/>
                  <w:u w:val="single"/>
                </w:rPr>
                <w:t>Item 9B: Other Information</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21">
              <w:r>
                <w:rPr>
                  <w:rStyle w:val="InternetLink"/>
                  <w:rFonts w:ascii="Times New Roman;serif" w:hAnsi="Times New Roman;serif"/>
                  <w:b w:val="false"/>
                  <w:color w:val="0000FF"/>
                  <w:sz w:val="20"/>
                  <w:u w:val="single"/>
                </w:rPr>
                <w:t>81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124">
              <w:r>
                <w:rPr>
                  <w:rStyle w:val="InternetLink"/>
                  <w:rFonts w:ascii="Times New Roman;serif" w:hAnsi="Times New Roman;serif"/>
                  <w:b w:val="false"/>
                  <w:color w:val="0000FF"/>
                  <w:sz w:val="20"/>
                  <w:u w:val="single"/>
                </w:rPr>
                <w:t>Item 9C: Disclosure Regarding Foreign Jurisdictions that Prevent Inspections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24">
              <w:r>
                <w:rPr>
                  <w:rStyle w:val="InternetLink"/>
                  <w:rFonts w:ascii="Times New Roman;serif" w:hAnsi="Times New Roman;serif"/>
                  <w:b w:val="false"/>
                  <w:color w:val="0000FF"/>
                  <w:sz w:val="20"/>
                  <w:u w:val="single"/>
                </w:rPr>
                <w:t>82</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27">
              <w:r>
                <w:rPr>
                  <w:rStyle w:val="InternetLink"/>
                  <w:rFonts w:ascii="Times New Roman;serif" w:hAnsi="Times New Roman;serif"/>
                  <w:b w:val="false"/>
                  <w:color w:val="0000FF"/>
                  <w:sz w:val="20"/>
                  <w:u w:val="single"/>
                </w:rPr>
                <w:t>PART III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27">
              <w:r>
                <w:rPr>
                  <w:rStyle w:val="InternetLink"/>
                  <w:rFonts w:ascii="Times New Roman;serif" w:hAnsi="Times New Roman;serif"/>
                  <w:b w:val="false"/>
                  <w:color w:val="0000FF"/>
                  <w:sz w:val="20"/>
                  <w:u w:val="single"/>
                </w:rPr>
                <w:t>82</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30">
              <w:r>
                <w:rPr>
                  <w:rStyle w:val="InternetLink"/>
                  <w:rFonts w:ascii="Times New Roman;serif" w:hAnsi="Times New Roman;serif"/>
                  <w:b w:val="false"/>
                  <w:color w:val="0000FF"/>
                  <w:sz w:val="20"/>
                  <w:u w:val="single"/>
                </w:rPr>
                <w:t>PART IV</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30">
              <w:r>
                <w:rPr>
                  <w:rStyle w:val="InternetLink"/>
                  <w:rFonts w:ascii="Times New Roman;serif" w:hAnsi="Times New Roman;serif"/>
                  <w:b w:val="false"/>
                  <w:color w:val="0000FF"/>
                  <w:sz w:val="20"/>
                  <w:u w:val="single"/>
                </w:rPr>
                <w:t>83</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133">
              <w:r>
                <w:rPr>
                  <w:rStyle w:val="InternetLink"/>
                  <w:rFonts w:ascii="Times New Roman;serif" w:hAnsi="Times New Roman;serif"/>
                  <w:b w:val="false"/>
                  <w:color w:val="0000FF"/>
                  <w:sz w:val="20"/>
                  <w:u w:val="single"/>
                </w:rPr>
                <w:t>Item 15: Exhibits and Financial Statement Schedules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30">
              <w:r>
                <w:rPr>
                  <w:rStyle w:val="InternetLink"/>
                  <w:rFonts w:ascii="Times New Roman;serif" w:hAnsi="Times New Roman;serif"/>
                  <w:b w:val="false"/>
                  <w:color w:val="0000FF"/>
                  <w:sz w:val="20"/>
                  <w:u w:val="single"/>
                </w:rPr>
                <w:t>83</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38993da2eb0641cabf59aa633c321316_136">
              <w:r>
                <w:rPr>
                  <w:rStyle w:val="InternetLink"/>
                  <w:rFonts w:ascii="Times New Roman;serif" w:hAnsi="Times New Roman;serif"/>
                  <w:b w:val="false"/>
                  <w:color w:val="0000FF"/>
                  <w:sz w:val="20"/>
                  <w:u w:val="single"/>
                </w:rPr>
                <w:t>Item 16: Form 10-K Summary</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36">
              <w:r>
                <w:rPr>
                  <w:rStyle w:val="InternetLink"/>
                  <w:rFonts w:ascii="Times New Roman;serif" w:hAnsi="Times New Roman;serif"/>
                  <w:b w:val="false"/>
                  <w:color w:val="0000FF"/>
                  <w:sz w:val="20"/>
                  <w:u w:val="single"/>
                </w:rPr>
                <w:t>87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39">
              <w:r>
                <w:rPr>
                  <w:rStyle w:val="InternetLink"/>
                  <w:rFonts w:ascii="Times New Roman;serif" w:hAnsi="Times New Roman;serif"/>
                  <w:b w:val="false"/>
                  <w:color w:val="0000FF"/>
                  <w:sz w:val="20"/>
                  <w:u w:val="single"/>
                </w:rPr>
                <w:t>SIGNATURES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993da2eb0641cabf59aa633c321316_139">
              <w:r>
                <w:rPr>
                  <w:rStyle w:val="InternetLink"/>
                  <w:rFonts w:ascii="Times New Roman;serif" w:hAnsi="Times New Roman;serif"/>
                  <w:b w:val="false"/>
                  <w:color w:val="0000FF"/>
                  <w:sz w:val="20"/>
                  <w:u w:val="single"/>
                </w:rPr>
                <w:t>88</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1. Business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target markets are hospital acute care, gastroenterology and oncology. These medical specialties are characterized by relatively concentrated prescriber bases that we believe can be served effectively by relatively small, targeted sales forces. We promote our approved products through our hospital, field and oncology sales divisions in the United States. We have also established a network of international partners with the needed regulatory and commercial capabilities to register and provide our medicines to patients in their countries.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Our portfolio of brands approved for </w:t>
      </w:r>
      <w:r>
        <w:rPr>
          <w:rFonts w:ascii="Times New Roman;serif" w:hAnsi="Times New Roman;serif"/>
          <w:b w:val="false"/>
          <w:color w:val="000000"/>
          <w:sz w:val="20"/>
        </w:rPr>
        <w:t>marketing</w:t>
      </w:r>
      <w:r>
        <w:rPr>
          <w:color w:val="000000"/>
          <w:shd w:fill="FFFFFF" w:val="clear"/>
        </w:rPr>
        <w:t xml:space="preserve"> </w:t>
      </w:r>
      <w:r>
        <w:rPr>
          <w:rFonts w:ascii="Times New Roman;serif" w:hAnsi="Times New Roman;serif"/>
          <w:b w:val="false"/>
          <w:color w:val="000000"/>
          <w:sz w:val="20"/>
          <w:shd w:fill="FFFFFF" w:val="clear"/>
        </w:rPr>
        <w:t>by the U.S. Food and Drug Administration ("FDA")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Acetadote</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acetylcysteine</w:t>
      </w:r>
      <w:r>
        <w:rPr>
          <w:rFonts w:ascii="Times New Roman;serif" w:hAnsi="Times New Roman;serif"/>
          <w:b w:val="false"/>
          <w:color w:val="000000"/>
          <w:sz w:val="20"/>
          <w:shd w:fill="FFFFFF" w:val="clear"/>
        </w:rPr>
        <w:t>) injection, for the treatment of acetaminophen poisoning;</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Caldolor</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ibuprofen</w:t>
      </w:r>
      <w:r>
        <w:rPr>
          <w:rFonts w:ascii="Times New Roman;serif" w:hAnsi="Times New Roman;serif"/>
          <w:b w:val="false"/>
          <w:color w:val="000000"/>
          <w:sz w:val="20"/>
          <w:shd w:fill="FFFFFF" w:val="clear"/>
        </w:rPr>
        <w:t>) injection, for the treatment of pain and fever;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Kristalose</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lactulose</w:t>
      </w:r>
      <w:r>
        <w:rPr>
          <w:rFonts w:ascii="Times New Roman;serif" w:hAnsi="Times New Roman;serif"/>
          <w:b w:val="false"/>
          <w:color w:val="000000"/>
          <w:sz w:val="20"/>
          <w:shd w:fill="FFFFFF" w:val="clear"/>
        </w:rPr>
        <w:t>) oral solution, a prescription laxative for the treatment of constipation;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Sancuso</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granisetron</w:t>
      </w:r>
      <w:r>
        <w:rPr>
          <w:rFonts w:ascii="Times New Roman;serif" w:hAnsi="Times New Roman;serif"/>
          <w:b w:val="false"/>
          <w:color w:val="000000"/>
          <w:sz w:val="20"/>
          <w:shd w:fill="FFFFFF" w:val="clear"/>
        </w:rPr>
        <w:t>) transdermal, for the prevention of nausea and vomiting in patients receiving certain types of chemotherapy treatment;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Vaprisol</w:t>
      </w:r>
      <w:r>
        <w:rPr>
          <w:rFonts w:ascii="Times New Roman;serif" w:hAnsi="Times New Roman;serif"/>
          <w:b/>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conivaptan</w:t>
      </w:r>
      <w:r>
        <w:rPr>
          <w:rFonts w:ascii="Times New Roman;serif" w:hAnsi="Times New Roman;serif"/>
          <w:b w:val="false"/>
          <w:color w:val="000000"/>
          <w:sz w:val="20"/>
          <w:shd w:fill="FFFFFF" w:val="clear"/>
        </w:rPr>
        <w:t>) injection, to raise serum sodium levels in hospitalized patients with euvolemic and hypervolemic hyponatremia;</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Vibativ</w:t>
      </w:r>
      <w:r>
        <w:rPr>
          <w:rFonts w:ascii="Times New Roman;serif" w:hAnsi="Times New Roman;serif"/>
          <w:b/>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telavancin</w:t>
      </w:r>
      <w:r>
        <w:rPr>
          <w:rFonts w:ascii="Times New Roman;serif" w:hAnsi="Times New Roman;serif"/>
          <w:b w:val="false"/>
          <w:color w:val="000000"/>
          <w:sz w:val="20"/>
          <w:shd w:fill="FFFFFF" w:val="clear"/>
        </w:rPr>
        <w:t xml:space="preserve">) injection, for the treatment of certain serious bacterial infections including hospital-acquired and ventilator-associated bacterial pneumonia, as well as complicated skin and skin structure infections; and </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Tacilia</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omeprazole, amoxicillin and rifabutin</w:t>
      </w:r>
      <w:r>
        <w:rPr>
          <w:rFonts w:ascii="Times New Roman;serif" w:hAnsi="Times New Roman;serif"/>
          <w:b w:val="false"/>
          <w:color w:val="000000"/>
          <w:sz w:val="20"/>
          <w:shd w:fill="FFFFFF" w:val="clear"/>
        </w:rPr>
        <w:t xml:space="preserve">) oral capsule, for the treatment of </w:t>
      </w:r>
      <w:r>
        <w:rPr>
          <w:rFonts w:ascii="Times New Roman;serif" w:hAnsi="Times New Roman;serif"/>
          <w:b w:val="false"/>
          <w:i/>
          <w:color w:val="000000"/>
          <w:sz w:val="20"/>
          <w:shd w:fill="FFFFFF" w:val="clear"/>
        </w:rPr>
        <w:t>H. pylori</w:t>
      </w:r>
      <w:r>
        <w:rPr>
          <w:color w:val="000000"/>
          <w:shd w:fill="FFFFFF" w:val="clear"/>
        </w:rPr>
        <w:t xml:space="preserve"> </w:t>
      </w:r>
      <w:r>
        <w:rPr>
          <w:rFonts w:ascii="Times New Roman;serif" w:hAnsi="Times New Roman;serif"/>
          <w:b w:val="false"/>
          <w:color w:val="000000"/>
          <w:sz w:val="20"/>
          <w:shd w:fill="FFFFFF" w:val="clear"/>
        </w:rPr>
        <w:t>infection.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addition to these commercial brands, we have announced breakthrough results in a clinical study of our ifetroban product candidate in patients with cardiomyopathy associated with </w:t>
      </w:r>
      <w:r>
        <w:rPr>
          <w:rFonts w:ascii="Times New Roman;serif" w:hAnsi="Times New Roman;serif"/>
          <w:b w:val="false"/>
          <w:i/>
          <w:color w:val="000000"/>
          <w:sz w:val="20"/>
        </w:rPr>
        <w:t xml:space="preserve">Duchenne muscular dystrophy </w:t>
      </w:r>
      <w:r>
        <w:rPr>
          <w:rFonts w:ascii="Times New Roman;serif" w:hAnsi="Times New Roman;serif"/>
          <w:b w:val="false"/>
          <w:color w:val="000000"/>
          <w:sz w:val="20"/>
        </w:rPr>
        <w:t xml:space="preserve">(“DMD”). This rare, fatal genetic neuromuscular disease results in deterioration of the skeletal, heart and lung muscles. We then completed and submitted a clinical study report to the FDA and began interactions to determine their remaining development requirements.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Phase II clinical programs underway evaluating our ifetroban product candidate in patients with 1) Systemic Sclerosis (“SSc”) or scleroderma, a debilitating autoimmune disorder characterized by diffuse fibrosis of the skin and internal organs and 2) Idiopathic Pulmonary Fibrosis (“IPF”), the most common form of progressive fibrosing interstitial lung disease. Investigational new study applications have been cleared by the FDA enabling us to launch clinical studies in each of these areas.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has built core competencies for the acquisition, development, registration and commercialization of pharmaceutical products in the U.S. We believe we can leverage this existing infrastructure to support our continued growth. Our management team consists of pharmaceutical industry veterans with experience in business development, product development, regulatory, manufacturing, sales, marketing and finance.</w:t>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development team identifies, evaluates and negotiates product acquisition, licensing and co-promotion arrangements.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 both domestically and internationally.</w:t>
      </w:r>
    </w:p>
    <w:p>
      <w:pPr>
        <w:pStyle w:val="TextBody"/>
        <w:bidi w:val="0"/>
        <w:spacing w:lineRule="auto" w:line="288" w:before="160" w:after="283"/>
        <w:jc w:val="both"/>
        <w:rPr/>
      </w:pPr>
      <w:r>
        <w:rPr>
          <w:rFonts w:ascii="Times New Roman;serif" w:hAnsi="Times New Roman;serif"/>
          <w:b/>
          <w:color w:val="000000"/>
          <w:sz w:val="20"/>
        </w:rPr>
        <w:t>Sustainability</w:t>
      </w:r>
      <w:r>
        <w:rPr>
          <w:color w:val="000000"/>
        </w:rPr>
        <w:t xml:space="preserve"> </w:t>
      </w:r>
      <w:r>
        <w:rPr>
          <w:rFonts w:ascii="Times New Roman;serif" w:hAnsi="Times New Roman;serif"/>
          <w:b/>
          <w:color w:val="000000"/>
          <w:sz w:val="20"/>
        </w:rPr>
        <w:t>Metrics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issued our inaugural Sustainability Report in 2019, detailing Cumberland’s activities pertaining to our environmental, social and governance matters, and we remain committed to sustainability and to maintaining transparency of our corporate operations. As one of the largest biopharmaceutical companies founded and headquartered in the Mid-South, we hold ourselves to the highest standards of ethical practices and understand the importance of recognizing and addressing our impact on our constituents, our community and the environment.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2025 sustainability metrics noted that during that year we provided nearly 5 million patient doses of our brands, while safely disposing of over 5,500 pounds of expired and damaged goods. We had no product recalls and no clinical trials terminated due to failure to practice good clinical standards. We also highlighted our investment in our employees through our continuing education programs, employee development initiatives and employee recognition awards. We reported women represented 50% of Cumberland’s workforce and 30% of our employees were minorities.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our sustainability initiatives, we will continue to identify and address critical industry issues, monitor relevant guidelines and utilize best practices.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were incorporated as a Tennessee corporation in 1999 and have been headquartered in Nashville, Tennessee since inception. During 2009, we completed an initial public offering of our common shares and listing on the Nasdaq stock exchange. Our website address is </w:t>
      </w:r>
      <w:r>
        <w:rPr>
          <w:rFonts w:ascii="Times New Roman;serif" w:hAnsi="Times New Roman;serif"/>
          <w:b w:val="false"/>
          <w:i/>
          <w:color w:val="000000"/>
          <w:sz w:val="20"/>
          <w:u w:val="single"/>
        </w:rPr>
        <w:t>www.cumberlandpharma.com</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Our Annual Reports (on Form 10-K), Quarterly Reports (on Form 10-Q), Current Reports (on Form 8-K) and all material press releases are available on our website as soon as reasonably practicable after their filing with the U.S. Securities and Exchange Commission (“SEC”). These filings are also available to the public at </w:t>
      </w:r>
      <w:r>
        <w:rPr>
          <w:rFonts w:ascii="Times New Roman;serif" w:hAnsi="Times New Roman;serif"/>
          <w:b w:val="false"/>
          <w:i/>
          <w:color w:val="000000"/>
          <w:sz w:val="20"/>
          <w:u w:val="single"/>
        </w:rPr>
        <w:t>www.sec.gov</w:t>
      </w:r>
      <w:r>
        <w:rPr>
          <w:rFonts w:ascii="Times New Roman;serif" w:hAnsi="Times New Roman;serif"/>
          <w:b w:val="false"/>
          <w:i/>
          <w:color w:val="000000"/>
          <w:sz w:val="20"/>
        </w:rPr>
        <w: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PRODUCTS</w:t>
      </w:r>
    </w:p>
    <w:tbl>
      <w:tblPr>
        <w:tblW w:w="7104" w:type="dxa"/>
        <w:jc w:val="left"/>
        <w:tblInd w:w="0" w:type="dxa"/>
        <w:tblLayout w:type="fixed"/>
        <w:tblCellMar>
          <w:top w:w="28" w:type="dxa"/>
          <w:left w:w="28" w:type="dxa"/>
          <w:bottom w:w="28" w:type="dxa"/>
          <w:right w:w="28" w:type="dxa"/>
        </w:tblCellMar>
      </w:tblPr>
      <w:tblGrid>
        <w:gridCol w:w="379"/>
        <w:gridCol w:w="333"/>
        <w:gridCol w:w="337"/>
        <w:gridCol w:w="109"/>
        <w:gridCol w:w="109"/>
        <w:gridCol w:w="109"/>
        <w:gridCol w:w="1476"/>
        <w:gridCol w:w="1476"/>
        <w:gridCol w:w="1488"/>
        <w:gridCol w:w="109"/>
        <w:gridCol w:w="109"/>
        <w:gridCol w:w="109"/>
        <w:gridCol w:w="279"/>
        <w:gridCol w:w="279"/>
        <w:gridCol w:w="403"/>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color w:val="000000"/>
                <w:sz w:val="20"/>
              </w:rPr>
            </w:pPr>
            <w:r>
              <w:rPr>
                <w:rFonts w:ascii="Times New Roman;serif" w:hAnsi="Times New Roman;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color w:val="000000"/>
                <w:sz w:val="20"/>
              </w:rPr>
            </w:pPr>
            <w:r>
              <w:rPr>
                <w:rFonts w:ascii="Times New Roman;serif" w:hAnsi="Times New Roman;serif"/>
                <w:b/>
                <w:color w:val="000000"/>
                <w:sz w:val="20"/>
              </w:rPr>
              <w:t>Indication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color w:val="000000"/>
                <w:sz w:val="20"/>
              </w:rPr>
            </w:pPr>
            <w:r>
              <w:rPr>
                <w:rFonts w:ascii="Times New Roman;serif" w:hAnsi="Times New Roman;serif"/>
                <w:b/>
                <w:color w:val="000000"/>
                <w:sz w:val="20"/>
              </w:rPr>
              <w:t>Status</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0"/>
              </w:rPr>
              <w:t>Acetadote</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Acetaminophen Poisoning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Marketed</w:t>
            </w:r>
          </w:p>
        </w:tc>
      </w:tr>
      <w:tr>
        <w:trPr/>
        <w:tc>
          <w:tcPr>
            <w:tcW w:w="1049" w:type="dxa"/>
            <w:gridSpan w:val="3"/>
            <w:tcBorders/>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0"/>
              </w:rPr>
              <w:t>Caldolor</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Pain and Fever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Marketed</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0"/>
              </w:rPr>
              <w:t>Kristalose</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Chronic and Acute Constipation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Marketed</w:t>
            </w:r>
          </w:p>
        </w:tc>
      </w:tr>
      <w:tr>
        <w:trPr/>
        <w:tc>
          <w:tcPr>
            <w:tcW w:w="1049" w:type="dxa"/>
            <w:gridSpan w:val="3"/>
            <w:tcBorders/>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0"/>
              </w:rPr>
              <w:t>Sancuso</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Nausea and Vomiting Associated with Chemotherapy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Marketed</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0"/>
              </w:rPr>
              <w:t>Vaprisol</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Euvolemic and Hypervolemic Hyponatremia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Approved</w:t>
            </w:r>
          </w:p>
        </w:tc>
      </w:tr>
      <w:tr>
        <w:trPr/>
        <w:tc>
          <w:tcPr>
            <w:tcW w:w="1049" w:type="dxa"/>
            <w:gridSpan w:val="3"/>
            <w:tcBorders/>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0"/>
              </w:rPr>
              <w:t>Vibativ</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Serious Bacterial Infections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Marketed</w:t>
            </w:r>
          </w:p>
        </w:tc>
      </w:tr>
      <w:tr>
        <w:trPr/>
        <w:tc>
          <w:tcPr>
            <w:tcW w:w="1049" w:type="dxa"/>
            <w:gridSpan w:val="3"/>
            <w:tcBorders/>
            <w:shd w:fill="CDEEFF" w:val="clear"/>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0"/>
              </w:rPr>
              <w:t>Talicia</w:t>
            </w:r>
            <w:r>
              <w:rPr>
                <w:rFonts w:ascii="Times New Roman;serif" w:hAnsi="Times New Roman;serif"/>
                <w:b w:val="false"/>
                <w:color w:val="000000"/>
                <w:sz w:val="13"/>
              </w:rPr>
              <w:t>®</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DEEFF" w:val="clear"/>
            <w:tcMar>
              <w:top w:w="0" w:type="dxa"/>
              <w:left w:w="0" w:type="dxa"/>
              <w:bottom w:w="0" w:type="dxa"/>
              <w:right w:w="0" w:type="dxa"/>
            </w:tcMar>
            <w:vAlign w:val="center"/>
          </w:tcPr>
          <w:p>
            <w:pPr>
              <w:pStyle w:val="TableContents"/>
              <w:bidi w:val="0"/>
              <w:spacing w:lineRule="auto" w:line="300" w:before="0" w:after="0"/>
              <w:jc w:val="both"/>
              <w:rPr/>
            </w:pPr>
            <w:r>
              <w:rPr>
                <w:rFonts w:ascii="Times New Roman;serif" w:hAnsi="Times New Roman;serif"/>
                <w:b w:val="false"/>
                <w:i/>
                <w:color w:val="000000"/>
                <w:sz w:val="20"/>
              </w:rPr>
              <w:t>H. pylori</w:t>
            </w:r>
            <w:r>
              <w:rPr>
                <w:color w:val="000000"/>
              </w:rPr>
              <w:t xml:space="preserve"> </w:t>
            </w:r>
            <w:r>
              <w:rPr>
                <w:rFonts w:ascii="Times New Roman;serif" w:hAnsi="Times New Roman;serif"/>
                <w:b w:val="false"/>
                <w:color w:val="000000"/>
                <w:sz w:val="20"/>
              </w:rPr>
              <w:t>Infection</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DEEFF" w:val="clear"/>
            <w:tcMar>
              <w:top w:w="0" w:type="dxa"/>
              <w:left w:w="0" w:type="dxa"/>
              <w:bottom w:w="0" w:type="dxa"/>
              <w:right w:w="0" w:type="dxa"/>
            </w:tcMar>
            <w:vAlign w:val="center"/>
          </w:tcPr>
          <w:p>
            <w:pPr>
              <w:pStyle w:val="TableContents"/>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Marketed</w:t>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erif" w:hAnsi="Times New Roman;serif"/>
          <w:b/>
          <w:i/>
          <w:color w:val="000000"/>
          <w:sz w:val="20"/>
        </w:rPr>
        <w:t>Acetadote</w:t>
      </w:r>
      <w:r>
        <w:rPr>
          <w:rFonts w:ascii="Times New Roman;serif" w:hAnsi="Times New Roman;serif"/>
          <w:b w:val="false"/>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Acetadote is an intravenous formulation of N-acetylcysteine, indicated for the treatment of liver toxicity associated with acetaminophen poisoning. Cumberland developed and obtained U.S. FDA approval for Acetadote and then introduced the product through our hospital sales division. Acetadote is typically used in hospital emergency departments to prevent or lessen potential liver damage resulting from an overdose of acetaminophen, a common ingredient in many over-the-counter and prescription pain-relieving and fever-reducing products. Acetaminophen overdose continues to be a leading cause of poisonings reported by hospital emergency departments in the U.S., and Acetadote became a standard of care for treating this potentially life-threatening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Acetadote received U.S. FDA approval as an Orphan Drug, which provided seven years of marketing exclusivity from the date of approval. That exclusivity has since expired. In connection with the FDA’s approval of Acetadote, we committed to certain post-marketing activities for the product. Completion of our first Phase IV commitment resulted in the FDA’s approval of expanded labeling for Acetadote’s use in pediatric patients. Completion of our second Phase IV commitment resulted in further revised labeling for the product with FDA approval of additional safety data.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Completion of our third and final Phase IV commitment culminated in the FDA’s approval of a new formulation for the product. The next generation formulation contains no ethylene diamine tetracetic acid (“EDTA”) or other stabilization agent, chelating agent or preservative. Cumberland introduced this new Acetadote formulation replacing the original form of the product which we no longer manufacture.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subsequently approved updated labeling for Acetadote revising the product’s indication and providing new dosing guidance for specific patient populations. As a result, dosing guidance was included for patients weighing over 100 kg, and new language was added to alert health care providers that, in certain clinical situations, therapy should be extended for some patients.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FDA also approved a supplemental New Drug Application for Acetadote, adding a simplified dosing regimen for the product prescribing information. This newly approved dosing regimen simplifies the administration of Acetadote by combining the first two bags of the standard regimen into a single, slower infusion. This streamlined approach has been implemented in hospitals across multiple countries and has been shown to reduce the frequency of medication errors and potentially serious non-allergic anaphylactoid reactions without compromising the effectiveness of Acetadote. The FDA subsequently provided three years exclusivity for this new dosing regimen based on the supporting clinical data that the Company submitted.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United States Patent and Trademark Office (the “USPTO”) has issued Cumberland a series of patents associated with our Acetadote product. These patents are discussed in Part I, Item I – “</w:t>
      </w:r>
      <w:r>
        <w:rPr>
          <w:rFonts w:ascii="Times New Roman;serif" w:hAnsi="Times New Roman;serif"/>
          <w:b w:val="false"/>
          <w:i/>
          <w:color w:val="000000"/>
          <w:sz w:val="20"/>
        </w:rPr>
        <w:t>Business - Trademarks and Patents</w:t>
      </w:r>
      <w:r>
        <w:rPr>
          <w:color w:val="000000"/>
        </w:rPr>
        <w:t xml:space="preserve">” – </w:t>
      </w:r>
      <w:r>
        <w:rPr>
          <w:rFonts w:ascii="Times New Roman;serif" w:hAnsi="Times New Roman;serif"/>
          <w:b w:val="false"/>
          <w:color w:val="000000"/>
          <w:sz w:val="20"/>
        </w:rPr>
        <w:t>of this Form 10-K. The FDA has approved several abbreviated new drug applications (“ANDA”) filed by various generics companies referencing Acetadote. Those products all possess the old formulation containing EDTA.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entered into an agreement with Perrigo Company resulting in the distribution of our Authorized Generic acetylcysteine injection (our “Authorized Generic”) product. Both Acetadote and our Authorized Generic utilize the new, EDTA-free formulation.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Illinois judge issued a final ruling in favor of Cumberland Pharmaceuticals Inc. in a patent case associated with Acetadote. By ruling in Cumberland’s favor, the court upheld the validity of the patent that encompasses our EDTA-free formulation. The court also granted a permanent injunction preventing challengers from marketing a generic version of our proprietary Acetadote product formulation before the expiration of one of Cumberland’s patents in August 2025. An Appeals Court affirmed the District Court ruling in the Company’s favor upholding Cumberland’s Acetadote patent and expressly rejected the validity challenge.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erif" w:hAnsi="Times New Roman;serif"/>
          <w:b/>
          <w:i/>
          <w:color w:val="000000"/>
          <w:sz w:val="20"/>
        </w:rPr>
        <w:t>Caldolor</w:t>
      </w:r>
      <w:r>
        <w:rPr>
          <w:rFonts w:ascii="Times New Roman;serif" w:hAnsi="Times New Roman;serif"/>
          <w:b/>
          <w:i/>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Caldolor, our intravenous formulation of ibuprofen, was the first injectable product approved in the U.S. for the treatment of both pain and fever. We conducted a series of clinical studies in over 900 adult patients to develop the data to support our FDA submission for the product’s registration. Following a priority review, the FDA approved Caldolor for marketing in the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non-steroidal anti-inflammatory drug (“NSAID”), the product was indicated for use in adults as a sole treatment for the management of mild to moderate pain and for the management of moderate to severe pain as an adjunct to opioid analgesics. It was also the first FDA-approved intravenous therapy for treating fever.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then launched Caldolor and continue to promote the product in the U.S. through our hospital sales division.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completed a series of Phase IV studies to gather additional data to support our Caldolor product. Those clinical trials involved an additional 1,000 adult and pediatric patients. The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early 2018, we completed and filed the application for FDA approval of a next generation Caldolor product featuring an improved presentation and formulation which was approved in January 2019. The new, premixed presentation provides health care professionals with a formulation that is easy to administer, helping manage the treatment of patient pain and fever, while reducing opioid consumption. It is provided in a pre-mixed bag containing 800 mg of ibuprofen in a 200 mL patented low sodium formulation for injection that is ready to use. It is the first and only FDA-approved pre-mixed bag of ibuprofen. Caldolor is still available as an 800 mg/8mL single–dose vial for dilution in addition to the ready-to-use bag.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2021, the FDA approved our submission to expand the labeling for Caldolor to include administration of the product prior to surgery. During our clinical studies we found that the product delivered its best results when dosed prior to surgery, reducing both patients’ pain as well as their need for opiates.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2023, the FDA approved expanded labeling for Caldolor to include use in infants. The safety and efficacy of Caldolor has now been established for the treatment of pain and fever in pediatric patients aged 3 months and older. With this newly approved labeling, Caldolor is the only non-opioid product approved to treat pain in infants that is delivered through injection.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we announced the release of a Special Report evaluating the growing amount of current data supporting the use of Caldolor as a standard of care for the treatment of pain and fever in adults, children and infants. The results demonstrated that the product is a safe and effective treatment for pain and fever in adults, children and infants as young as 3 months of age.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in 2024, we announced the publication of new real-world outcomes research comparing Caldolor to its key competitor – ketorolac – in 150,000 patients. Published in Frontiers of Pain Research, the results provided compelling evidence that Caldolor is associated with a significantly reduced incidence of adverse drug reactions and improved health care utilization.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2025, we announced publication of our study investigating Caldolor in older patients. The analysis evaluated the safety and efficacy of Caldolor for the management of pain and fever in patients 60 years of age and older. It marks an important advancement in pain management for older individuals, as it is one of the first studies specifically evaluating our product in this vulnerable population.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late 2025, the Centers for Medicare &amp; Medicaid Services (CMS) issued a permanent J-Code for Caldolor. This important reimbursement milestone enhances access, simplifies hospital billing and further supports Caldolor’s role as a standard of care for pain and fever management.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we distributed both the vial and the ready-to-use premixed bag presentations of Caldolor. We supported the brand through our hospital sales division and group of medical science liaisons.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erif" w:hAnsi="Times New Roman;serif"/>
          <w:b/>
          <w:color w:val="000000"/>
          <w:sz w:val="20"/>
        </w:rPr>
        <w:t>Kristalose</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Kristalose is a prescription laxative administered orally for the treatment of acute and chronic constipation. An innovative, dry powder crystalline formulation of lactulose, Kristalose is designed to enhance patient acceptance and compliance. It is the only branded prescription laxative available in pre-measured powder packets.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Kristalose dissolves easily in 4 ounces of water, offering patients a virtually taste-free, grit-free and essentially calorie-free alternative to lactulose syrups. We conducted a preference study which indicated that 77% of patients surveyed prefer the taste, consistency and portability of Kristalose over similar products in syrup forms.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acquired the assets and exclusive rights to Kristalose through a series of transactions, then assembled a dedicated field sales division which re-launched the product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 Using preference data as a cornerstone of our marketing efforts, we then repositioned the brand, enhancing patient affordability through a coupon program and expanded managed care coverage for the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added a co-promotion partner, Poly Pharmaceuticals, who is promoting Kristalose to physician targets not covered by our field sales forces. We then added another partner, Foxland Pharmaceuticals, Inc., who is repackaging Kristalose and featuring it with additional new physician targets.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Kristalose award-winning marketing campaign was designed to support increased engagement with our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Substitution by pharmacists dispensing generic alternatives in place of Kristalose prescriptions has historically impacted the brand. During 2025, substitution rates increased with the entry of new generic competitors. As a result, we are implementing targeted initiatives to protect the product’s market position and support its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we continued to support Kristalose through our field sales division, as well as our partnerships with Poly Pharmaceuticals and Foxland Pharmaceuticals, Inc. </w:t>
      </w:r>
    </w:p>
    <w:p>
      <w:pPr>
        <w:pStyle w:val="TextBody"/>
        <w:bidi w:val="0"/>
        <w:spacing w:lineRule="auto" w:line="288" w:before="160" w:after="283"/>
        <w:jc w:val="both"/>
        <w:rPr/>
      </w:pPr>
      <w:r>
        <w:rPr>
          <w:rFonts w:ascii="Times New Roman;serif" w:hAnsi="Times New Roman;serif"/>
          <w:b/>
          <w:i/>
          <w:color w:val="000000"/>
          <w:sz w:val="20"/>
        </w:rPr>
        <w:t>Sancuso</w:t>
      </w:r>
      <w:r>
        <w:rPr>
          <w:rFonts w:ascii="Times New Roman;serif" w:hAnsi="Times New Roman;serif"/>
          <w:b/>
          <w:i/>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Sancuso is the first and only FDA-approved prescription patch for the prevention of nausea and vomiting in patients receiving certain types of chemotherapy treatment for their cancer.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an agreement with Kyowa Kirin to acquire the U.S. assets and rights to Sancuso. We then assumed full commercial responsibility for the product in the U.S. – including its marketing, promotion, distribution, manufacturing and medical support activities. Kyowa Kirin retained international rights, continuing to deliver the product to address oncology patients’ needs throughout the rest of the world.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began shipments of the product, we also formed a new sales division, Cumberland Oncology, to feature the brand with medical professionals treating cancer patients. Following our acquisition of Sancuso, we completed the transition of the product from Kyowa Kirin to Cumberland, including the NDA transfer, and expanded our oncology sales division to further support the brand. We also successfully transferred manufacture of the product to a new facility.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continued to support Sancuso in 2025 through our oncology sales division.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erif" w:hAnsi="Times New Roman;serif"/>
          <w:b/>
          <w:i/>
          <w:color w:val="000000"/>
          <w:sz w:val="20"/>
        </w:rPr>
        <w:t>Vaprisol</w:t>
      </w:r>
      <w:r>
        <w:rPr>
          <w:rFonts w:ascii="Times New Roman;serif" w:hAnsi="Times New Roman;serif"/>
          <w:b/>
          <w:i/>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acquired the assets and rights to Vaprisol, a prescription brand indicated to raise serum sodium levels in hospitalized patients with euvolemic and hypervolemic hyponatremia. It is one of two branded prescription products indicated for the treatment of hyponatremia, and the only intravenously administered branded treatment.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 Our Vaprisol product has a proven day-one response rate to normalize serum sodium levels in hyponatremic patients and move them out of the Intensive Care Unit as efficiently as possible.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Vaprisol is supported by our hospital sales division. Demand for the product increased during the pandemic, and we worked to support the expanded use of the product in hospitals and clinics during the health care crisis. We shipped all remaining inventory of the product and notified the FDA that supplies of the product are not currently available. We have since transferred the product’s manufacturing to a new facility. Our new manufacturing partner is working with the FDA to address several Form 483 and warning letter issues in a timely manner. We next expect to file for the approval to manufacture branded Vaprisol once all FDA issues at the new site are resolved.</w:t>
      </w:r>
    </w:p>
    <w:p>
      <w:pPr>
        <w:pStyle w:val="TextBody"/>
        <w:bidi w:val="0"/>
        <w:spacing w:lineRule="auto" w:line="288" w:before="160" w:after="283"/>
        <w:jc w:val="both"/>
        <w:rPr/>
      </w:pPr>
      <w:r>
        <w:rPr>
          <w:rFonts w:ascii="Times New Roman;serif" w:hAnsi="Times New Roman;serif"/>
          <w:b/>
          <w:i/>
          <w:color w:val="000000"/>
          <w:sz w:val="20"/>
        </w:rPr>
        <w:t>Vibativ</w:t>
      </w:r>
      <w:r>
        <w:rPr>
          <w:rFonts w:ascii="Times New Roman;serif" w:hAnsi="Times New Roman;serif"/>
          <w:b/>
          <w:i/>
          <w:color w:val="000000"/>
          <w:sz w:val="13"/>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Vibativ is an FDA-approved injectable anti-infective. It is designed to treat serious infections due to </w:t>
      </w:r>
      <w:r>
        <w:rPr>
          <w:rFonts w:ascii="Times New Roman;serif" w:hAnsi="Times New Roman;serif"/>
          <w:b w:val="false"/>
          <w:i/>
          <w:color w:val="000000"/>
          <w:sz w:val="20"/>
        </w:rPr>
        <w:t xml:space="preserve">Staphylococcus aureus (“S. Aureus") </w:t>
      </w:r>
      <w:r>
        <w:rPr>
          <w:rFonts w:ascii="Times New Roman;serif" w:hAnsi="Times New Roman;serif"/>
          <w:b w:val="false"/>
          <w:color w:val="000000"/>
          <w:sz w:val="20"/>
        </w:rPr>
        <w:t xml:space="preserve">and other Gram-positive bacteria, including </w:t>
      </w:r>
      <w:r>
        <w:rPr>
          <w:rFonts w:ascii="Times New Roman;serif" w:hAnsi="Times New Roman;serif"/>
          <w:b w:val="false"/>
          <w:i/>
          <w:color w:val="000000"/>
          <w:sz w:val="20"/>
        </w:rPr>
        <w:t xml:space="preserve">Methicillin-resistant Staphylococcus aureus (“MRSA”) </w:t>
      </w:r>
      <w:r>
        <w:rPr>
          <w:rFonts w:ascii="Times New Roman;serif" w:hAnsi="Times New Roman;serif"/>
          <w:b w:val="false"/>
          <w:color w:val="000000"/>
          <w:sz w:val="20"/>
        </w:rPr>
        <w:t xml:space="preserve">and </w:t>
      </w:r>
      <w:r>
        <w:rPr>
          <w:rFonts w:ascii="Times New Roman;serif" w:hAnsi="Times New Roman;serif"/>
          <w:b w:val="false"/>
          <w:i/>
          <w:color w:val="000000"/>
          <w:sz w:val="20"/>
        </w:rPr>
        <w:t>Methicillin-sensitive Staphylococcus aureus (“MSSA”</w:t>
      </w:r>
      <w:r>
        <w:rPr>
          <w:rFonts w:ascii="Times New Roman;serif" w:hAnsi="Times New Roman;serif"/>
          <w:b w:val="false"/>
          <w:color w:val="000000"/>
          <w:sz w:val="20"/>
        </w:rPr>
        <w:t>). Vibativ addresses a range of Gram-positive bacterial pathogens, including those that are considered difficult-to-treat and multidrug-resistant.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Vibativ can serve as a potentially life-saving treatment in patients with hospital-acquired and ventilator-associated pneumonia resulting from infections including the flu, RSV and COVID-19.</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Pneumonia caused by secondary bacterial infections is common among patients with viral respiratory infections. Research shows that hospital-acquired pneumonia (“HAP”) and ventilator-associated pneumonia (“VAP”) have historically accounted for 22% of common hospital-acquired infections. MSSA and MRSA are important disease-causing pathogens in these cases. While many recently introduced antibiotics are quickly losing the ability to fight the bacteria they were designed to kill because those bacteria have become drug-resistant, Vibativ was specifically designed to kill drug-resistant bacteria.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molecule of an existing antibiotic to which bacteria had developed a resistance, vancomycin, was altered by adding a lipophilic (fat-loving) component and a hydrophilic (water-loving) component. The lipophilic addition increases Vibativ’s ability to penetrate the cell wall and inhibits the formation of new cell walls (the development of new and/or additional cell walls is the most common way that bacteria become resistant to drugs). The hydrophilic addition increases Vibativ’s penetration into tissue – so it is able to attack infections that are not reachable by other antibiotics. In comparison to vancomycin, Vibativ is 32 times more potent against MRSA strains when tested under in vitro conditions. Further, in clinical trials, Vibativ demonstrated superior cure rates of patients with hospital-acquired bacterial pneumonia.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reached an agreement to acquire the Vibativ assets and assume global responsibility for the brand including the related marketing, distribution, manufacturing and regulatory activities. We then introduced the Cumberland-packaged product, which is supported by our hospital sales force.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A new publication in </w:t>
      </w:r>
      <w:r>
        <w:rPr>
          <w:rFonts w:ascii="Times New Roman;serif" w:hAnsi="Times New Roman;serif"/>
          <w:b w:val="false"/>
          <w:i/>
          <w:color w:val="000000"/>
          <w:sz w:val="20"/>
        </w:rPr>
        <w:t>Antimicrobial Agents and Chemotherapy</w:t>
      </w:r>
      <w:r>
        <w:rPr>
          <w:color w:val="000000"/>
        </w:rPr>
        <w:t xml:space="preserve"> </w:t>
      </w:r>
      <w:r>
        <w:rPr>
          <w:rFonts w:ascii="Times New Roman;serif" w:hAnsi="Times New Roman;serif"/>
          <w:b w:val="false"/>
          <w:color w:val="000000"/>
          <w:sz w:val="20"/>
        </w:rPr>
        <w:t>detailed the results of the first clinical study investigating the safety and pharmacokinetics of our Vibativ product in children 2 to 17 years of age. The results of the study suggest that a single dose of Vibativ is safe in children, and they experience reduced exposure to Vibativ, compared with the same body weight-based dosing in adults.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In 2025, we announced the availability of the Vibativ</w:t>
      </w:r>
      <w:r>
        <w:rPr>
          <w:color w:val="000000"/>
        </w:rPr>
        <w:t xml:space="preserve"> </w:t>
      </w:r>
      <w:r>
        <w:rPr>
          <w:rFonts w:ascii="Times New Roman;serif" w:hAnsi="Times New Roman;serif"/>
          <w:b w:val="false"/>
          <w:color w:val="000000"/>
          <w:sz w:val="20"/>
        </w:rPr>
        <w:t>4-Vial Starter Pak through a new supply arrangement with Vizient Inc., making it accessible to their health care providers nationwide.  As the country’s largest provider-driven health care performance improvement company, Vizient serves more than 65% of the nation’s acute care providers, including 97% of academic medical centers and 35% of the non-acute market. Through this agreement, Vizient members now have access to Vibativ’s new 4-vial configuration, which supports flexible treatment initiation in both inpatient and outpatient settings for this potentially life-saving therapy.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announced that Vibativ was added to a national group purchasing agreement with Premier, Inc., in 2025. The product additional allows Premier members to purchase Vibativ, in the 12-vial carton and 4-vial Starter Pak. Premier is a leading health care improvement company, uniting an alliance of approximately 4,350 U.S. hospitals and 325,000 other providers and organizations to transform health care. With integrated data and analytics, collaboratives, supply chain solutions, consulting and other services, Premier enables better care and outcomes at a lower cost. With expanded access, Premier member health care providers now have greater flexibility in ordering Vibativ for both inpatient and outpatient settings.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remain focused on promoting Vibativ in the U.S. market, we are building a network of other established companies to bring Vibativ to patients in their countries and territories.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Vibativ was supported by our hospital sales division, national accounts group and team of medical science liaison.</w:t>
      </w:r>
    </w:p>
    <w:p>
      <w:pPr>
        <w:pStyle w:val="TextBody"/>
        <w:bidi w:val="0"/>
        <w:spacing w:lineRule="auto" w:line="288" w:before="160" w:after="283"/>
        <w:jc w:val="both"/>
        <w:rPr/>
      </w:pPr>
      <w:r>
        <w:rPr>
          <w:rFonts w:ascii="Times New Roman;serif" w:hAnsi="Times New Roman;serif"/>
          <w:b/>
          <w:i/>
          <w:color w:val="000000"/>
          <w:sz w:val="20"/>
        </w:rPr>
        <w:t>Talicia</w:t>
      </w:r>
      <w:r>
        <w:rPr>
          <w:rFonts w:ascii="Times New Roman;serif" w:hAnsi="Times New Roman;serif"/>
          <w:b/>
          <w:i/>
          <w:color w:val="000000"/>
          <w:sz w:val="13"/>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Talicia was approved by the FDA for marketing in the U.S. for the treatment of </w:t>
      </w:r>
      <w:r>
        <w:rPr>
          <w:rFonts w:ascii="Times New Roman;serif" w:hAnsi="Times New Roman;serif"/>
          <w:b w:val="false"/>
          <w:i/>
          <w:color w:val="000000"/>
          <w:sz w:val="20"/>
        </w:rPr>
        <w:t xml:space="preserve">Helicobacter pylori </w:t>
      </w:r>
      <w:r>
        <w:rPr>
          <w:rFonts w:ascii="Times New Roman;serif" w:hAnsi="Times New Roman;serif"/>
          <w:b w:val="false"/>
          <w:color w:val="000000"/>
          <w:sz w:val="20"/>
        </w:rPr>
        <w:t>(</w:t>
      </w:r>
      <w:r>
        <w:rPr>
          <w:rFonts w:ascii="Times New Roman;serif" w:hAnsi="Times New Roman;serif"/>
          <w:b w:val="false"/>
          <w:i/>
          <w:color w:val="000000"/>
          <w:sz w:val="20"/>
        </w:rPr>
        <w:t>H. pylori)</w:t>
      </w:r>
      <w:r>
        <w:rPr>
          <w:color w:val="000000"/>
        </w:rPr>
        <w:t xml:space="preserve"> </w:t>
      </w:r>
      <w:r>
        <w:rPr>
          <w:rFonts w:ascii="Times New Roman;serif" w:hAnsi="Times New Roman;serif"/>
          <w:b w:val="false"/>
          <w:color w:val="000000"/>
          <w:sz w:val="20"/>
        </w:rPr>
        <w:t xml:space="preserve">infection in adults. Talicia is a combination of three approved drug products - omeprazole, a proton pump inhibitor, which prevents the secretion of hydrogen ions increasing the pH of the stomach, plus amoxicillin and rifabutin, antibiotics. It is administered to patients orally in the form of fixed-dose, all-in-one capsules. Talicia is the only all-in-one treatment for </w:t>
      </w:r>
      <w:r>
        <w:rPr>
          <w:rFonts w:ascii="Times New Roman;serif" w:hAnsi="Times New Roman;serif"/>
          <w:b w:val="false"/>
          <w:i/>
          <w:color w:val="000000"/>
          <w:sz w:val="20"/>
        </w:rPr>
        <w:t>H. pylori</w:t>
      </w:r>
      <w:r>
        <w:rPr>
          <w:color w:val="000000"/>
        </w:rPr>
        <w:t xml:space="preserve"> </w:t>
      </w:r>
      <w:r>
        <w:rPr>
          <w:rFonts w:ascii="Times New Roman;serif" w:hAnsi="Times New Roman;serif"/>
          <w:b w:val="false"/>
          <w:color w:val="000000"/>
          <w:sz w:val="20"/>
        </w:rPr>
        <w:t xml:space="preserve">and is now listed as a first-line therapy option in the 2024 </w:t>
      </w:r>
      <w:r>
        <w:rPr>
          <w:rFonts w:ascii="Times New Roman;serif" w:hAnsi="Times New Roman;serif"/>
          <w:b w:val="false"/>
          <w:i/>
          <w:color w:val="000000"/>
          <w:sz w:val="20"/>
        </w:rPr>
        <w:t>American College of Gastroenterology</w:t>
      </w:r>
      <w:r>
        <w:rPr>
          <w:color w:val="000000"/>
        </w:rPr>
        <w:t xml:space="preserve"> </w:t>
      </w:r>
      <w:r>
        <w:rPr>
          <w:rFonts w:ascii="Times New Roman;serif" w:hAnsi="Times New Roman;serif"/>
          <w:b w:val="false"/>
          <w:color w:val="000000"/>
          <w:sz w:val="20"/>
        </w:rPr>
        <w:t>(ACG) clinical guidelines. The product is patent protected through 2042 and received eight years of U.S. market exclusivity under its Qualified Infectious Disease Product (QIDP) designation.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2025, we announced arrangements with RedHill Biopharma Ltd. (“RedHill”) to jointly commercialize Talicia, therefore adding the brand as the newest addition to our commercial product portfolio. We also formed a new company with RedHill named Talicia Holdings, Inc. (“THI”), which holds the worldwide rights and assets associated with the brand. The new company provides operational support with responsibility for the product’s marketing, manufacturing, regulatory, medical and supply chain functions.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Through a co-commercialization agreement, we assumed responsibility for the distribution and sale of Talicia in the U.S. Cumberland records Talicia product sales and equally shares Talicia’s net revenues. We also provide an annual investment to cover certain distribution, marketing and sales costs. Cumberland is responsible for the sales promotion for Talicia through our established field sales division to increase the number of patients benefiting from Talicia. </w:t>
      </w:r>
    </w:p>
    <w:p>
      <w:pPr>
        <w:pStyle w:val="TextBody"/>
        <w:bidi w:val="0"/>
        <w:spacing w:before="160" w:after="283"/>
        <w:ind w:left="0" w:right="0" w:firstLine="360"/>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PIPELINE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Ifetroban Clinical Studies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Ifetroban is a selective thromboxane-prostanoid receptor (“TPr”) antagonist that has been dosed in over 1,400 subjects, demonstrating safety and well-tolerated profiles in both healthy volunteers and various patient populations.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evaluating our ifetroban product candidate in a series of clinical studies. We have two Phase II clinical programs evaluating our ifetroban product candidate in 1) Systemic Sclerosis or scleroderma, a debilitating autoimmune disorder characterized by diffuse fibrosis of the skin and internal organs and 2) patients with Idiopathic Pulmonary Fibrosis, the most common form of progressive fibrosing interstitial lung disease. Investigational new drug applications have been cleared by the FDA enabling us to launch clinical studies in each of these areas.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we announced positive top-line results from our completed Phase II study (CPI-IFE-007, the FIGHT DMD trial) in patients with cardiomyopathy associated with Duchenne muscular dystrophy, a rare, fatal, genetic neuromuscular disease that results in deterioration of the skeletal, heart and lung muscles. The study enrolled 41 DMD patients who received either low-dose ifetroban (100 mg per day), high-dose ifetroban (300 mg per day), or placebo. High-dose ifetroban treatment resulted in a 3.3% improvement in left ventricular ejection fraction (LVEF) compared to placebo. When compared to propensity-matched natural history controls, the difference was even more pronounced, with high-dose treatment providing a statistically significant 5.4% overall improvement in LVEF (p=0.002), as control patients experienced a 3.6% decline in LVEF. Both doses of ifetroban were well tolerated with no serious drug-related adverse events. All subjects who completed the 12-month treatment period opted into the open-label extension, with long-term follow-up continuing through Month 24 and Month 36 assessments. Ifetroban received Orphan Drug Designation and Rare Pediatric Drug Designation for DMD in November 2024. Fast Track Designation was granted in February 2026. An End-of-Phase 2 meeting was held with FDA in September 2025, and a subsequent Type C meeting was held in January 2026 to continue regulatory pathway discussions.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Systemic Sclerosis study (CPI-IFE-004) closed to enrollment in February 2025. The diffuse cutaneous SSc cohort met its target enrollment goal of 20 patients who completed the 12-month treatment period. The SSc-associated Pulmonary Arterial Hypertension cohort enrolled 9 of the targeted 14 subjects before study closure. Cardiac imaging analysis is complete, and topline results for the diffuse cutaneous arm are expected by the end of the first quarter of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Idiopathic Pulmonary Fibrosis study (CPI-IFE-008, the FIGHTING FIBROSIS trial) is actively enrolling, with over 70 subjects enrolled across 17 activated sites. A safety interim analysis was completed in November 2025 evaluating the first 25% of patients completing 12 weeks of treatment; the independent committee concluded no new safety signals were identified and no changes in study conduct were needed.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results from our completed and ongoing studies, we are pursuing ifetroban registration for DMD-associated cardiomyopathy as our lead indication, with the IPF and SSc programs providing additional potential indications for our first new chemical entity.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GROWTH STRATEGY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Cumberland’s growth strategy involves maximizing the potential of our existing brands, while continuing to build a portfolio of differentiated products. We currently own rights to seven products approved by the FDA in the United States. We are also building international partnerships to bring our medicines to patients in other countries.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and late-stage development product candidates in our target medical specialties.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supplementing these activities with the earlier-stage product development at Cumberland Emerging Technologies ("CET"), our majority-owned subsidiary. CET partners with academic research institutions to identify and support the progress of promising new product candidates, which Cumberland can further develop and commercialize.</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Specifically, we are seeking long-term, sustainable growth by: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 xml:space="preserve">Supporting and expanding the use of our marketed products. </w:t>
      </w:r>
      <w:r>
        <w:rPr>
          <w:rFonts w:ascii="Times New Roman;serif" w:hAnsi="Times New Roman;serif"/>
          <w:b w:val="false"/>
          <w:color w:val="000000"/>
          <w:sz w:val="20"/>
          <w:shd w:fill="FFFFFF" w:val="clear"/>
        </w:rPr>
        <w:t>We continue to evaluate our products following their FDA approval, to determine if additional clinical data could expand their market and use. For example, we have secured pediatric approval of Acetadote and Caldolor and expanded the labeling for both brands accordingly. We also added pre-surgery dosing for Caldolor, and more recently included newborns to the patients who can benefit from the product.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Selectively adding complementary brands.</w:t>
      </w:r>
      <w:r>
        <w:rPr>
          <w:color w:val="000000"/>
          <w:shd w:fill="FFFFFF" w:val="clear"/>
        </w:rPr>
        <w:t xml:space="preserve"> </w:t>
      </w:r>
      <w:r>
        <w:rPr>
          <w:rFonts w:ascii="Times New Roman;serif" w:hAnsi="Times New Roman;serif"/>
          <w:b w:val="false"/>
          <w:color w:val="000000"/>
          <w:sz w:val="20"/>
          <w:shd w:fill="FFFFFF" w:val="clear"/>
        </w:rPr>
        <w:t>In addition to our product development activities, we are also seeking to acquire approved brands or 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Progressing our clinical pipeline and incubating future product opportunities at CET.</w:t>
      </w:r>
      <w:r>
        <w:rPr>
          <w:color w:val="000000"/>
          <w:shd w:fill="FFFFFF" w:val="clear"/>
        </w:rPr>
        <w:t xml:space="preserve"> </w:t>
      </w:r>
      <w:r>
        <w:rPr>
          <w:rFonts w:ascii="Times New Roman;serif" w:hAnsi="Times New Roman;serif"/>
          <w:b w:val="false"/>
          <w:color w:val="000000"/>
          <w:sz w:val="20"/>
          <w:shd w:fill="FFFFFF" w:val="clear"/>
        </w:rPr>
        <w:t>We believe it is important to build a pipeline of innovative new product opportunities, as we are doing through our ifetroban Phase II development programs. We are also supplementing our acquisitions and late-stage development activities with the early-stage product development activities at CET.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Leveraging our infrastructure through co-promotion partnerships.</w:t>
      </w:r>
      <w:r>
        <w:rPr>
          <w:color w:val="000000"/>
          <w:shd w:fill="FFFFFF" w:val="clear"/>
        </w:rPr>
        <w:t xml:space="preserve"> </w:t>
      </w:r>
      <w:r>
        <w:rPr>
          <w:rFonts w:ascii="Times New Roman;serif" w:hAnsi="Times New Roman;serif"/>
          <w:b w:val="false"/>
          <w:color w:val="000000"/>
          <w:sz w:val="20"/>
          <w:shd w:fill="FFFFFF" w:val="clear"/>
        </w:rPr>
        <w:t>We believe that our commercial infrastructure can help drive prescription volume and product sales. We also look for select partners that can complement our capabilities and enhance opportunities for our brands. For example, our co-promotion partnerships have allowed us to expand the support for Kristalose across the United States.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 xml:space="preserve">Building an international contribution to our business. </w:t>
      </w:r>
      <w:r>
        <w:rPr>
          <w:rFonts w:ascii="Times New Roman;serif" w:hAnsi="Times New Roman;serif"/>
          <w:b w:val="false"/>
          <w:color w:val="000000"/>
          <w:sz w:val="20"/>
          <w:shd w:fill="FFFFFF" w:val="clear"/>
        </w:rPr>
        <w:t>We hold the worldwide rights to all our brands except for Sancuso, as we acquired only the U.S. rights for that product. We are also working with a network of established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 with growing approvals of the product in other countries.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Managing our operations with financial discipline.</w:t>
      </w:r>
      <w:r>
        <w:rPr>
          <w:color w:val="000000"/>
          <w:shd w:fill="FFFFFF" w:val="clear"/>
        </w:rPr>
        <w:t xml:space="preserve"> </w:t>
      </w:r>
      <w:r>
        <w:rPr>
          <w:rFonts w:ascii="Times New Roman;serif" w:hAnsi="Times New Roman;serif"/>
          <w:b w:val="false"/>
          <w:color w:val="000000"/>
          <w:sz w:val="20"/>
          <w:shd w:fill="FFFFFF" w:val="clear"/>
        </w:rPr>
        <w:t>We continually work to manage our expenses in line with our revenues to deliver positive cash flow from operations. We seek to maintain favorable gross margins and a strong balance sheet.</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Cumberland’s sales and marketing team has broad industry experience in selling branded pharmaceuticals. Our sales and marketing executives direct our national marketing campaigns and maintain key national account relationships. They also manage our dedicated hospital, field and oncology sales forces, which are comprised of approximately 60 sales professionals.</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Hospital market:</w:t>
      </w:r>
      <w:r>
        <w:rPr>
          <w:color w:val="000000"/>
        </w:rPr>
        <w:t xml:space="preserve"> </w:t>
      </w:r>
      <w:r>
        <w:rPr>
          <w:rFonts w:ascii="Times New Roman;serif" w:hAnsi="Times New Roman;serif"/>
          <w:b w:val="false"/>
          <w:color w:val="000000"/>
          <w:sz w:val="20"/>
        </w:rPr>
        <w:t xml:space="preserve">We promote Caldolor and Vibativ through our dedicated hospital sales division. This organization targets key hospitals across the U.S. and is comprised of sales professionals with substantial experience in the hospital market.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hospital market is underserved and highly concentrated, and that it can be penetrated effectively by a small, dedicated sales force without large-scale promotional activity. Our established position in the hospital market provided the rationale for adding Vibativ as our first infectious disease product that complements our hospital product line. Our strategy has been to focus our hospital sales team on select, high-priority accounts. </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Gastroenterology market:</w:t>
      </w:r>
      <w:r>
        <w:rPr>
          <w:color w:val="000000"/>
        </w:rPr>
        <w:t xml:space="preserve"> </w:t>
      </w:r>
      <w:r>
        <w:rPr>
          <w:rFonts w:ascii="Times New Roman;serif" w:hAnsi="Times New Roman;serif"/>
          <w:b w:val="false"/>
          <w:color w:val="000000"/>
          <w:sz w:val="20"/>
        </w:rPr>
        <w:t>We promote Kristalose and Talicia through a dedicated field sales team addressing a targeted group of physicians who are existing and potential large prescribers of the products. Because the market for gastrointestinal diseases is broad in patient scope, yet relatively narrow in physician base, we believe it provides opportunities that can be penetrated with a modest-sized sales force. We also believe that we can increase market share for Kristalose through our co-promotion and marketing initiatives.</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 xml:space="preserve">Oncology market: </w:t>
      </w:r>
      <w:r>
        <w:rPr>
          <w:rFonts w:ascii="Times New Roman;serif" w:hAnsi="Times New Roman;serif"/>
          <w:b w:val="false"/>
          <w:color w:val="000000"/>
          <w:sz w:val="20"/>
        </w:rPr>
        <w:t xml:space="preserve">We formed a new oncology sales force to promote our Sancuso brand. This organization targets key oncologists and clinics across the U.S. and is comprised of both inside and field-based sales professionals. We subsequently expanded the sales division as we work to deliver Sancuso to more cancer patients, helping them tolerate their chemotherapy treatments.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executives conduct ongoing analyses to evaluate marketing campaigns and promotional programs in support of our brands. The evaluations include development of product profiles, testing of the profiles against the needs of the market, determining what additional product information or development work is needed to effectively market the products and preparing financial forecasts. We utilize professional branding and packaging as well as promotional items to support our products, including direct mail, promotional aides, journal advertising, educational and reminder leave-behinds, patient educational pieces, coupons and product sampling. We also regularly attend select medical meetings and trade shows to expand the awareness of our products.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national accounts team is responsible for key large buyers and related marketing programs. We also maintain relationships with our wholesaler customers, third-party payors, group purchasing organizations, pharmacy benefit managers, hospital buying groups, outpatient centers, state and federal government purchasers and health insurance companies.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MATERIAL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customers are wholesale pharmaceutical distributors in the United States. Total revenue by customer for each customer representing 10% or more of consolidated gross revenues are summarized below for the year ended December 31, 2025:</w:t>
      </w:r>
    </w:p>
    <w:tbl>
      <w:tblPr>
        <w:tblW w:w="2601"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175"/>
        <w:gridCol w:w="175"/>
        <w:gridCol w:w="176"/>
        <w:gridCol w:w="109"/>
        <w:gridCol w:w="109"/>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26" w:type="dxa"/>
            <w:gridSpan w:val="3"/>
            <w:tcBorders/>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2</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INTERNATIONAL PARTNERSHIPS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our own capabilities to support the commercialization of our products in the U.S. Our international strategy is to identify and partner with other companies that have the appropriate capabilities to support our products in their respective countries. We have entered into a series of agreements to establish an international network, which is summarized in the table below and includes information on our primary partners:</w:t>
      </w:r>
    </w:p>
    <w:tbl>
      <w:tblPr>
        <w:tblW w:w="9152" w:type="dxa"/>
        <w:jc w:val="left"/>
        <w:tblInd w:w="0" w:type="dxa"/>
        <w:tblLayout w:type="fixed"/>
        <w:tblCellMar>
          <w:top w:w="28" w:type="dxa"/>
          <w:left w:w="28" w:type="dxa"/>
          <w:bottom w:w="28" w:type="dxa"/>
          <w:right w:w="28" w:type="dxa"/>
        </w:tblCellMar>
      </w:tblPr>
      <w:tblGrid>
        <w:gridCol w:w="950"/>
        <w:gridCol w:w="835"/>
        <w:gridCol w:w="839"/>
        <w:gridCol w:w="109"/>
        <w:gridCol w:w="109"/>
        <w:gridCol w:w="109"/>
        <w:gridCol w:w="627"/>
        <w:gridCol w:w="627"/>
        <w:gridCol w:w="635"/>
        <w:gridCol w:w="109"/>
        <w:gridCol w:w="109"/>
        <w:gridCol w:w="109"/>
        <w:gridCol w:w="694"/>
        <w:gridCol w:w="694"/>
        <w:gridCol w:w="697"/>
        <w:gridCol w:w="109"/>
        <w:gridCol w:w="109"/>
        <w:gridCol w:w="109"/>
        <w:gridCol w:w="396"/>
        <w:gridCol w:w="396"/>
        <w:gridCol w:w="409"/>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color w:val="000000"/>
                <w:sz w:val="20"/>
              </w:rPr>
            </w:pPr>
            <w:r>
              <w:rPr>
                <w:rFonts w:ascii="Times New Roman;serif" w:hAnsi="Times New Roman;serif"/>
                <w:b/>
                <w:color w:val="000000"/>
                <w:sz w:val="20"/>
              </w:rPr>
              <w:t>International Partner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color w:val="000000"/>
                <w:sz w:val="20"/>
              </w:rPr>
            </w:pPr>
            <w:r>
              <w:rPr>
                <w:rFonts w:ascii="Times New Roman;serif" w:hAnsi="Times New Roman;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color w:val="000000"/>
                <w:sz w:val="20"/>
              </w:rPr>
            </w:pPr>
            <w:r>
              <w:rPr>
                <w:rFonts w:ascii="Times New Roman;serif" w:hAnsi="Times New Roman;serif"/>
                <w:b/>
                <w:color w:val="000000"/>
                <w:sz w:val="20"/>
              </w:rPr>
              <w:t>Territory</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color w:val="000000"/>
                <w:sz w:val="20"/>
              </w:rPr>
            </w:pPr>
            <w:r>
              <w:rPr>
                <w:rFonts w:ascii="Times New Roman;serif" w:hAnsi="Times New Roman;serif"/>
                <w:b/>
                <w:color w:val="000000"/>
                <w:sz w:val="20"/>
              </w:rPr>
              <w:t>Status</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Phebra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Acetadote &amp; 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D.B. Pharm Korea Co., Ltd.</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Caldolor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R-Pharm JSC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Vibativ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Russia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Marketed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Tabuk Pharmaceuticals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Vibativ</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Saudi Arabia and Jordan</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PiSA Pharmaceutical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Approved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SciClone Pharmaceuticals, Inc.</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Vibativ</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China and Hong Kong</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Approved</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D.B. Pharm Korea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Vaprisol &amp; Vibativ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Registration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WinHealth Pharma Group Co.</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889"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Acetadote &amp; Caldolor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085"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China and Hong Kong</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01" w:type="dxa"/>
            <w:gridSpan w:val="3"/>
            <w:tcBorders/>
            <w:tcMar>
              <w:top w:w="0" w:type="dxa"/>
              <w:left w:w="0" w:type="dxa"/>
              <w:bottom w:w="0" w:type="dxa"/>
              <w:right w:w="0" w:type="dxa"/>
            </w:tcMar>
            <w:vAlign w:val="center"/>
          </w:tcPr>
          <w:p>
            <w:pPr>
              <w:pStyle w:val="TableContents"/>
              <w:bidi w:val="0"/>
              <w:spacing w:lineRule="auto" w:line="300" w:before="75" w:after="30"/>
              <w:jc w:val="both"/>
              <w:rPr>
                <w:rFonts w:ascii="Times New Roman;serif" w:hAnsi="Times New Roman;serif"/>
                <w:b w:val="false"/>
                <w:color w:val="000000"/>
                <w:sz w:val="20"/>
              </w:rPr>
            </w:pPr>
            <w:r>
              <w:rPr>
                <w:rFonts w:ascii="Times New Roman;serif" w:hAnsi="Times New Roman;serif"/>
                <w:b w:val="false"/>
                <w:color w:val="000000"/>
                <w:sz w:val="20"/>
              </w:rPr>
              <w:t>Development</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international commercialization agreements include a license to one or more Cumberland products for a specific territory as noted in the table above. We seek partners who have the local infrastructure to support the registration and commercialization of our products in their territory.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Under the terms of our agreements our partners are responsible for:</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Seeking regulatory approvals for the products;</w:t>
      </w:r>
    </w:p>
    <w:p>
      <w:pPr>
        <w:pStyle w:val="TextBody"/>
        <w:bidi w:val="0"/>
        <w:spacing w:lineRule="auto" w:line="288" w:before="160" w:after="283"/>
        <w:ind w:left="0" w:right="0" w:hanging="446"/>
        <w:jc w:val="both"/>
        <w:rPr/>
      </w:pPr>
      <w:r>
        <w:rPr>
          <w:color w:val="000000"/>
        </w:rPr>
        <w:t>•</w:t>
      </w:r>
      <w:r>
        <w:rPr>
          <w:rFonts w:ascii="Times New Roman;serif" w:hAnsi="Times New Roman;serif"/>
          <w:b w:val="false"/>
          <w:color w:val="000000"/>
          <w:sz w:val="20"/>
        </w:rPr>
        <w:t>Launching the brand;</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Managing the ongoing marketing, sales and product distribution;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Addressing the ongoing regulatory requirements in the international territories;</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Remitting any upfront, regulatory and sales milestone payments;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Providing the transfer price for supplies of the product; and</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Calculating and paying any royalties, as applicable.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Our responsibilities include:</w:t>
      </w:r>
    </w:p>
    <w:p>
      <w:pPr>
        <w:pStyle w:val="TextBody"/>
        <w:bidi w:val="0"/>
        <w:spacing w:lineRule="auto" w:line="288" w:before="160" w:after="283"/>
        <w:ind w:left="0" w:right="0" w:hanging="446"/>
        <w:jc w:val="both"/>
        <w:rPr/>
      </w:pPr>
      <w:r>
        <w:rPr>
          <w:color w:val="000000"/>
        </w:rPr>
        <w:t>•</w:t>
      </w:r>
      <w:r>
        <w:rPr>
          <w:rFonts w:ascii="Times New Roman;serif" w:hAnsi="Times New Roman;serif"/>
          <w:b w:val="false"/>
          <w:color w:val="000000"/>
          <w:sz w:val="20"/>
        </w:rPr>
        <w:t>Providing a dossier of relevant information to support product registration;</w:t>
      </w:r>
    </w:p>
    <w:p>
      <w:pPr>
        <w:pStyle w:val="TextBody"/>
        <w:bidi w:val="0"/>
        <w:spacing w:lineRule="auto" w:line="288" w:before="160" w:after="283"/>
        <w:ind w:left="0" w:right="0" w:hanging="446"/>
        <w:jc w:val="both"/>
        <w:rPr/>
      </w:pPr>
      <w:r>
        <w:rPr>
          <w:color w:val="000000"/>
        </w:rPr>
        <w:t>•</w:t>
      </w:r>
      <w:r>
        <w:rPr>
          <w:rFonts w:ascii="Times New Roman;serif" w:hAnsi="Times New Roman;serif"/>
          <w:b w:val="false"/>
          <w:color w:val="000000"/>
          <w:sz w:val="20"/>
        </w:rPr>
        <w:t>Maintaining our intellectual property associated with the product;</w:t>
      </w:r>
    </w:p>
    <w:p>
      <w:pPr>
        <w:pStyle w:val="TextBody"/>
        <w:bidi w:val="0"/>
        <w:spacing w:lineRule="auto" w:line="288" w:before="160" w:after="283"/>
        <w:ind w:left="0" w:right="0" w:hanging="446"/>
        <w:jc w:val="both"/>
        <w:rPr/>
      </w:pPr>
      <w:r>
        <w:rPr>
          <w:color w:val="000000"/>
        </w:rPr>
        <w:t>•</w:t>
      </w:r>
      <w:r>
        <w:rPr>
          <w:rFonts w:ascii="Times New Roman;serif" w:hAnsi="Times New Roman;serif"/>
          <w:b w:val="false"/>
          <w:color w:val="000000"/>
          <w:sz w:val="20"/>
        </w:rPr>
        <w:t>Sharing our marketing strategy, experience and materials for the brand; and</w:t>
      </w:r>
    </w:p>
    <w:p>
      <w:pPr>
        <w:pStyle w:val="TextBody"/>
        <w:bidi w:val="0"/>
        <w:spacing w:lineRule="auto" w:line="288" w:before="160" w:after="120"/>
        <w:ind w:left="0" w:right="0" w:hanging="446"/>
        <w:jc w:val="both"/>
        <w:rPr/>
      </w:pPr>
      <w:r>
        <w:rPr>
          <w:color w:val="000000"/>
        </w:rPr>
        <w:t>•</w:t>
      </w:r>
      <w:r>
        <w:rPr>
          <w:rFonts w:ascii="Times New Roman;serif" w:hAnsi="Times New Roman;serif"/>
          <w:b w:val="false"/>
          <w:color w:val="000000"/>
          <w:sz w:val="20"/>
        </w:rPr>
        <w:t>Manufacturing and providing the finished product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we worked to support our existing international partners, conclude unproductive arrangements and identify new companies to represent our products in select additional territories.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BUSINESS DEVELOPMENT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inception, we have had an active business development initiative focused on acquiring rights to marketed products and product candidates that fit our strategy and target markets. We source business development opportunities through our international network of advisory firms and individual pharmaceutical industry and medical advisors. A multi-disciplinary internal management team reviews these opportunities on a regular basis using a group of selection criteria. We have historically focused on product opportunities that are a strategic fit with our commercial organization, development expertise and medical focus, employing a variety of transaction structures.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continued to build our product portfolio of complementary, niche brands largely through product acquisitions and late-stage development of product candidates.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targets are under-promoted, FDA-approved drugs with existing brand recognition and late-stage development product candidates that address unmet or poorly met medical needs in the hospital acute care, gastroenterology and oncology markets. We believe that by focusing mainly on approved or late-stage products, we can minimize the significant risk, cost and time associated with drug development.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strategically review our brands, pipeline and capabilities, as well as our international partners. We believe that it is prudent to continually evaluate our product portfolio, partners and organization to ensure a proper focus and the needed supporting capabilities.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International Partners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D.B. Pharm Korea Co., Ltd. (“D.B. Pharm”) has licensed our Caldolor product for the South Korean market, and they obtained regulatory approval for Caldolor in their country. In 2025, D.B. Pharm continued to purchase supplies of Caldolor and distributed the brand in South Korea. We have also entered into agreements with D.B. Pharm to register and commercialize our Vaprisol and Vibativ brands in their country.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executed a license and distribution agreement with WinHealth Pharma Group Co. Limited (“WinHealth”) for our Caldolor and Acetadote brands in China and Hong Kong. Under the terms of the agreement, WinHealth will provide development milestone payments and purchase supplies of the products following their registration in China.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entered into a strategic alliance agreement with WinHealth to explore future business opportunities that will further the mission and goals of each organization. Founded in Hangzhou, China and currently headquartered in Hong Kong, WinHealth has developed a wide breadth of capabilities, including drug licensing, product development and registration, and has established a strong network of distribution and sales promotional capabilities for the Chinese market. WinHealth has established partnerships with international companies that include Boehringer-Ingelheim, Janssen, Novartis, Pfizer and Roche, generating several hundred million dollars in sales annually.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August 2020, we entered into an agreement with WinHealth Investment (Singapore) Ltd. creating </w:t>
      </w:r>
      <w:r>
        <w:rPr>
          <w:rFonts w:ascii="Times New Roman;serif" w:hAnsi="Times New Roman;serif"/>
          <w:b w:val="false"/>
          <w:i/>
          <w:color w:val="000000"/>
          <w:sz w:val="20"/>
        </w:rPr>
        <w:t>WHC Biopharmaceuticals, Pte. Ltd</w:t>
      </w:r>
      <w:r>
        <w:rPr>
          <w:rFonts w:ascii="Times New Roman;serif" w:hAnsi="Times New Roman;serif"/>
          <w:b w:val="false"/>
          <w:color w:val="000000"/>
          <w:sz w:val="20"/>
        </w:rPr>
        <w:t>. The joint venture will focus on acquiring, developing, registering and commercializing development stage and commercial stage biopharmaceuticals for China, Hong Kong and other Asian markets.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R-Pharma JSC (“R Pharm”) has licensed our Vibativ product for a territory that includes Russia. R-Pharm is one of the leading multinational pharmaceutical organizations based in Russia. Headquartered in Moscow, R-Pharm focuses on a wide breadth of therapeutic areas in the specialty and hospital care markets. R-Pharm has registered Vibativ in Russia and during 2025, continued to purchase supplies of the product for that market.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SciClone Pharmaceuticals (Holdings) Limited (“SciClone”) has licensed our Vibativ product for sale and distribution in China and several adjacent countries. In early 2025, they obtained approval and began preparations for the launch of Vibativ in their country.</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established distribution for our Vibativ product in the Middle East through a partnership with Tabuk Pharmaceutical Manufacturing Company (“Tabuk”). Through our partnership, Tabuk will introduce the product in Saudi Arabia, Jordan and potentially other countries in the Middle East. In 2025, we supported Tabuk’s launch of Vibativ in Saudi Arabia, as they began to provide the potentially life-saving treatment to patients in their country.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entered into an agreement with PiSA Pharmaceutical for the registration and commercialization of Caldolor in Mexico. Under the terms of the agreement, Cumberland is responsible for providing the product dossier and supplies. PiSA is responsible for obtaining regulatory approval for the product in Mexico and introducing it to the new market. In 2025, the product received regulatory approval in Mexico, and preparations for the launch of the product there are now underway.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Poly Co-Promotion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 co-promotion arrangement with Poly Pharmaceuticals, Inc. (“Poly”) for our Kristalose product Poly is a privately held U.S. specialty pharmaceutical company that is featuring Kristalose to an expanded number of physicians. Poly’s sales organization is more than doubling the number of nationwide physicians who are reached with the Kristalose brand message.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2R and Foxland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entered into another co-promotion arrangement related to our Kristalose product. We have agreements with 2R Investments, LLC and with Foxland Pharmaceuticals, Inc. (“Foxland”) to package, distribute and promote an unbranded generic form of our Kristalose product to physician targets that we do not cover.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CET University Collaboration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CET, we collaborate with a select group of academic research institutions located in the Mid-South region of the U.S. to identify, co-develop and seek grant funding for promising biomedical technologies emerging from those research institutions. CET is collaborating with Vanderbilt University and other regional academic research institutions and has entered into a series of agreements to access and collaborate on the development of innovative product candidates. These arrangements enable CET to team with university-based researchers to advance their scientific discoveries and breakthroughs by designing new product candidates to improve patient care and address unmet medical needs. CET has been able to help secure federal small business grant funding to support these various projects.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CET also established and manages the Nashville Life Sciences Center, which serves as an incubator for Middle Tennessee’s emerging biomedical industry. The Life Sciences Center provides offices, laboratory space and equipment to early-stage companies looking to develop their technologies and products. We maintain the Cumberland Pharmaceuticals formulation and testing laboratory at the CET Life Sciences Center.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Nearly 30 life science companies exist today because of CET, including a vibrant group of current tenants at the Life Sciences Center as well as a growing number of successful graduates.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CLINICAL AND REGULATORY AFFAIRS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robust in-house capabilities for the management of clinical, regulatory and quality affairs, demonstrating our commitment to excellence in drug development and compliance. Our experienced team develops and manages clinical trials, prepares regulatory submissions, oversees product-related regulatory responsibilities and operates our medical information center. This team has successfully devised regulatory and clinical strategies for our product portfolio, including obtaining FDA approvals for Acetadote and Caldolor brands.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Clinical Development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clinical development personnel are responsible for: </w:t>
      </w:r>
    </w:p>
    <w:p>
      <w:pPr>
        <w:pStyle w:val="TextBody"/>
        <w:bidi w:val="0"/>
        <w:spacing w:lineRule="auto" w:line="288" w:before="160" w:after="283"/>
        <w:ind w:left="0" w:right="0" w:hanging="374"/>
        <w:jc w:val="both"/>
        <w:rPr/>
      </w:pPr>
      <w:r>
        <w:rPr>
          <w:color w:val="000000"/>
        </w:rPr>
        <w:t>•</w:t>
      </w:r>
      <w:r>
        <w:rPr>
          <w:rFonts w:ascii="Times New Roman;serif" w:hAnsi="Times New Roman;serif"/>
          <w:b w:val="false"/>
          <w:color w:val="000000"/>
          <w:sz w:val="20"/>
        </w:rPr>
        <w:t xml:space="preserve">Creating and executing clinical development strategies, including protocol design and statistical analysis plans; </w:t>
      </w:r>
    </w:p>
    <w:p>
      <w:pPr>
        <w:pStyle w:val="TextBody"/>
        <w:bidi w:val="0"/>
        <w:spacing w:lineRule="auto" w:line="288" w:before="160" w:after="283"/>
        <w:ind w:left="0" w:right="0" w:hanging="374"/>
        <w:jc w:val="both"/>
        <w:rPr/>
      </w:pPr>
      <w:r>
        <w:rPr>
          <w:color w:val="000000"/>
        </w:rPr>
        <w:t>•</w:t>
      </w:r>
      <w:r>
        <w:rPr>
          <w:rFonts w:ascii="Times New Roman;serif" w:hAnsi="Times New Roman;serif"/>
          <w:b w:val="false"/>
          <w:color w:val="000000"/>
          <w:sz w:val="20"/>
        </w:rPr>
        <w:t xml:space="preserve">Designing, implementing and monitoring clinical trials, including site selection and patient recruitment; </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 xml:space="preserve">Managing clinical data collection, biostatistical analysis and real-world evidence generation; </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Conducting post-marketing surveillance and safety monitoring; and</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Cross-functional collaboration with research partners.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Regulatory and Quality Affairs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internal regulatory and quality affairs team is responsible for: </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Managing the full regulatory lifecycle from IND submissions through NDA approvals, including post-marketing commitments and supplemental applications for label expansions and product improvements;</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Developing and executing global regulatory strategies, including health authority interactions and submissions across international markets;</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Implementing comprehensive quality systems</w:t>
      </w:r>
      <w:r>
        <w:rPr>
          <w:rFonts w:ascii="Times New Roman;serif" w:hAnsi="Times New Roman;serif"/>
          <w:b w:val="false"/>
          <w:color w:val="B5082E"/>
          <w:sz w:val="20"/>
        </w:rPr>
        <w:t>,</w:t>
      </w:r>
      <w:r>
        <w:rPr>
          <w:color w:val="000000"/>
        </w:rPr>
        <w:t xml:space="preserve"> </w:t>
      </w:r>
      <w:r>
        <w:rPr>
          <w:rFonts w:ascii="Times New Roman;serif" w:hAnsi="Times New Roman;serif"/>
          <w:b w:val="false"/>
          <w:color w:val="000000"/>
          <w:sz w:val="20"/>
        </w:rPr>
        <w:t>including pharmacovigilance, QMS oversight, and compliance monitoring of third-party providers with GMP, GLP, and GCP requirements;</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Evaluating regulatory risk profiles for product acquisitions and maintaining regulatory intelligence to inform strategic planning; and</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 xml:space="preserve">Overseeing document control systems, change management and customer complaint processes.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Professional Affairs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professional affairs team supports our clinical and regulatory initiatives through:</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Key opinion leader engagement and medical/scientific advisory boards;</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Medical information and scientific communications management;</w:t>
      </w:r>
    </w:p>
    <w:p>
      <w:pPr>
        <w:pStyle w:val="TextBody"/>
        <w:bidi w:val="0"/>
        <w:spacing w:lineRule="auto" w:line="288" w:before="160" w:after="283"/>
        <w:ind w:left="0" w:right="0" w:hanging="380"/>
        <w:jc w:val="both"/>
        <w:rPr/>
      </w:pPr>
      <w:r>
        <w:rPr>
          <w:color w:val="000000"/>
        </w:rPr>
        <w:t>•</w:t>
      </w:r>
      <w:r>
        <w:rPr>
          <w:rFonts w:ascii="Times New Roman;serif" w:hAnsi="Times New Roman;serif"/>
          <w:b w:val="false"/>
          <w:color w:val="000000"/>
          <w:sz w:val="20"/>
        </w:rPr>
        <w:t>Publication planning and execution; and</w:t>
      </w:r>
    </w:p>
    <w:p>
      <w:pPr>
        <w:pStyle w:val="TextBody"/>
        <w:bidi w:val="0"/>
        <w:spacing w:lineRule="auto" w:line="288" w:before="160" w:after="283"/>
        <w:ind w:left="0" w:right="0" w:hanging="381"/>
        <w:jc w:val="both"/>
        <w:rPr/>
      </w:pPr>
      <w:r>
        <w:rPr>
          <w:color w:val="000000"/>
        </w:rPr>
        <w:t>•</w:t>
      </w:r>
      <w:r>
        <w:rPr>
          <w:rFonts w:ascii="Times New Roman;serif" w:hAnsi="Times New Roman;serif"/>
          <w:b w:val="false"/>
          <w:color w:val="000000"/>
          <w:sz w:val="20"/>
        </w:rPr>
        <w:t>Healthcare provider education and support.</w:t>
      </w:r>
    </w:p>
    <w:p>
      <w:pPr>
        <w:pStyle w:val="TextBody"/>
        <w:bidi w:val="0"/>
        <w:spacing w:before="16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PROFESSIONAL AND MEDICAL AFFAIRS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medical team provides in-house medical information support for our marketed products. This includes interacting directly with health care professionals to address any product or medical inquiries through our medical information call center and medical science liaisons. In addition to coordinating the call center, our clinical/regulatory group generates medical information letters, provides informational memos to our sales forces and assists with ongoing training for the sales forces.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CLINICAL DEVELOPMENT AND STUDY RESULTS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Vibativ Clinical Manuscripts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October 2023, Cumberland announced a new study published in </w:t>
      </w:r>
      <w:r>
        <w:rPr>
          <w:rFonts w:ascii="Times New Roman;serif" w:hAnsi="Times New Roman;serif"/>
          <w:b w:val="false"/>
          <w:i/>
          <w:color w:val="000000"/>
          <w:sz w:val="20"/>
        </w:rPr>
        <w:t>Antimicrobial Agents and Chemotherapy</w:t>
      </w:r>
      <w:r>
        <w:rPr>
          <w:color w:val="000000"/>
        </w:rPr>
        <w:t xml:space="preserve"> </w:t>
      </w:r>
      <w:r>
        <w:rPr>
          <w:rFonts w:ascii="Times New Roman;serif" w:hAnsi="Times New Roman;serif"/>
          <w:b w:val="false"/>
          <w:color w:val="000000"/>
          <w:sz w:val="20"/>
        </w:rPr>
        <w:t xml:space="preserve">detailing the results of the first clinical study investigating the safety and pharmacokinetics of our Vibativ (telavancin) product in children 2 to 17 years of age. The study found a single 10 mg/kg dose of Vibativ was safe with no serious adverse events or renal concerns. Drug exposure to Vibativ was lower in children compared with the same body weight-based dosing in adults. The study suggests Vibativ is a safe and viable option for pediatric patients ages 2 to 17 who require systemic antibiotics for the treatment of a known or suspected bacterial infection, including those with MRSA or another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 xml:space="preserve">pathogen.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Vibativ received marketing approval in China through our partner SciClone.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Caldolor Clinical Manuscripts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previously received FDA approval for the use of Caldolor in pediatric patients 6 months of age and older. Caldolor is the first and only injectable NSAID approved for use in children. We then initiated a study to collect data on the use of Caldolor in children ranging in age from birth up to 6 months of age. Enrollment in that multi-center study was completed in 2019, and topline results were announced in 2020, indicating that Caldolor was well tolerated in this patient population, with no safety concerns noted.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2023, we announced the FDA approval of Caldolor in pediatric patients 3 to 6 months of age. With this newly approved labeling, Caldolor is the only non-opioid injectable product approved to treat pain in infants that is delivered through injection.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Additionally, in June 2023, we shared the positive results from a clinical study investigating the safety and pharmacokinetics of Caldolor in newborns, published in the journal </w:t>
      </w:r>
      <w:r>
        <w:rPr>
          <w:rFonts w:ascii="Times New Roman;serif" w:hAnsi="Times New Roman;serif"/>
          <w:b w:val="false"/>
          <w:i/>
          <w:color w:val="000000"/>
          <w:sz w:val="20"/>
        </w:rPr>
        <w:t>Pediatric Drugs</w:t>
      </w:r>
      <w:r>
        <w:rPr>
          <w:rFonts w:ascii="Times New Roman;serif" w:hAnsi="Times New Roman;serif"/>
          <w:b w:val="false"/>
          <w:color w:val="000000"/>
          <w:sz w:val="20"/>
        </w:rPr>
        <w:t>. The clinical study evaluated the safety and drug exposure profile of Caldolor in 24 hospitalized infants between the ages of 1 and 6 months who required treatment for pain or fever. Of the 24 patients included in the study, three were under 3 months of age, and the remaining 21 patients were 3 to 6 months of age. Twenty patients received a single dose, and four patients received multiple doses. In this study, single and multiple 10 mg/kg doses of Caldolor were reported safe, with no drug-related adverse events or renal concerns. Drug exposure following a single dose of Caldolor in infants 1 to 6 months of age was similar to what was previously reported in older children. The results of this study support the growing body of evidence that demonstrates Caldolor is a safe therapeutic option available to practitioners for the treatment of fever and pain in infants, children and adults.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announced the publication of new real-world outcomes research involving 150,000 patients, which compared our Caldolor to its key competitor – ketorolac. The results provided compelling evidence that Caldolor is associated with a significantly reduced incidence of adverse drug reactions and also improved healthcare utilization.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Additionally, in March of 2024, a Caldolor Special Report was published in </w:t>
      </w:r>
      <w:r>
        <w:rPr>
          <w:rFonts w:ascii="Times New Roman;serif" w:hAnsi="Times New Roman;serif"/>
          <w:b w:val="false"/>
          <w:i/>
          <w:color w:val="000000"/>
          <w:sz w:val="20"/>
        </w:rPr>
        <w:t>Anesthesiology News</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General Surgery News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Pharmacy Practice News</w:t>
      </w:r>
      <w:r>
        <w:rPr>
          <w:color w:val="000000"/>
        </w:rPr>
        <w:t xml:space="preserve"> </w:t>
      </w:r>
      <w:r>
        <w:rPr>
          <w:rFonts w:ascii="Times New Roman;serif" w:hAnsi="Times New Roman;serif"/>
          <w:b w:val="false"/>
          <w:color w:val="000000"/>
          <w:sz w:val="20"/>
        </w:rPr>
        <w:t>that presented the growing amount of data supporting the use of Caldolor as a standard of care for the treatment of pain and fever. The results demonstrated that the product is a safe and effective treatment for pain and fever in adults, children and infants as young as 3 months of age.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our partner PiSA received marketing authorization in Mexico for IV ibuprofen under the trade name IVIRET, representing further international expansion of this product.</w:t>
      </w:r>
    </w:p>
    <w:p>
      <w:pPr>
        <w:pStyle w:val="TextBody"/>
        <w:bidi w:val="0"/>
        <w:spacing w:before="160" w:after="283"/>
        <w:ind w:left="0" w:right="0" w:firstLine="360"/>
        <w:jc w:val="left"/>
        <w:rPr/>
      </w:pPr>
      <w:r>
        <w:rPr/>
      </w:r>
    </w:p>
    <w:p>
      <w:pPr>
        <w:pStyle w:val="TextBody"/>
        <w:bidi w:val="0"/>
        <w:spacing w:before="1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Ifetroban Phase II Studies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evaluating our ifetroban product candidate in a series of clinical studies. We have two Phase II clinical programs evaluating our ifetroban product candidate in 1) Systemic Sclerosis or scleroderma, a debilitating autoimmune disorder characterized by diffuse fibrosis of the skin and internal organs and 2) patients with Idiopathic Pulmonary Fibrosis, the most common form of progressive fibrosing interstitial lung disease. Investigational new drug applications have been cleared by the FDA enabling us to launch clinical studies in each of these areas.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we announced positive top-line results from our completed Phase II study (CPI-IFE-007, the FIGHT DMD trial) in patients with cardiomyopathy associated with Duchenne muscular dystrophy, a rare, fatal, genetic neuromuscular disease that results in deterioration of the skeletal, heart and lung muscles. The study enrolled 41 DMD patients who received either low-dose ifetroban (100 mg per day), high-dose ifetroban (300 mg per day), or placebo. High-dose ifetroban treatment resulted in a 3.3% improvement in left ventricular ejection fraction (LVEF) compared to placebo. When compared to propensity-matched natural history controls, the difference was even more pronounced, with high-dose treatment providing a statistically significant 5.4% overall improvement in LVEF (p=0.002), as control patients experienced a 3.6% decline in LVEF. Both doses of ifetroban were well tolerated with no serious drug-related adverse events. All subjects who completed the 12-month treatment period opted into the open-label extension, with long-term follow-up continuing through Month 24 and Month 36 assessments. Ifetroban received Orphan Drug Designation and Rare Pediatric Drug Designation for DMD in November 2024. Fast Track Designation was granted in February 2026. An End-of-Phase 2 meeting was held with FDA in September 2025, and a subsequent Type C meeting was held in January 2026 to continue regulatory pathway discussions.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Systemic Sclerosis study (CPI-IFE-004) closed to enrollment in February 2025 and topline results for the diffuse cutaneous arm are expected by the end of the first quarter of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Idiopathic Pulmonary Fibrosis study (CPI-IFE-008, the FIGHTING FIBROSIS trial) is actively enrolling, with over 70 subjects enrolled across 17 activated sites. A safety interim analysis was completed in November 2025 evaluating the first 25% of patients completing 12 weeks of treatment; the independent committee concluded no new safety signals were identified and no changes in study conduct were needed.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pilot studies of ifetroban are underway, including several investigator-initiated trials.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Additional Testing Program</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Cumberland entered into a non-clinical evaluation agreement to test one of our products bacterial strains and subsequently, in vivo animal models utilizing the preclinical services program funded by the Division of Microbiology and Infectious Diseases, which is part of the National Institute of Allergy and Infectious Diseases, an institute of the National Institutes of Health, which is part of the Department of Health and Human Services, an agency of the U.S. government. The results of this testing program were published in July 2024 in </w:t>
      </w:r>
      <w:r>
        <w:rPr>
          <w:rFonts w:ascii="Times New Roman;serif" w:hAnsi="Times New Roman;serif"/>
          <w:b w:val="false"/>
          <w:i/>
          <w:color w:val="000000"/>
          <w:sz w:val="20"/>
        </w:rPr>
        <w:t xml:space="preserve">Antimicrobial Agents and Chemotherapy, </w:t>
      </w:r>
      <w:r>
        <w:rPr>
          <w:rFonts w:ascii="Times New Roman;serif" w:hAnsi="Times New Roman;serif"/>
          <w:b w:val="false"/>
          <w:color w:val="000000"/>
          <w:sz w:val="20"/>
        </w:rPr>
        <w:t xml:space="preserve">demonstrating rapid in vitro activity of telavancin against </w:t>
      </w:r>
      <w:r>
        <w:rPr>
          <w:rFonts w:ascii="Times New Roman;serif" w:hAnsi="Times New Roman;serif"/>
          <w:b w:val="false"/>
          <w:i/>
          <w:color w:val="000000"/>
          <w:sz w:val="20"/>
        </w:rPr>
        <w:t xml:space="preserve">Bacillus anthracis </w:t>
      </w:r>
      <w:r>
        <w:rPr>
          <w:rFonts w:ascii="Times New Roman;serif" w:hAnsi="Times New Roman;serif"/>
          <w:b w:val="false"/>
          <w:color w:val="000000"/>
          <w:sz w:val="20"/>
        </w:rPr>
        <w:t>and in vivo protection against inhalation anthrax infection in the rabbit model.</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CORPORATE DEVELOPMENT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Cumberland Pharma Foundation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have formed the </w:t>
      </w:r>
      <w:r>
        <w:rPr>
          <w:rFonts w:ascii="Times New Roman;serif" w:hAnsi="Times New Roman;serif"/>
          <w:b w:val="false"/>
          <w:i/>
          <w:color w:val="000000"/>
          <w:sz w:val="20"/>
        </w:rPr>
        <w:t xml:space="preserve">Cumberland Pharma Foundation </w:t>
      </w:r>
      <w:r>
        <w:rPr>
          <w:rFonts w:ascii="Times New Roman;serif" w:hAnsi="Times New Roman;serif"/>
          <w:b w:val="false"/>
          <w:color w:val="000000"/>
          <w:sz w:val="20"/>
        </w:rPr>
        <w:t>(the “Foundation”) to provide the ongoing philanthropic endeavors of Cumberland Pharmaceuticals Inc.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Foundation was formed as an independent,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initially provided a grant of 50,000 shares of our common stock to the Foundation. The shares will address the ongoing financial needs of the Foundation, with most of the shares expected to be held for the opportunity to realize long-term appreciation to support the Foundation’s future.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Foundation maintains independent financial statements and its contributions will not impact the financial statements of Cumberland Pharmaceuticals. Initial annual grants by the Foundation have been and remain consistent with the historic level of contributions made by Cumberland Pharmaceuticals.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Cumberland Health and Wellness Political Action Committee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have also formed the </w:t>
      </w:r>
      <w:r>
        <w:rPr>
          <w:rFonts w:ascii="Times New Roman;serif" w:hAnsi="Times New Roman;serif"/>
          <w:b w:val="false"/>
          <w:i/>
          <w:color w:val="000000"/>
          <w:sz w:val="20"/>
        </w:rPr>
        <w:t xml:space="preserve">Cumberland Health and Wellness Political Action Committee </w:t>
      </w:r>
      <w:r>
        <w:rPr>
          <w:rFonts w:ascii="Times New Roman;serif" w:hAnsi="Times New Roman;serif"/>
          <w:b w:val="false"/>
          <w:color w:val="000000"/>
          <w:sz w:val="20"/>
        </w:rPr>
        <w:t xml:space="preserve">(the “PAC”). The objective of the PAC is to support candidates and policies that are consistent with Cumberland’s mission of advancing patient care. The PAC’s activities are held at a local, state, and federal level and conducted in a bi-partisan manner.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initial committee membership is comprised of Cumberland Pharmaceuticals employees. The PAC received initial funding from us, and future funding will include voluntary individual contributions from Cumberland Pharmaceuticals directors and employees.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MANUFACTURING AND DISTRIBUTION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Manufacturing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partner with third parties for certain non-core, capital-intensive capabilities, including the manufacturing and distribution of our products. We manage these third-party relationships and are responsible for the quality review and release of each lot of our products.</w:t>
      </w:r>
    </w:p>
    <w:p>
      <w:pPr>
        <w:pStyle w:val="TextBody"/>
        <w:bidi w:val="0"/>
        <w:spacing w:lineRule="auto" w:line="288" w:before="160" w:after="283"/>
        <w:jc w:val="both"/>
        <w:rPr/>
      </w:pPr>
      <w:r>
        <w:rPr>
          <w:rFonts w:ascii="Times New Roman;serif" w:hAnsi="Times New Roman;serif"/>
          <w:b w:val="false"/>
          <w:i/>
          <w:color w:val="000000"/>
          <w:sz w:val="20"/>
        </w:rPr>
        <w:t>Acetadote</w:t>
      </w:r>
      <w:r>
        <w:rPr>
          <w:rFonts w:ascii="Times New Roman;serif" w:hAnsi="Times New Roman;serif"/>
          <w:b/>
          <w:i/>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 agreement with one manufacturer, who provided commercial supplies of Acetadote in 2025. We did encounter a shortage of Acetadote in 2025 due to delays in the manufacture, serialization and delivery of orders from our supplier.</w:t>
      </w:r>
    </w:p>
    <w:p>
      <w:pPr>
        <w:pStyle w:val="TextBody"/>
        <w:bidi w:val="0"/>
        <w:spacing w:lineRule="auto" w:line="288" w:before="160" w:after="283"/>
        <w:jc w:val="both"/>
        <w:rPr/>
      </w:pPr>
      <w:r>
        <w:rPr>
          <w:rFonts w:ascii="Times New Roman;serif" w:hAnsi="Times New Roman;serif"/>
          <w:b w:val="false"/>
          <w:i/>
          <w:color w:val="000000"/>
          <w:sz w:val="20"/>
        </w:rPr>
        <w:t>Caldolor</w:t>
      </w:r>
      <w:r>
        <w:rPr>
          <w:rFonts w:ascii="Times New Roman;serif" w:hAnsi="Times New Roman;serif"/>
          <w:b/>
          <w:i/>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agreements with multiple manufacturers for the supply of Caldolor and during 2025, we obtained commercial supplies from three of these manufacturers for our international and domestic Caldolor requirements. </w:t>
      </w:r>
    </w:p>
    <w:p>
      <w:pPr>
        <w:pStyle w:val="TextBody"/>
        <w:bidi w:val="0"/>
        <w:spacing w:lineRule="auto" w:line="288" w:before="160" w:after="283"/>
        <w:jc w:val="both"/>
        <w:rPr/>
      </w:pPr>
      <w:r>
        <w:rPr>
          <w:rFonts w:ascii="Times New Roman;serif" w:hAnsi="Times New Roman;serif"/>
          <w:b w:val="false"/>
          <w:i/>
          <w:color w:val="000000"/>
          <w:sz w:val="20"/>
        </w:rPr>
        <w:t>Kristalose</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agreement for the purchase of Kristalose active pharmaceutical ingredient (“API”) with an international supplier. We also had manufacturing arrangements with a packager who provided finished supplies of the product for commercial and sampling purposes during 2025.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pPr>
      <w:r>
        <w:rPr>
          <w:rFonts w:ascii="Times New Roman;serif" w:hAnsi="Times New Roman;serif"/>
          <w:b w:val="false"/>
          <w:i/>
          <w:color w:val="000000"/>
          <w:sz w:val="20"/>
        </w:rPr>
        <w:t>Sancuso</w:t>
      </w:r>
      <w:r>
        <w:rPr>
          <w:rFonts w:ascii="Times New Roman;serif" w:hAnsi="Times New Roman;serif"/>
          <w:b w:val="false"/>
          <w:i/>
          <w:color w:val="000000"/>
          <w:sz w:val="13"/>
        </w:rPr>
        <w:t>®</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Sancuso, we obtained an initial supply of finished goods inventory. The agreement with the manufacturer of Sancuso was assigned to us and there were additional goods supplied to us during 2022. The production was moved to one of the manufacturer’s other facilities. During 2022, that new facility was approved by the FDA to manufacture and supply Sancuso. We received supplies of the product from the new facility in 2023. We continued to receive supplies of the Cumberland-packaged product during 2024.</w:t>
      </w:r>
    </w:p>
    <w:p>
      <w:pPr>
        <w:pStyle w:val="TextBody"/>
        <w:bidi w:val="0"/>
        <w:spacing w:lineRule="auto" w:line="288" w:before="160" w:after="283"/>
        <w:jc w:val="both"/>
        <w:rPr/>
      </w:pPr>
      <w:r>
        <w:rPr>
          <w:rFonts w:ascii="Times New Roman;serif" w:hAnsi="Times New Roman;serif"/>
          <w:b w:val="false"/>
          <w:i/>
          <w:color w:val="000000"/>
          <w:sz w:val="20"/>
        </w:rPr>
        <w:t>Vaprisol</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Vaprisol, we obtained a significant existing supply of raw material inventory. We reached an agreement during 2020 with a new manufacturer to provide us with long-term supplies of the product. We subsequently completed the transfer of the product’s manufacturing to the new facility in 2021. We informed the FDA that supplies of the product are not currently available and are awaiting approval for that new facility. Our new manufacturing partner is working with the FDA to address several Form 483 and warning letter issues in a timely manner. They have successfully produced Vaprisol in their facility and we look forward to relaunching the brand once the FDA clears our submission to manufacture it in the new facility. Meanwhile, our partner is providing a special supply of compounded product in support of critically ill patients.</w:t>
      </w:r>
    </w:p>
    <w:p>
      <w:pPr>
        <w:pStyle w:val="TextBody"/>
        <w:bidi w:val="0"/>
        <w:spacing w:lineRule="auto" w:line="288" w:before="160" w:after="283"/>
        <w:jc w:val="left"/>
        <w:rPr/>
      </w:pPr>
      <w:r>
        <w:rPr>
          <w:rFonts w:ascii="Times New Roman;serif" w:hAnsi="Times New Roman;serif"/>
          <w:b w:val="false"/>
          <w:i/>
          <w:color w:val="000000"/>
          <w:sz w:val="20"/>
        </w:rPr>
        <w:t>Vibativ</w:t>
      </w:r>
      <w:r>
        <w:rPr>
          <w:rFonts w:ascii="Times New Roman;serif" w:hAnsi="Times New Roman;serif"/>
          <w:b/>
          <w:color w:val="000000"/>
          <w:sz w:val="13"/>
        </w:rPr>
        <w: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our acquisition of Vibativ, we obtained a multi-year supply of raw material, work in process and finished goods inventory. As a result of the agreement, we are now responsible for the future manufacturing of the product. We completed the transfer of the product’s manufacturing activities to a new supplier and received FDA approval for that facility. During 2024, we launched a new, smaller package for our Vibativ product. This additional presentation is designed to overcome a barrier at smaller hospitals and infusion centers that use less of the product at a time, allowing them to better manage their costs and the workflow associated with the product. Our contract manufacturer for Vibativ continued to provide supplies of the product in 2025.</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Distribution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Like many pharmaceutical companies, we engage a third-party with appropriate facilities and logistical expertise to support the U.S. distribution of our products. In 2025, Cardinal Health Specialty Solutions exclusively handled our U.S. product logistics activities, including warehousing, shipping, and various other customer activities. Our primary customers are the wholesalers of pharmaceuticals who provide our products to hospitals, clinics and retail pharmacies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PATENTS, TRADEMARKS AND OTHER INTELLECTUAL PROPRIETARY RIGHTS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own the trademarks for each of our branded pharmaceutical products as well as for our corporate name and logo. We have applied for trademark registration for other various names and logos. Over time, we intend to maintain registrations on trademarks that remain valuable to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protect our products from competition through a combination of patents, trademarks, trade secrets, FDA exclusivity and contractual restrictions on disclosure. Proprietary rights, including patents, are an important element of our business. We seek to protect our proprietary information by requiring our employees, consultants, contractors and other advisors to execute agreements providing for protection of our confidential information upon commencement of their employment or engagement. We also require confidentiality agreements from entities to which we provide our confidential information or materials.</w:t>
      </w:r>
    </w:p>
    <w:p>
      <w:pPr>
        <w:pStyle w:val="TextBody"/>
        <w:bidi w:val="0"/>
        <w:spacing w:lineRule="auto" w:line="288" w:before="160" w:after="283"/>
        <w:jc w:val="both"/>
        <w:rPr/>
      </w:pPr>
      <w:r>
        <w:rPr>
          <w:rFonts w:ascii="Times New Roman;serif" w:hAnsi="Times New Roman;serif"/>
          <w:b/>
          <w:i/>
          <w:color w:val="000000"/>
          <w:sz w:val="20"/>
        </w:rPr>
        <w:t>Acetadote</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developed a new formulation of Acetadote (acetylcysteine) injection as part of a Phase IV commitment in response to a request by the FDA to evaluate the reduction of ethylene diamine tetraacetic acid (“EDTA”) from the product’s formulation. In April 2012, the USPTO issued U.S. Patent number 8,148,356 (the “356 Acetadote Patent”) which is assigned to us. The claims of the 356 Acetadote Patent encompass the new Acetadote formulation and include composition of matter claims. Following its issuance, the 356 Acetadote Patent was listed in the FDA Orange Book. The 356 Acetadote Patent is scheduled to expire in May 2026, which includes a 270-day patent term adjustment granted by the USPTO.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issuance of the 356 Acetadote Patent, we received separate Paragraph IV certification notices from InnoPharma, Inc. (“InnoPharma”), Paddock Laboratories, LLC (“Paddock”), Mylan Institutional LLC (“Mylan”), Sagent Agila LLC (“Sagent”) and Perrigo Company (“Perrigo”) challenging the 356 Acetadote Patent on the basis of non-infringement and/or invalidity. We responded by filing five separate infringement lawsuits, in the appropriate United States District Courts, to contest each of the challenges.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2012, we entered into a Settlement Agreement (the “Settlement Agreement”) with Paddock and Perrigo to resolve the challenges and the pending litigation with those two companies.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2013, the United States District Courts filed opinions granting Sagent’s and InnoPharma’s motions to dismiss our suits and we agreed not to file an appeal or motion to reconsider, thereby resolving the challenges and the pending litigation with those two companies.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Settlement Agreement, Paddock and Perrigo admit that the 356 Acetadote Patent is valid and enforceable and that any Paddock or Perrigo generic version of Acetadote (with or without EDTA) would infringe upon the 356 Acetadote Patent. In addition, Paddock and Perrigo will not challenge the validity, enforceability, ownership or patentability of the 356 Acetadote Patent through its expiration currently scheduled for May 2026. On November 12, 2012, in connection with the execution of the Settlement Agreement, we entered into a License and Supply Agreement with Paddock and Perrigo (the “License and Supply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License and Supply Agreement, if a third party receives final approval from the FDA for an ANDA to sell a generic Acetadote product and such third party made such generic version available for purchase in commercial quantities in the United States, we are to supply Perrigo with an Authorized Generic version of our Acetadote product.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18, 2012, we also submitted a Citizen Petition to the FDA requesting that the FDA refrain from approving any applications for acetylcysteine injection that contain EDTA, based in part on the FDA’s request that we evaluate the reduction or removal of EDTA from our original Acetadote formulation.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2012, the FDA responded to the Citizen Petition denying our request and on November 8, 2012, we learned that the FDA approved the ANDA referencing Acetadote filed by InnoPharma, Inc. We brought suit against the FDA contesting the FDA’s decision to approve the InnoPharma generic on November 13, 2012.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30, 2013, the United States District Court filed an opinion granting a summary judgment in favor of the FDA regarding this suit.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during 2012 the FDA approved the ANDA referencing Acetadote filed by InnoPharma, Inc. Upon this condition, in accordance with the License and Supply agreement with Perrigo, we began to supply Perrigo with our Authorized Generic. On January 7, 2013, Perrigo announced initial distribution of our Authorized Generic acetylcysteine injection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19, 2013, the USPTO issued U.S. Patent number 8,399,445 (the “445 Acetadote Patent”) which expired in August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10, 2013, we became aware of a Paragraph IV certification notice from Akorn, Inc. challenging the 445 Acetadote Patent and the 356 Acetadote Patent on the basis of non-infringement. On July 12, 2013, we filed a lawsuit for infringement of the 356 Acetadote Patent against Akorn, Inc. in United States District Court.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18, 2014, the USPTO issued U.S. Patent number 8,653,061 (the “061 Acetadote Patent”) which expired in August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2014, the USPTO issued U.S. Patent number 8,722,738 (the “738 Acetadote Patent”) which is assigned to us. The claims of the 738 Acetadote Patent encompass administration methods of acetylcysteine injection, without specification of the presence or lack of EDTA in the injection. Following its issuance, the 738 Acetadote Patent was listed in the FDA Orange Book and it is scheduled to expire in April 2032.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11, 2014 and March 3, 2015, we became aware of Paragraph IV certification notices from Aurobindo Pharma Limited and Zydus Pharmaceuticals (USA) Inc., respectively, challenging the 356, 445, and 738 Acetadote Patents on the basis of non-infringement.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2015, the United States District Court for the Northern District of Illinois, Eastern Division (“District Court”) ruled in our favor in our lawsuit against Mylan for infringement of the 445 Acetadote Patent. The opinion upheld our 445 Acetadote Patent and expressly rejected Mylan’s validity challenge. The District Court ruled that Mylan is liable to us for infringement of the 445 Acetadote patent in light of Mylan’s Abbreviated New Drug Application in which Mylan sought to market a generic version of Acetadote.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17, 2015, the District Court entered an order enjoining Mylan and its affiliates from selling or using its generic version of Acetadote until August 2025, the date of expiration of the 445 Acetadote Patent. On October 30, 2015, Mylan filed a notice of appeal to the U.S. Court of Appeals for the Federal Circuit (the “Appeals Court”).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3, 2016, the USPTO issued U.S. Patent number 9,327,028 (the “028 Acetadote Patent”) which is assigned to us. The claims of the 028 Acetadote Patent encompass administration methods of acetylcysteine injection, without specification of the presence or lack of EDTA in the injection. Following its issuance, the 028 Acetadote Patent was listed in the FDA Orange Book and it is scheduled to expire in July 2031.</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26, 2017, the Appeals Court affirmed the District Court ruling in our favor in our lawsuit against Mylan for infringement of the 445 Acetadote Patent. The Appeals Court opinion affirmed the District Court’s ruling upholding our 445 Acetadote Patent and expressly rejected Mylan’s validity challenge.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3, 2017, we became aware of a Paragraph IV certification notice from Exela Pharma Sciences, LLC challenging the 356, 445, 738 and 028 Acetadote Patents on the basis of non-infringement.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3, 2026, we became aware of a Paragraph IV certification notice from Avet Pharmaceuticals Inc. challenging the 738 and 028 Acetadote Patents on the basis of non-infringement and/or invalidity.</w:t>
      </w:r>
    </w:p>
    <w:p>
      <w:pPr>
        <w:pStyle w:val="TextBody"/>
        <w:bidi w:val="0"/>
        <w:spacing w:lineRule="auto" w:line="288" w:before="160" w:after="283"/>
        <w:jc w:val="both"/>
        <w:rPr/>
      </w:pPr>
      <w:r>
        <w:rPr>
          <w:rFonts w:ascii="Times New Roman;serif" w:hAnsi="Times New Roman;serif"/>
          <w:b/>
          <w:i/>
          <w:color w:val="000000"/>
          <w:sz w:val="20"/>
        </w:rPr>
        <w:t>Caldolor</w:t>
      </w:r>
      <w:r>
        <w:rPr>
          <w:rFonts w:ascii="Times New Roman;serif" w:hAnsi="Times New Roman;serif"/>
          <w:b/>
          <w:color w:val="000000"/>
          <w:sz w:val="13"/>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have an exclusive, worldwide license to clinical data for intravenous ibuprofen from Vanderbilt University, in consideration for royalty obligations related to Caldolor. During 2014, we obtained additional patents for the brand. On May 27, 2014, the USPTO issued U.S. Patent number 8,735,452 (the “452 Caldolor Patent”)</w:t>
      </w:r>
      <w:r>
        <w:rPr>
          <w:color w:val="000000"/>
        </w:rPr>
        <w:t xml:space="preserve"> </w:t>
      </w:r>
      <w:r>
        <w:rPr>
          <w:rFonts w:ascii="Times New Roman;serif" w:hAnsi="Times New Roman;serif"/>
          <w:b w:val="false"/>
          <w:color w:val="000000"/>
          <w:sz w:val="20"/>
        </w:rPr>
        <w:t>which is assigned to us. The claims of the 452 Caldolor Patent encompass methods of treating pain using intravenous ibuprofen. Following its issuance, the 452 Caldolor Patent was listed in the FDA Orange Book and is scheduled to expire in September 2029.</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On October 28, 2014, the USPTO issued U.S. Patent number 8,871,810 (the “810 Caldolor Patent”)</w:t>
      </w:r>
      <w:r>
        <w:rPr>
          <w:color w:val="000000"/>
        </w:rPr>
        <w:t xml:space="preserve"> </w:t>
      </w:r>
      <w:r>
        <w:rPr>
          <w:rFonts w:ascii="Times New Roman;serif" w:hAnsi="Times New Roman;serif"/>
          <w:b w:val="false"/>
          <w:color w:val="000000"/>
          <w:sz w:val="20"/>
        </w:rPr>
        <w:t xml:space="preserve">which is assigned to us. The claims of the 810 Caldolor Patent encompass methods of treating pain using intravenous ibuprofen. Following its issuance, the 810 Caldolor Patent was listed in the FDA Orange Book and is scheduled to expire in September 2029.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2015, we obtained four additional patents for Caldolor. On July 7, 2015, the USPTO issued U.S. Patent number’s 9,072,710 (the “710 Caldolor Patent”) and 9,072,661 (the “661 Caldolor Patent”) which are assigned to us. The claims of the 710 Caldolor Patent and the 661 Caldolor Patent include composition and methods of treating pain, inflammation and fever using intravenous ibuprofen. These Caldolor Patents are listed in the FDA Orange Book and are scheduled to expire in March 2032.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2015, the USPTO issued U.S. Patent No. 9,012,508 (the “508 Caldolor Patent”) which is assigned to us.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claims of the 508 Caldolor Patent include methods of treating pain using intravenous ibuprofen. Following its issuance, the 508 Caldolor Patent was listed in the FDA Orange Book and is scheduled to expire in September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2015, the USPTO issued U.S. Patent number 9,114,068 (the “068 Caldolor Patent”) which is assigned to us. The claims of the 068 Caldolor Patent include methods of treating pain using intravenous ibuprofen.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its issuance, the 068 Caldolor Patent was listed in the FDA Orange Book and is scheduled to expire in September 2029.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22, 2015, the USPTO issued U.S. Patent number 9,138,404 (the “404 Caldolor Patent”) which is </w:t>
        <w:br/>
        <w:t xml:space="preserve">assigned to us.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claims of the 404 Caldolor Patent include methods of treating pain in critically ill patients with intravenous ibuprofen. Following its issuance, the 404 Caldolor Patent was listed in the FDA Orange Book and is scheduled to expire in September 2029.</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29, 2016, the USPTO issued U.S. Patent number 9,295,639 (the “639 Caldolor Patent”) which is assigned to us. The claims of the 639 Caldolor Patent include methods of treating pain in critically ill patients with intravenous ibuprofen. Following its issuance, the 639 Caldolor Patent was listed in the FDA Orange Book and is scheduled to expire in September 2029.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16, 2017, the USPTO issued U.S. Patent number 9,649,284 (the “284 Caldolor Patent”) which is assigned to us. The claims of the 284 Caldolor Patent include methods of treating pain in critically ill patients with intravenous ibuprofen. Following its issuance, the 284 Caldolor Patent was listed in the FDA Orange Book and is scheduled to expire in September 2029.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7, 2023, the USPTO issued U.S. Patent number 11,806,400 (the “400 Caldolor Patent”) which is assigned to us. The claims of the 400 Caldolor Patent include composition and methods of treating pain and fever using intravenous ibuprofen. Following its issuance, the 400 Caldolor Patent was listed in the FDA Orange Book and is scheduled to expire in March 2032. We also have an additional patent application related to Caldolor pending with the USPTO.</w:t>
      </w:r>
    </w:p>
    <w:p>
      <w:pPr>
        <w:pStyle w:val="TextBody"/>
        <w:bidi w:val="0"/>
        <w:spacing w:lineRule="auto" w:line="288" w:before="160" w:after="283"/>
        <w:jc w:val="both"/>
        <w:rPr/>
      </w:pPr>
      <w:r>
        <w:rPr>
          <w:rFonts w:ascii="Times New Roman;serif" w:hAnsi="Times New Roman;serif"/>
          <w:b/>
          <w:i/>
          <w:color w:val="000000"/>
          <w:sz w:val="20"/>
        </w:rPr>
        <w:t>Vibativ</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own numerous U.S. patents and related international patents for Vibativ. These patents were acquired in our November 2018 acquisition of certain product rights, intellectual property and related assets of Vibativ from Theravance. U.S. Patent number 7,531,623 (the “623 Vibativ Patent”) is listed in the FDA Orange Book and is scheduled to expire in January 2027 and includes composition of matter claims that encompass the Vibativ drug substance as well as methods for preparing the Vibativ drug substance. </w:t>
      </w:r>
    </w:p>
    <w:p>
      <w:pPr>
        <w:pStyle w:val="TextBody"/>
        <w:bidi w:val="0"/>
        <w:spacing w:lineRule="auto" w:line="288" w:before="160" w:after="283"/>
        <w:jc w:val="both"/>
        <w:rPr/>
      </w:pPr>
      <w:r>
        <w:rPr>
          <w:rFonts w:ascii="Times New Roman;serif" w:hAnsi="Times New Roman;serif"/>
          <w:b/>
          <w:i/>
          <w:color w:val="000000"/>
          <w:sz w:val="20"/>
        </w:rPr>
        <w:t>Talicia</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Seven Talicia patents are listed in the FDA Orange Book, the last of which is scheduled to expire in May 2042.  Six of the listed patents include claims that encompass the Talicia drug product.  Talicia received eight years of U.S. market exclusivity under its Qualified Infectious Disease Product designation, which is scheduled to expire in November 2027.</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Remaining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 issued patents for our Sancuso, Vaprisol or Kristalose products. We have multiple granted patents relating to our ifetroban products and patent applications pending with the USPTO.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product attributes such as efficacy, safety, ease-of-use and cost-effectiveness;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brand awareness and recognition driven by sales, marketing and distribution capabilities;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product access in the changing healthcare marketplace through contracting and partnerships;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intellectual property and other exclusivity rights;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availability of resources to build and maintain developmental and commercial capabilities;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successful business development activities;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extent of third-party reimbursements, insurance coverage;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establishment of advantageous collaborations to conduct development, manufacturing or commercialization efforts.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number of our competitors possess research and development and sales and marketing capabilities as well as financial resources greater than ours. These competitors, in addition to emerging companies and academic research institutions, may be developing, or in the future could develop, new technologies that could compete with our current and future products or render our products obsolete.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face competition from other branded products, generics and alternate medical treatments. Our task is to position each brand to feature its competitive advantages, implement a well thought out marketing plan and provide focused sales, field-based medical and other tactical support. </w:t>
      </w:r>
    </w:p>
    <w:p>
      <w:pPr>
        <w:pStyle w:val="TextBody"/>
        <w:bidi w:val="0"/>
        <w:spacing w:lineRule="auto" w:line="288" w:before="160" w:after="283"/>
        <w:jc w:val="both"/>
        <w:rPr/>
      </w:pPr>
      <w:r>
        <w:rPr>
          <w:rFonts w:ascii="Times New Roman;serif" w:hAnsi="Times New Roman;serif"/>
          <w:b/>
          <w:i/>
          <w:color w:val="000000"/>
          <w:sz w:val="20"/>
        </w:rPr>
        <w:t>Acetadote</w:t>
      </w:r>
      <w:r>
        <w:rPr>
          <w:rFonts w:ascii="Times New Roman;serif" w:hAnsi="Times New Roman;serif"/>
          <w:b/>
          <w:color w:val="000000"/>
          <w:sz w:val="13"/>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Acetadote is our injectable formulation of N-acetylcysteine (</w:t>
      </w:r>
      <w:r>
        <w:rPr>
          <w:color w:val="000000"/>
        </w:rPr>
        <w:t>“</w:t>
      </w:r>
      <w:r>
        <w:rPr>
          <w:rFonts w:ascii="Times New Roman;serif" w:hAnsi="Times New Roman;serif"/>
          <w:b w:val="false"/>
          <w:color w:val="000000"/>
          <w:sz w:val="20"/>
        </w:rPr>
        <w:t>NAC”) for the treatment of acetaminophen overdose. NAC is accepted worldwide as the standard of care for acetaminophen overdose. Our competitors in the acetaminophen overdose market are those companies selling orally administered NAC including, but not limited to, Geneva Pharmaceuticals, Inc., Bedford Laboratories division of Hikma Pharmaceuticals, Roxane Laboratories, Inc., InnoPharma Inc. and Hospira Inc.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2012, InnoPharma Inc. was granted approval by the FDA to distribute their generic form of the old formulation of Acetadote containing EDTA. In late 2012, we entered into the Settlement Agreement with Paddock and Perrigo that included the right to distribute our Authorized Generic Acetadote injection product. Our branded Acetadote now competes with both the EDTA-free Authorized Generic Acetadote distributed by Paddock and Perrigo along with generic Acetadote products that contain EDTA.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multiple manufacturers of injectable NAC products that are based on our old formulation.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160"/>
        <w:jc w:val="left"/>
        <w:rPr/>
      </w:pPr>
      <w:r>
        <w:rPr>
          <w:rFonts w:ascii="Times New Roman;serif" w:hAnsi="Times New Roman;serif"/>
          <w:b/>
          <w:i/>
          <w:color w:val="000000"/>
          <w:sz w:val="20"/>
        </w:rPr>
        <w:t>Caldolor</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Caldolor is marketed for the treatment of pain and fever, primarily in a hospital or surgery center setting. A variety of other products address the acute pain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Morphine, the most commonly used product for the treatment of acute, post-operative pain, is manufactured and distributed by several generic pharmaceutical companies;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Other generic injectable opioids, including fentanyl, meperidine and hydromorphone, address this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Ketorolac tromethamine (brand name Toradol</w:t>
      </w:r>
      <w:r>
        <w:rPr>
          <w:rFonts w:ascii="Times New Roman;serif" w:hAnsi="Times New Roman;serif"/>
          <w:b w:val="false"/>
          <w:color w:val="000000"/>
          <w:sz w:val="13"/>
        </w:rPr>
        <w:t>®</w:t>
      </w:r>
      <w:r>
        <w:rPr>
          <w:rFonts w:ascii="Times New Roman;serif" w:hAnsi="Times New Roman;serif"/>
          <w:b w:val="false"/>
          <w:color w:val="000000"/>
          <w:sz w:val="20"/>
        </w:rPr>
        <w:t>), an injectable NSAID, is also manufactured and distributed by several generic pharmaceutical companies;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IV acetaminophen (brand name Ofirmev</w:t>
      </w:r>
      <w:r>
        <w:rPr>
          <w:rFonts w:ascii="Times New Roman;serif" w:hAnsi="Times New Roman;serif"/>
          <w:b w:val="false"/>
          <w:color w:val="000000"/>
          <w:sz w:val="13"/>
        </w:rPr>
        <w:t>®</w:t>
      </w:r>
      <w:r>
        <w:rPr>
          <w:rFonts w:ascii="Times New Roman;serif" w:hAnsi="Times New Roman;serif"/>
          <w:b w:val="false"/>
          <w:color w:val="000000"/>
          <w:sz w:val="20"/>
        </w:rPr>
        <w:t>), an injectable analgesic product is sold by Mallinckrodt plc, and there are also generic versions from different manufacturers available;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Bupivacaine and meloxicam extended release solution (brand name Zynrelef</w:t>
      </w:r>
      <w:r>
        <w:rPr>
          <w:rFonts w:ascii="Times New Roman;serif" w:hAnsi="Times New Roman;serif"/>
          <w:b w:val="false"/>
          <w:color w:val="000000"/>
          <w:sz w:val="13"/>
        </w:rPr>
        <w:t>®</w:t>
      </w:r>
      <w:r>
        <w:rPr>
          <w:rFonts w:ascii="Times New Roman;serif" w:hAnsi="Times New Roman;serif"/>
          <w:b w:val="false"/>
          <w:color w:val="000000"/>
          <w:sz w:val="20"/>
        </w:rPr>
        <w:t>), is a dual-acting anesthetic for postoperative pain sold by Heron Therapeutics;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Oliceridine injection (brand name Olinvyk</w:t>
      </w:r>
      <w:r>
        <w:rPr>
          <w:rFonts w:ascii="Times New Roman;serif" w:hAnsi="Times New Roman;serif"/>
          <w:b w:val="false"/>
          <w:color w:val="000000"/>
          <w:sz w:val="13"/>
        </w:rPr>
        <w:t>®</w:t>
      </w:r>
      <w:r>
        <w:rPr>
          <w:rFonts w:ascii="Times New Roman;serif" w:hAnsi="Times New Roman;serif"/>
          <w:b w:val="false"/>
          <w:color w:val="000000"/>
          <w:sz w:val="20"/>
        </w:rPr>
        <w:t>), is an opioid agonist, a new chemical entity in the acute surgical postoperative pain market, sold by Trevena, Inc.;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Bupivacaine injectable suspension (brand name Exparel</w:t>
      </w:r>
      <w:r>
        <w:rPr>
          <w:rFonts w:ascii="Times New Roman;serif" w:hAnsi="Times New Roman;serif"/>
          <w:b w:val="false"/>
          <w:color w:val="000000"/>
          <w:sz w:val="13"/>
        </w:rPr>
        <w:t>®</w:t>
      </w:r>
      <w:r>
        <w:rPr>
          <w:rFonts w:ascii="Times New Roman;serif" w:hAnsi="Times New Roman;serif"/>
          <w:b w:val="false"/>
          <w:color w:val="000000"/>
          <w:sz w:val="20"/>
        </w:rPr>
        <w:t>), a product sold by Pacira Pharmaceuticals, Inc., along with two additional bupivacaine products, Xaracoll and Posimir, which were more recently approved;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Acetaminophen and ibuprofen combination injection (brand name Combogesic</w:t>
      </w:r>
      <w:r>
        <w:rPr>
          <w:rFonts w:ascii="Times New Roman;serif" w:hAnsi="Times New Roman;serif"/>
          <w:b w:val="false"/>
          <w:color w:val="000000"/>
          <w:sz w:val="13"/>
        </w:rPr>
        <w:t>®</w:t>
      </w:r>
      <w:r>
        <w:rPr>
          <w:rFonts w:ascii="Times New Roman;serif" w:hAnsi="Times New Roman;serif"/>
          <w:b w:val="false"/>
          <w:color w:val="000000"/>
          <w:sz w:val="20"/>
        </w:rPr>
        <w:t>), is a combination of acetaminophen and ibuprofen approved by the U.S. FDA in October 2023, and is sold by Hikma Pharmaceuticals PLC.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Suzetrigine oral tablets (brand name Journavx</w:t>
      </w:r>
      <w:r>
        <w:rPr>
          <w:rFonts w:ascii="Times New Roman;serif" w:hAnsi="Times New Roman;serif"/>
          <w:b w:val="false"/>
          <w:color w:val="000000"/>
          <w:sz w:val="13"/>
        </w:rPr>
        <w:t>®</w:t>
      </w:r>
      <w:r>
        <w:rPr>
          <w:rFonts w:ascii="Times New Roman;serif" w:hAnsi="Times New Roman;serif"/>
          <w:b w:val="false"/>
          <w:color w:val="000000"/>
          <w:sz w:val="20"/>
        </w:rPr>
        <w:t>), a product sold by Vertex Pharmaceuticals, Inc., a non-opioid pain signal inhibitor approved by the U.S. FDA in January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aware of other product candidates in development to treat acute pain, including injectable NSAIDs, novel opioids, new formulations of existing therapies and extended-release anesthetics. We believe non-narcotic analgesics for the treatment of post-surgical pain are the primary potential competitors to Caldolor.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injectable analgesic products above, many companies are developing analgesics for specific indications such as migraine and neuropathic pain, oral extended-release forms of existing narcotic and non-narcotic products, as well as those with new methods of delivery such as transdermal. We are not aware of any approved injectable products indicated for the treatment of fever in the U.S. other than Caldolor and Ofirmev.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however, numerous drugs available to physicians to reduce fevers in hospital settings via oral and rectal administration to the patient, including ibuprofen, acetaminophen and aspirin. These drugs are manufactured by numerous pharmaceutical companies.</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160"/>
        <w:jc w:val="left"/>
        <w:rPr/>
      </w:pPr>
      <w:r>
        <w:rPr>
          <w:rFonts w:ascii="Times New Roman;serif" w:hAnsi="Times New Roman;serif"/>
          <w:b/>
          <w:i/>
          <w:color w:val="000000"/>
          <w:sz w:val="20"/>
        </w:rPr>
        <w:t>Kristalose</w:t>
      </w:r>
      <w:r>
        <w:rPr>
          <w:rFonts w:ascii="Times New Roman;serif" w:hAnsi="Times New Roman;serif"/>
          <w:b/>
          <w:color w:val="000000"/>
          <w:sz w:val="13"/>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Kristalose is a dry powder crystalline prescription formulation of lactulose indicated for the treatment of constipation. The U.S. constipation therapy market includes various prescription and over the counter, or OTC, products. The branded prescription products which we believe are our primary competitors are: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Lubiproston (brand name Amitiza</w:t>
      </w:r>
      <w:r>
        <w:rPr>
          <w:rFonts w:ascii="Times New Roman;serif" w:hAnsi="Times New Roman;serif"/>
          <w:b w:val="false"/>
          <w:color w:val="000000"/>
          <w:sz w:val="13"/>
        </w:rPr>
        <w:t>®</w:t>
      </w:r>
      <w:r>
        <w:rPr>
          <w:rFonts w:ascii="Times New Roman;serif" w:hAnsi="Times New Roman;serif"/>
          <w:b w:val="false"/>
          <w:color w:val="000000"/>
          <w:sz w:val="20"/>
        </w:rPr>
        <w:t>), an oral product indicated for the treatment of chronic idiopathic constipation, irritable bowel syndrome with constipation in adults, is manufactured and sold by Mallinckrodt Pharmaceuticals.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Naloxegol (brand name Movantik</w:t>
      </w:r>
      <w:r>
        <w:rPr>
          <w:rFonts w:ascii="Times New Roman;serif" w:hAnsi="Times New Roman;serif"/>
          <w:b w:val="false"/>
          <w:color w:val="000000"/>
          <w:sz w:val="13"/>
        </w:rPr>
        <w:t>®</w:t>
      </w:r>
      <w:r>
        <w:rPr>
          <w:rFonts w:ascii="Times New Roman;serif" w:hAnsi="Times New Roman;serif"/>
          <w:b w:val="false"/>
          <w:color w:val="000000"/>
          <w:sz w:val="20"/>
        </w:rPr>
        <w:t xml:space="preserve">), an oral product indicated for the treatment of opioid-induced constipation in adults with chronic non-cancer pain. It was acquired by RedHill Biopharma in the first quarter of 2020.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Linaclotide (brand name Linzess</w:t>
      </w:r>
      <w:r>
        <w:rPr>
          <w:rFonts w:ascii="Times New Roman;serif" w:hAnsi="Times New Roman;serif"/>
          <w:b w:val="false"/>
          <w:color w:val="000000"/>
          <w:sz w:val="13"/>
        </w:rPr>
        <w:t>®</w:t>
      </w:r>
      <w:r>
        <w:rPr>
          <w:rFonts w:ascii="Times New Roman;serif" w:hAnsi="Times New Roman;serif"/>
          <w:b w:val="false"/>
          <w:color w:val="000000"/>
          <w:sz w:val="20"/>
        </w:rPr>
        <w:t>), an oral product indicated for the treatment of irritable bowel syndrome with constipation and chronic idiopathic constipation. It is sold by Allergan, Inc. and Ironwood Pharmaceuticals, Inc.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Plecanatide (brand name Trulance</w:t>
      </w:r>
      <w:r>
        <w:rPr>
          <w:rFonts w:ascii="Times New Roman;serif" w:hAnsi="Times New Roman;serif"/>
          <w:b w:val="false"/>
          <w:color w:val="000000"/>
          <w:sz w:val="13"/>
        </w:rPr>
        <w:t>®</w:t>
      </w:r>
      <w:r>
        <w:rPr>
          <w:rFonts w:ascii="Times New Roman;serif" w:hAnsi="Times New Roman;serif"/>
          <w:b w:val="false"/>
          <w:color w:val="000000"/>
          <w:sz w:val="20"/>
        </w:rPr>
        <w:t>), an oral product indicated for the treatment of irritable bowel syndrome with constipation and chronic idiopathic constipation. It is sold by Synergy Pharmaceuticals.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Generic and branded liquid lactulose products are marketed by a number of pharmaceutical companies.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Lactitol for oral solution (brand name Pizensy</w:t>
      </w:r>
      <w:r>
        <w:rPr>
          <w:rFonts w:ascii="Times New Roman;serif" w:hAnsi="Times New Roman;serif"/>
          <w:b w:val="false"/>
          <w:color w:val="000000"/>
          <w:sz w:val="13"/>
        </w:rPr>
        <w:t>®</w:t>
      </w:r>
      <w:r>
        <w:rPr>
          <w:rFonts w:ascii="Times New Roman;serif" w:hAnsi="Times New Roman;serif"/>
          <w:b w:val="false"/>
          <w:color w:val="000000"/>
          <w:sz w:val="20"/>
        </w:rPr>
        <w:t>), an oral, osmotic laxative indicated for the treatment of chronic idiopathic constipation. It is distributed by Braintree Laboratories, Inc. and was recently approved by the FDA.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Vibrant Gastro (brand name Vibrant</w:t>
      </w:r>
      <w:r>
        <w:rPr>
          <w:rFonts w:ascii="Times New Roman;serif" w:hAnsi="Times New Roman;serif"/>
          <w:b w:val="false"/>
          <w:color w:val="000000"/>
          <w:sz w:val="13"/>
        </w:rPr>
        <w:t>®</w:t>
      </w:r>
      <w:r>
        <w:rPr>
          <w:rFonts w:ascii="Times New Roman;serif" w:hAnsi="Times New Roman;serif"/>
          <w:b w:val="false"/>
          <w:color w:val="000000"/>
          <w:sz w:val="20"/>
        </w:rPr>
        <w:t>) an orally administered drug-free capsule to enhance colonic motility via mechanical stimulation of the colon.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several hundred OTC products used to treat constipation marketed by numerous pharmaceutical and consumer health companies. MiraLax (polyethylene glycol 3350), previously a prescription product, was indicated for the treatment of constipation and manufactured and marketed by Bayer. MiraLax was converted to an OTC product in February 2007 and recently, the FDA rescinded the approval of the generic prescription polyethylene glycol 3350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Prescriptions for our Kristalose product are often substituted and filled by one of these generic products. During the first quarter of 2025, a generic crystalline lactulose product was approved for PAI Pharma, and the product became available during the second quarter of the year.</w:t>
      </w:r>
    </w:p>
    <w:p>
      <w:pPr>
        <w:pStyle w:val="TextBody"/>
        <w:bidi w:val="0"/>
        <w:spacing w:lineRule="auto" w:line="288" w:before="160" w:after="283"/>
        <w:jc w:val="both"/>
        <w:rPr/>
      </w:pPr>
      <w:r>
        <w:rPr>
          <w:rFonts w:ascii="Times New Roman;serif" w:hAnsi="Times New Roman;serif"/>
          <w:b/>
          <w:i/>
          <w:color w:val="000000"/>
          <w:sz w:val="20"/>
        </w:rPr>
        <w:t>Sancuso</w:t>
      </w:r>
      <w:r>
        <w:rPr>
          <w:rFonts w:ascii="Times New Roman;serif" w:hAnsi="Times New Roman;serif"/>
          <w:b/>
          <w:i/>
          <w:color w:val="000000"/>
          <w:sz w:val="16"/>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Sancuso is the only transdermal patch FDA approved for the management of chemotherapy-induced nausea and vomiting (“CINV”). Each patch delivers up to five days of treatment with granisetron, a standard of care for CINV, through the skin. Recommended treatment suggests the patch be applied 24 to 48 hours prior to chemotherapy treatment and remain in place for five days.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While there are no other transdermal products available to treat CINV, there is a large number of generic and branded oral products as well as a limited number of injectables. Cumberland considers the oral branded products to be the most important competition including Akynzeo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(manufactured by Helsinn Therapeutics); Emend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Oral (manufactured by Merck); Varubi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(branded NK1 receptor antagonist sold by Tesaro Inc. a division of GSK); Zuplenz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branded version of Ondansetron marketed by Par Pharmaceuticals, Inc.) and Kytril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branded version of injectable granisetron hydrochloride manufactured by Roche Pharmaceuticals Inc.).</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160"/>
        <w:jc w:val="left"/>
        <w:rPr/>
      </w:pPr>
      <w:r>
        <w:rPr>
          <w:rFonts w:ascii="Times New Roman;serif" w:hAnsi="Times New Roman;serif"/>
          <w:b/>
          <w:i/>
          <w:color w:val="000000"/>
          <w:sz w:val="20"/>
        </w:rPr>
        <w:t>Talicia</w:t>
      </w:r>
      <w:r>
        <w:rPr>
          <w:rFonts w:ascii="Times New Roman;serif" w:hAnsi="Times New Roman;serif"/>
          <w:b/>
          <w:color w:val="000000"/>
          <w:sz w:val="13"/>
        </w:rPr>
        <w:t>®</w:t>
      </w:r>
    </w:p>
    <w:p>
      <w:pPr>
        <w:pStyle w:val="TextBody"/>
        <w:bidi w:val="0"/>
        <w:spacing w:lineRule="auto" w:line="288" w:before="160" w:after="283"/>
        <w:jc w:val="both"/>
        <w:rPr/>
      </w:pPr>
      <w:r>
        <w:rPr>
          <w:rFonts w:ascii="Times New Roman;serif" w:hAnsi="Times New Roman;serif"/>
          <w:b w:val="false"/>
          <w:color w:val="000000"/>
          <w:sz w:val="20"/>
        </w:rPr>
        <w:t xml:space="preserve">Talicia is a unique three-drug combination of omeprazole, a proton pump inhibitor, amoxicillin, a penicillin -class antibacterial, and rifabutin, a rifamycin antibacterial indicated for the treatment of </w:t>
      </w:r>
      <w:r>
        <w:rPr>
          <w:rFonts w:ascii="Times New Roman;serif" w:hAnsi="Times New Roman;serif"/>
          <w:b w:val="false"/>
          <w:i/>
          <w:color w:val="000000"/>
          <w:sz w:val="20"/>
        </w:rPr>
        <w:t>H. pylori</w:t>
      </w:r>
      <w:r>
        <w:rPr>
          <w:color w:val="000000"/>
        </w:rPr>
        <w:t xml:space="preserve"> </w:t>
      </w:r>
      <w:r>
        <w:rPr>
          <w:rFonts w:ascii="Times New Roman;serif" w:hAnsi="Times New Roman;serif"/>
          <w:b w:val="false"/>
          <w:color w:val="000000"/>
          <w:sz w:val="20"/>
        </w:rPr>
        <w:t xml:space="preserve">in adults. All three drugs are contained in each capsule. Talicia is administrated by four (4) capsules three times per day with food for 14 days. </w:t>
      </w:r>
    </w:p>
    <w:p>
      <w:pPr>
        <w:pStyle w:val="TextBody"/>
        <w:bidi w:val="0"/>
        <w:spacing w:lineRule="auto" w:line="288" w:before="160" w:after="283"/>
        <w:jc w:val="both"/>
        <w:rPr/>
      </w:pPr>
      <w:r>
        <w:rPr>
          <w:rFonts w:ascii="Times New Roman;serif" w:hAnsi="Times New Roman;serif"/>
          <w:b w:val="false"/>
          <w:color w:val="000000"/>
          <w:sz w:val="20"/>
        </w:rPr>
        <w:t>The primary competition consists of a variety of regimens including dual, triple, and quadruple therapy combinations of antibiotics and acid reducers. Most of these regimens require multiple prescriptions, copays, and dosing schedules, and all constituents are generic, with the acid reducer often being a separate OTC. Branded, prepackaged combination products includes Voquezna</w:t>
      </w:r>
      <w:r>
        <w:rPr>
          <w:rFonts w:ascii="Times New Roman;serif" w:hAnsi="Times New Roman;serif"/>
          <w:b/>
          <w:color w:val="000000"/>
          <w:sz w:val="13"/>
        </w:rPr>
        <w:t>®</w:t>
      </w:r>
      <w:r>
        <w:rPr>
          <w:color w:val="000000"/>
        </w:rPr>
        <w:t xml:space="preserve"> </w:t>
      </w:r>
      <w:r>
        <w:rPr>
          <w:rFonts w:ascii="Times New Roman;serif" w:hAnsi="Times New Roman;serif"/>
          <w:b w:val="false"/>
          <w:color w:val="000000"/>
          <w:sz w:val="20"/>
        </w:rPr>
        <w:t>Triple Pak</w:t>
      </w:r>
      <w:r>
        <w:rPr>
          <w:rFonts w:ascii="Times New Roman;serif" w:hAnsi="Times New Roman;serif"/>
          <w:b/>
          <w:color w:val="000000"/>
          <w:sz w:val="13"/>
        </w:rPr>
        <w:t>®</w:t>
      </w:r>
      <w:r>
        <w:rPr>
          <w:color w:val="000000"/>
        </w:rPr>
        <w:t xml:space="preserve"> </w:t>
      </w:r>
      <w:r>
        <w:rPr>
          <w:rFonts w:ascii="Times New Roman;serif" w:hAnsi="Times New Roman;serif"/>
          <w:b w:val="false"/>
          <w:color w:val="000000"/>
          <w:sz w:val="20"/>
        </w:rPr>
        <w:t>(vonoprozan/amoxicillin/clarithromycin) and Voquezna Dual Pak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manufactured and sold by Phathom Pharmaceuticals.</w:t>
      </w:r>
    </w:p>
    <w:p>
      <w:pPr>
        <w:pStyle w:val="TextBody"/>
        <w:bidi w:val="0"/>
        <w:spacing w:lineRule="auto" w:line="288" w:before="160" w:after="283"/>
        <w:jc w:val="both"/>
        <w:rPr/>
      </w:pPr>
      <w:r>
        <w:rPr>
          <w:rFonts w:ascii="Times New Roman;serif" w:hAnsi="Times New Roman;serif"/>
          <w:b w:val="false"/>
          <w:color w:val="000000"/>
          <w:sz w:val="20"/>
        </w:rPr>
        <w:t xml:space="preserve">Antibiotic resistance and patient compliance are the biggest challenges to eradicating </w:t>
      </w:r>
      <w:r>
        <w:rPr>
          <w:rFonts w:ascii="Times New Roman;serif" w:hAnsi="Times New Roman;serif"/>
          <w:b w:val="false"/>
          <w:i/>
          <w:color w:val="000000"/>
          <w:sz w:val="20"/>
        </w:rPr>
        <w:t>H. pylori.</w:t>
      </w:r>
      <w:r>
        <w:rPr>
          <w:color w:val="000000"/>
        </w:rPr>
        <w:t xml:space="preserve"> </w:t>
      </w:r>
      <w:r>
        <w:rPr>
          <w:rFonts w:ascii="Times New Roman;serif" w:hAnsi="Times New Roman;serif"/>
          <w:b w:val="false"/>
          <w:color w:val="000000"/>
          <w:sz w:val="20"/>
        </w:rPr>
        <w:t xml:space="preserve">Talicia has zero to minimal resistance to its two antimicrobial components and does not contain clarithromycin. Its all-in-one formulation supports patient compliance as it only requires one prescription and one bottle of medication. Talicia is also listed as a first-line empiric treatment option for </w:t>
      </w:r>
      <w:r>
        <w:rPr>
          <w:rFonts w:ascii="Times New Roman;serif" w:hAnsi="Times New Roman;serif"/>
          <w:b w:val="false"/>
          <w:i/>
          <w:color w:val="000000"/>
          <w:sz w:val="20"/>
        </w:rPr>
        <w:t xml:space="preserve">H. pylori </w:t>
      </w:r>
      <w:r>
        <w:rPr>
          <w:rFonts w:ascii="Times New Roman;serif" w:hAnsi="Times New Roman;serif"/>
          <w:b w:val="false"/>
          <w:color w:val="000000"/>
          <w:sz w:val="20"/>
        </w:rPr>
        <w:t xml:space="preserve">in the 2024 American College of Gastroenterology Guidelines. </w:t>
      </w:r>
    </w:p>
    <w:p>
      <w:pPr>
        <w:pStyle w:val="TextBody"/>
        <w:bidi w:val="0"/>
        <w:spacing w:lineRule="auto" w:line="288" w:before="160" w:after="283"/>
        <w:jc w:val="left"/>
        <w:rPr/>
      </w:pPr>
      <w:r>
        <w:rPr>
          <w:rFonts w:ascii="Times New Roman;serif" w:hAnsi="Times New Roman;serif"/>
          <w:b/>
          <w:i/>
          <w:color w:val="000000"/>
          <w:sz w:val="20"/>
        </w:rPr>
        <w:t>Vaprisol</w:t>
      </w:r>
      <w:r>
        <w:rPr>
          <w:rFonts w:ascii="Times New Roman;serif" w:hAnsi="Times New Roman;serif"/>
          <w:b/>
          <w:color w:val="000000"/>
          <w:sz w:val="13"/>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Vaprisol is a patented, prescription brand indicated to raise serum sodium levels in hospitalized patients with euvolemic and hypervolemic hyponatremia. The product was developed and registered by Astellas and then launched in 2006. It is one of two branded prescription products indicated for the treatment of hyponatremia, and the first and only intravenously administered branded treatment. The other competing product is Samsca</w:t>
      </w:r>
      <w:r>
        <w:rPr>
          <w:rFonts w:ascii="Times New Roman;serif" w:hAnsi="Times New Roman;serif"/>
          <w:b w:val="false"/>
          <w:color w:val="000000"/>
          <w:sz w:val="13"/>
        </w:rPr>
        <w:t xml:space="preserve">® </w:t>
      </w:r>
      <w:r>
        <w:rPr>
          <w:rFonts w:ascii="Times New Roman;serif" w:hAnsi="Times New Roman;serif"/>
          <w:b w:val="false"/>
          <w:color w:val="000000"/>
          <w:sz w:val="20"/>
        </w:rPr>
        <w:t>(an oral tolvaptan product sold by Otsuka Pharmaceutical Company). There are also several generic versions of tolvaptan sold by other companies.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pPr>
      <w:r>
        <w:rPr>
          <w:rFonts w:ascii="Times New Roman;serif" w:hAnsi="Times New Roman;serif"/>
          <w:b/>
          <w:i/>
          <w:color w:val="000000"/>
          <w:sz w:val="20"/>
        </w:rPr>
        <w:t>Vibativ</w:t>
      </w:r>
      <w:r>
        <w:rPr>
          <w:rFonts w:ascii="Times New Roman;serif" w:hAnsi="Times New Roman;serif"/>
          <w:b/>
          <w:color w:val="000000"/>
          <w:sz w:val="13"/>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Vibativ is a potent, once-daily, injectable antibiotic for the treatment of certain gram-positive infections. Vibativ is approved for the treatment of complicated skin and skin structure infections and hospital-acquired or ventilator-associated bacterial pneumonia caused by susceptible isolates of </w:t>
      </w:r>
      <w:r>
        <w:rPr>
          <w:rFonts w:ascii="Times New Roman;serif" w:hAnsi="Times New Roman;serif"/>
          <w:b w:val="false"/>
          <w:i/>
          <w:color w:val="000000"/>
          <w:sz w:val="20"/>
        </w:rPr>
        <w:t>Staphylococcus aureus</w:t>
      </w:r>
      <w:r>
        <w:rPr>
          <w:color w:val="000000"/>
        </w:rPr>
        <w:t xml:space="preserve"> </w:t>
      </w:r>
      <w:r>
        <w:rPr>
          <w:rFonts w:ascii="Times New Roman;serif" w:hAnsi="Times New Roman;serif"/>
          <w:b w:val="false"/>
          <w:color w:val="000000"/>
          <w:sz w:val="20"/>
        </w:rPr>
        <w:t xml:space="preserve">when alternative treatments are not suitable. There are several generic and branded antibiotics that compete for these indications.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 generic competitors are vancomycin, linezolid and daptomycin. Vancomycin is by far the most widely used agent. Newer, branded agents are also available,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Ceftaroline fosamil (brand name Teflaro</w:t>
      </w:r>
      <w:r>
        <w:rPr>
          <w:rFonts w:ascii="Times New Roman;serif" w:hAnsi="Times New Roman;serif"/>
          <w:b w:val="false"/>
          <w:color w:val="000000"/>
          <w:sz w:val="16"/>
        </w:rPr>
        <w:t>®</w:t>
      </w:r>
      <w:r>
        <w:rPr>
          <w:rFonts w:ascii="Times New Roman;serif" w:hAnsi="Times New Roman;serif"/>
          <w:b w:val="false"/>
          <w:color w:val="000000"/>
          <w:sz w:val="20"/>
        </w:rPr>
        <w:t>), an injectable antibiotic manufactured and sold by</w:t>
      </w:r>
      <w:r>
        <w:rPr>
          <w:color w:val="000000"/>
        </w:rPr>
        <w:t xml:space="preserve"> </w:t>
      </w:r>
      <w:r>
        <w:rPr>
          <w:rFonts w:ascii="Times New Roman;serif" w:hAnsi="Times New Roman;serif"/>
          <w:b w:val="false"/>
          <w:color w:val="000000"/>
          <w:sz w:val="20"/>
        </w:rPr>
        <w:t>Allergan;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Ceftolozane/Tazobactam (brand name Zerbaxa</w:t>
      </w:r>
      <w:r>
        <w:rPr>
          <w:rFonts w:ascii="Times New Roman;serif" w:hAnsi="Times New Roman;serif"/>
          <w:b w:val="false"/>
          <w:color w:val="000000"/>
          <w:sz w:val="13"/>
        </w:rPr>
        <w:t>®</w:t>
      </w:r>
      <w:r>
        <w:rPr>
          <w:rFonts w:ascii="Times New Roman;serif" w:hAnsi="Times New Roman;serif"/>
          <w:b w:val="false"/>
          <w:color w:val="000000"/>
          <w:sz w:val="20"/>
        </w:rPr>
        <w:t>), a combination cephalosporin and beta-lactamase inhibitor manufactured and sold by Merck;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Omadacycline (brand name Nuzyra</w:t>
      </w:r>
      <w:r>
        <w:rPr>
          <w:rFonts w:ascii="Times New Roman;serif" w:hAnsi="Times New Roman;serif"/>
          <w:b w:val="false"/>
          <w:color w:val="000000"/>
          <w:sz w:val="13"/>
        </w:rPr>
        <w:t>®</w:t>
      </w:r>
      <w:r>
        <w:rPr>
          <w:rFonts w:ascii="Times New Roman;serif" w:hAnsi="Times New Roman;serif"/>
          <w:b w:val="false"/>
          <w:color w:val="000000"/>
          <w:sz w:val="20"/>
        </w:rPr>
        <w:t>), a new tetracycline approved in October 2018 and sold by Paratek Pharmaceuticals Inc.;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Dalbavancin (brand name Dalvance</w:t>
      </w:r>
      <w:r>
        <w:rPr>
          <w:rFonts w:ascii="Times New Roman;serif" w:hAnsi="Times New Roman;serif"/>
          <w:b w:val="false"/>
          <w:color w:val="000000"/>
          <w:sz w:val="16"/>
        </w:rPr>
        <w:t>®</w:t>
      </w:r>
      <w:r>
        <w:rPr>
          <w:rFonts w:ascii="Times New Roman;serif" w:hAnsi="Times New Roman;serif"/>
          <w:b w:val="false"/>
          <w:color w:val="000000"/>
          <w:sz w:val="20"/>
        </w:rPr>
        <w:t>), an injectable antibiotic manufactured and sold by</w:t>
      </w:r>
      <w:r>
        <w:rPr>
          <w:color w:val="000000"/>
        </w:rPr>
        <w:t xml:space="preserve"> </w:t>
      </w:r>
      <w:r>
        <w:rPr>
          <w:rFonts w:ascii="Times New Roman;serif" w:hAnsi="Times New Roman;serif"/>
          <w:b w:val="false"/>
          <w:color w:val="000000"/>
          <w:sz w:val="20"/>
        </w:rPr>
        <w:t xml:space="preserve">Allergan;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Oritavancin (brand name Orbactiv</w:t>
      </w:r>
      <w:r>
        <w:rPr>
          <w:rFonts w:ascii="Times New Roman;serif" w:hAnsi="Times New Roman;serif"/>
          <w:b w:val="false"/>
          <w:color w:val="000000"/>
          <w:sz w:val="16"/>
        </w:rPr>
        <w:t>®</w:t>
      </w:r>
      <w:r>
        <w:rPr>
          <w:rFonts w:ascii="Times New Roman;serif" w:hAnsi="Times New Roman;serif"/>
          <w:b w:val="false"/>
          <w:color w:val="000000"/>
          <w:sz w:val="20"/>
        </w:rPr>
        <w:t>), an injectable antibiotic manufactured and sold by</w:t>
      </w:r>
      <w:r>
        <w:rPr>
          <w:color w:val="000000"/>
        </w:rPr>
        <w:t xml:space="preserve"> </w:t>
      </w:r>
      <w:r>
        <w:rPr>
          <w:rFonts w:ascii="Times New Roman;serif" w:hAnsi="Times New Roman;serif"/>
          <w:b w:val="false"/>
          <w:color w:val="000000"/>
          <w:sz w:val="20"/>
        </w:rPr>
        <w:t>Melinta;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Ceftobripole (brand name Zevetera), an injectable antibiotic registered in 2024 by Basilea.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aware of a number of other novel antibiotics that are currently in development.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Antibiotic drug selection is based both on an empiric and susceptibility proven basis. In the hospital setting, cost is an important factor which favors the use of generic agents if they are effective. Newer agents are often reserved for two reasons: they are valuable in the treatment of patients that fail to respond to generics and it is considered good practice to conserve the use of these agents to reduce the risk of resistance. Antimicrobial resistance, which is considered a global public health threat by the Center for Disease Control and Prevention (“CDC”).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development of new pharmaceutical products can be a long, expensive and risky process. There is no assurance we will obtain successful study results or secure the market approvals needed for our pipeline product candidates. Governmental authorities in the U.S. and other countries extensively regulate the research, development, testing, manufacturing, distribution, marketing and sale of pharmaceutical products. For more information, see </w:t>
      </w:r>
      <w:r>
        <w:rPr>
          <w:rFonts w:ascii="Times New Roman;serif" w:hAnsi="Times New Roman;serif"/>
          <w:b w:val="false"/>
          <w:i/>
          <w:color w:val="000000"/>
          <w:sz w:val="20"/>
        </w:rPr>
        <w:t>"Risks Relating to Government Regulation"</w:t>
      </w:r>
      <w:r>
        <w:rPr>
          <w:color w:val="000000"/>
        </w:rPr>
        <w:t xml:space="preserve"> </w:t>
      </w:r>
      <w:r>
        <w:rPr>
          <w:rFonts w:ascii="Times New Roman;serif" w:hAnsi="Times New Roman;serif"/>
          <w:b w:val="false"/>
          <w:color w:val="000000"/>
          <w:sz w:val="20"/>
        </w:rPr>
        <w:t xml:space="preserve">in Part I, Item 1A of this Form 10-K.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the FDA under the Federal Food, Drug and Cosmetic Act (“FDCA”), the Public Health Service Act, and other federal statutes and regulations, subjects pharmaceutical products to rigorous review. Failure to comply with applicable U.S. requirements may subject a company to a variety of administrative or judicial sanctions, such as FDA refusal to approve pending New Drug Applications (“NDAs”) or biologics license applications (“BLAs”), warning letters, product recalls, product seizures, total or partial suspension of production or distribution, injunctions, fines, civil penalties and criminal prosecution.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our manufacturers and contract research organizations may also be subject to regulations under other federal, state and local laws, including the Occupational Safety and Health Act (“OSHA”), the Resource Conservation and Recovery Act, the Clean Air Act, and import, export and customs regulations as well as the laws and regulations of other countries.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FDA Approval Process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FDA is a regulatory agency within the Department of Health and Human Services. One of their key responsibilities is to regulate the safety and effectiveness of drugs sold in the United States. The FDA manages this responsibility in two phases: pre-approval</w:t>
      </w:r>
      <w:r>
        <w:rPr>
          <w:color w:val="000000"/>
        </w:rPr>
        <w:t xml:space="preserve"> </w:t>
      </w:r>
      <w:r>
        <w:rPr>
          <w:rFonts w:ascii="Times New Roman;serif" w:hAnsi="Times New Roman;serif"/>
          <w:b w:val="false"/>
          <w:color w:val="000000"/>
          <w:sz w:val="20"/>
        </w:rPr>
        <w:t>(pre-market) and post approval</w:t>
      </w:r>
      <w:r>
        <w:rPr>
          <w:color w:val="000000"/>
        </w:rPr>
        <w:t xml:space="preserve"> </w:t>
      </w:r>
      <w:r>
        <w:rPr>
          <w:rFonts w:ascii="Times New Roman;serif" w:hAnsi="Times New Roman;serif"/>
          <w:b w:val="false"/>
          <w:color w:val="000000"/>
          <w:sz w:val="20"/>
        </w:rPr>
        <w:t>(post-market). The FDA reviews manufacturers' applications to market drugs in the United States; a drug may not be sold unless it has FDA approval. The FDA continues its oversight of drug safety and effectiveness as long as the drug is on the market.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market a prescription drug in the United States, a manufacturer needs FDA approval. To get that approval, the manufacturer must demonstrate the drug's safety and effectiveness according to criteria specified in law and agency regulations, ensure that its manufacturing plant passes FDA inspection, and obtain FDA approval for the drug's labeling, a term that includes all written material about the drug, including, for example, packaging, prescribing information for physicians and patient brochures.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progression to drug approval begins before FDA involvement. First, scientists work in the laboratory to discover and develop a new compound. Next, basic safety questions are answered by nonclinical testing with animals and then, a drug or biotechnology company develops a prototype drug. That company must seek clearance from the FDA by way of an IND application to test the product with human subjects.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Those tests, called clinical trials, are carried out sequentially in Phase I, II and III studies, which involve increasing numbers of subjects. The manufacturer then compiles the resulting data and analyses in an NDA. The FDA reviews the NDA with three major concerns: (1) safety and effectiveness in the drug's proposed use; (2) appropriateness of the proposed labeling; and (3) adequacy of manufacturing methods to assure the drug's identity, strength, quality and purity.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sponsor of the drug typically conducts human clinical trials in three sequential phases, but the phases may overlap. Phase I clinical trials are generally conducted in a small number of healthy volunteers, primarily to collect and assess pharmacokinetics and safety data at one or more dosages prior to proceeding into patients.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Phase II clinical trials, the sponsor evaluates the early efficacy of the product in short-term trials on the targeted indication and identifies possible adverse effects and safety risks in a patient population.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Phase III clinical trials typically involve testing for patients in long-term trials examining safety and clinical efficacy in an expanded population at geographically dispersed test sites.</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FDA requires that clinical trials be conducted in accordance with the FDA’s Good Clinical Practice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Each clinical site that conducts a trial must obtain institutional review board ("IRB"), or ethics committee (outside of the U.S.), approval of the clinical trial design and patient-informed consent</w:t>
      </w:r>
      <w:r>
        <w:rPr>
          <w:rFonts w:ascii="Times New Roman;serif" w:hAnsi="Times New Roman;serif"/>
          <w:b w:val="false"/>
          <w:color w:val="B5082E"/>
          <w:sz w:val="20"/>
        </w:rPr>
        <w:t>,</w:t>
      </w:r>
      <w:r>
        <w:rPr>
          <w:color w:val="000000"/>
        </w:rPr>
        <w:t xml:space="preserve"> </w:t>
      </w:r>
      <w:r>
        <w:rPr>
          <w:rFonts w:ascii="Times New Roman;serif" w:hAnsi="Times New Roman;serif"/>
          <w:b w:val="false"/>
          <w:color w:val="000000"/>
          <w:sz w:val="20"/>
        </w:rPr>
        <w:t>and may also impose other conditions or require the clinical trial at that site to be halted, either temporarily or permanently, for failure to comply with the IRB's requirements.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the nonclinical and clinical trials, together with detailed information on the manufacturing and composition of the product and proposed labeling, are submitted to the FDA in the form of an NDA for marketing approval. The NDA undergoes a 60-day validation review period before it is accepted for filing.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and associated regulations detail the requirements at each step. The FDA uses a few special mechanisms to expedite drug development and the review process when a drug might address an unmet need or a serious disease or condition. Those mechanisms include accelerated approval, fast track and priority reviews, and the newer designation, breakthrough therapy.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NDA is found to be incomplete, it will not be accepted. Once the NDA is validated and accepted for filing, the FDA begins an in-depth review of the NDA.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policies agreed to by the FDA under the Prescription Drug User Fee Act, or PDUFA (currently PDUFA VII - effective October 1, 2022), the FDA has a target timeline of 10 months in which to complete its initial review of a standard NDA and respond to the applicant. The review process and the PDUFA goal date may be extended by two months to address deficiencies, or by three months if the FDA requests or if the NDA sponsor otherwise provides additional information or clarification regarding information already provided in the submission at any time during the review clock period. If the FDA’s evaluations of the NDA and the clinical and manufacturing procedures and facilities are favorable and meet all regulations, the FDA will issue an approval letter. Priority review is reserved for drugs that represent a “significant improvement in safety or efficacy” over existing treatments. The FDA endeavors to complete priority reviews in six months.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NDA meets with FDA approval, a letter will be sent out indicating approval and final labeling recommendations. If not, a complete response letter will be sent to applicants indicating that the review cycle for an application is complete and that the application is not ready for approval.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complete response letter will describe the specific deficiencies that the agency has identified in an application and what changes must be made before the application can be approved, with no implication regarding whether the application will ultimately be approved. An approval letter authorizes commercial marketing of the drug for the proposed indication(s) under study. While the FDA’s PDUFA 2021 Performance Report showed a continued increase in the percentage of first-cycle approval letters for new molecular entities rising from 56% for FY 2009 to 74% for FY 2024, we cannot be certain that timely first-cycle approvals will be maintained by the FDA.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time and cost of completing these steps and obtaining FDA approval can vary dramatically depending on the drug, it can take many years and cost millions of dollars for a novel drug.</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Section 505(b) New Drug Applications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NDA may be submitted under different methods, a 505(b)(1), 505(b)(2) or 505(j). Section 505(b) provides for the submission of an NDA to support the approval of a drug. Upon approval, a drug may be marketed only for the FDA-approved indication(s) in the approved dosage form. Further clinical trials may be necessary to gain approval for the use of the product for any additional indications or dosage forms.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also requires post-market safety surveillance reporting to monitor the side effects of the drug, which may result in withdrawal of approval after marketing begins if significant adverse safety findings are found.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Section 505(b)(1), or the ‘full’ NDA, is used for new chemical entities (“NCEs”) and requires full clinical and nonclinical development of a compound. Marketing exclusivity assigned to a 505(b)(1) approval is five years. A 505(b)(2) NDA permits the submission of an NDA where at least some of the information required for approval comes from studies not conducted by or for the applicant using previously reported safety and efficacy data, and for which the applicant has not obtained a right of reference. Generally new studies are required to provide data on the proposed change.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Some examples of products that may be allowed to follow a 505(b)(2) path to approval are drugs that have a new dosage form, strength, route of administration, formulation or indication, or combination drugs. Marketing exclusivity for a 505(b)(2) submission is three years.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Both 505 (b)(1) and (b)(2) are eligible for seven years of exclusivity for orphan drugs and/or six months for pediatric exclusivity. Any marketing exclusivity is independent of patent exclusivity. We successfully secured FDA approvals for Acetadote in January 2004 and for Caldolor in June 2009 pursuant to the 505(b)(2) pathway.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Orphan drug designation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Orphan Drug Act of 1983 (the “Orphan Drug Act”) encourages manufacturers to seek approval of products intended to treat “rare diseases and conditions” with a prevalence of fewer than 200,000 patients in the U.S. or for which there is no reasonable expectation of recovering the development costs for the product. For products that receive orphan drug designation by the FDA, the Orphan Drug Act provides tax credits for clinical research, FDA assistance with protocol design, eligibility for FDA grants to fund clinical studies, waiver of the FDA application fee and a period of seven years of marketing exclusivity for the product following FDA marketing approval.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Acetadote received orphan drug designation in October 2001 and in 2004 the FDA approved the product to prevent or lessen hepatic injury after ingestion of a potentially hepatotoxic quantity of acetaminophen. Acetadote was entitled to marketing exclusivity until January 2011 for the treatment of this approved indication. We also received orphan drug designation for Ifetroban for the treatment of cardiomyopathy associated with Duchenne muscular dystrophy in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Rare pediatric disease designation and priority review vouchers (“PRV”)</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rare pediatric disease PRV program aims to incentivize drug development for rare pediatric diseases.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be eligible for a voucher, the drug should be (1) approved for a rare pediatric disease and (2) treat or prevent a serious or life-threatening manifestation of the disease or condition that affects children. These serious or life-threatening manifestations may be the manifestations that primarily affect children, but they are not required to be, so long as the approved indication is clinically meaningful to pediatric patients with the disease or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this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FDA awards rare pediatric disease PRVs to sponsors of rare pediatric disease products that are approved and meet certain criteria. Prior to submitting a marketing application for its drug, a sponsor that plans to request a rare pediatric disease PRV may request rare pediatric disease designation. On November 6, 2024, the FDA granted Rare Pediatric Disease Designation to Ifetroban for the treatment of cardiomyopathy associated with Duchenne muscular dystrophy.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Section 505(j) abbreviated new drug applications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abbreviated new drug application (“ANDA”) is a type of NDA where approval of a generic drug is based on demonstrating comparability to an innovator drug product (the Reference Listed Drug, or RLD). Applications are "abbreviated" because they generally do not include pre-clinical and clinical data to establish safety and effectiveness. Generics must demonstrate that the product is bioequivalent (i.e., performs in the same manner and is comparable to the 'innovator' product in active ingredient, dosage form, strength, route of administration, labeling, quality, performance characteristics and intended use).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Abbreviated applications may be submitted for drug products that are the same as a listed drug and must be identical in active ingredient(s), form, strength, route of administration and in conditions of use (non-exclusive uses). Products are declared suitable based on a suitability petition to the FDA. If the petition is approved, the sponsor may then submit the ANDA.</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Hatch-Waxman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Drug Price Competition and Patent Term Restoration Act, informally known as the “Hatch-Waxman Act,” is a 1984 United States federal law that established the modern system of generic drugs.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Hatch-Waxman Act amended the Federal Food, Drug and Cosmetic Act. Section 505(j) 21 U.S.C. 355(j) sets forth the process by which would-be marketers of generic drugs can file ANDAs to seek FDA approval of the generic. Section 505(j)(2)(A)(vii)(IV), the so-called Paragraph IV, allows 180-day exclusivity to companies that are the "first-to-file" an ANDA against holders of patents for branded counterparts.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Hatch-Waxman Act amendments grant generic manufacturers the ability to mount a validity challenge without incurring the cost of entry or risking enormous damages flowing from any possible infringement. The Hatch-Waxman Act essentially redistributes the relative risk assessments and explains the flow of settlement funds and their magnitude. The Hatch-Waxman Act gives generics considerable leverage in patent litigation.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Health care legislation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23, 2010, former President Obama signed into law the Patient Protection and Affordable Care Act, (“PPACA”). On March 30, 2010, the Health Care and Education Reconciliation Act of 2010 (“HCERA”) was enacted into law, which modified the revenue provisions of the PPACA. The PPACA as amended by the HCERA constitutes the healthcare reform legislation. The following highlights certain provisions of the legislation that may affect us.</w:t>
      </w:r>
    </w:p>
    <w:p>
      <w:pPr>
        <w:pStyle w:val="TextBody"/>
        <w:bidi w:val="0"/>
        <w:spacing w:lineRule="auto" w:line="288" w:before="160" w:after="283"/>
        <w:ind w:left="0" w:right="0" w:firstLine="360"/>
        <w:jc w:val="both"/>
        <w:rPr/>
      </w:pPr>
      <w:r>
        <w:rPr>
          <w:rFonts w:ascii="Times New Roman;serif" w:hAnsi="Times New Roman;serif"/>
          <w:b/>
          <w:i/>
          <w:color w:val="000000"/>
          <w:sz w:val="20"/>
        </w:rPr>
        <w:t xml:space="preserve">Pharmaceutical Industry Fee: </w:t>
      </w:r>
      <w:r>
        <w:rPr>
          <w:rFonts w:ascii="Times New Roman;serif" w:hAnsi="Times New Roman;serif"/>
          <w:b w:val="false"/>
          <w:color w:val="000000"/>
          <w:sz w:val="20"/>
        </w:rPr>
        <w:t xml:space="preserve">Beginning in calendar-year 2011, an annual fee was imposed on pharmaceutical manufacturers and importers that sell branded prescription drugs to specified government programs (e.g., Medicare Part D, Medicare Part B, Medicaid, Department of Veterans Affairs programs, Department of Defense programs and TRICARE).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annual fee is allocated to companies based on their previous calendar-year market share using sales data that the government agencies that purchase the pharmaceuticals will provide to the Treasury Department. Although we participate in government programs that subject us to this fee, our sales volume in such programs is less than $10 million, with the first $5 million of sales being exempt from the fee. This fee has not had a material impact and is not expected to have a material impact on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PDUFA imposes annual program fees. An applicant will be assessed annual prescription drug program fees for prescription drug products, incurring a fee for each strength of a drug product. An applicant may not be assessed more than five prescription drug program fees for a fiscal year for prescription drug products identified in a single approved application.</w:t>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Under section 736(d)(1)(A) of the FD&amp;C Act, an applicant may qualify for a waiver of or reduction in application or program fees if the waiver or reduction is necessary to protect the public health. Under this provision,</w:t>
      </w:r>
      <w:r>
        <w:rPr>
          <w:color w:val="B5082E"/>
        </w:rPr>
        <w:t xml:space="preserve"> </w:t>
      </w:r>
      <w:r>
        <w:rPr>
          <w:rFonts w:ascii="Times New Roman;serif" w:hAnsi="Times New Roman;serif"/>
          <w:b w:val="false"/>
          <w:color w:val="000000"/>
          <w:sz w:val="20"/>
        </w:rPr>
        <w:t>the FDA considers the following questions in determining whether to grant a public health waiver or reduction in user fees: (1) Does the product protect the public health? and (2) Is the waiver or reduction necessary to continue an activity that protects the public health? In addition, an applicant may qualify for a waiver or reduction in application or program fees when the assessment of the fees would present a significant barrier to innovation because of limited resources available to the applicant or other circumstances.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 736(a)(1)(F) of the FD&amp;C Act, a human drug application for a product that has been designated as a drug for a rare disease or condition (referred to as an orphan drug) under section 526 of the FD&amp;C Act is not subject to an application fee unless the human drug application includes an indication for other than a rare disease or condition.</w:t>
      </w:r>
    </w:p>
    <w:p>
      <w:pPr>
        <w:pStyle w:val="TextBody"/>
        <w:bidi w:val="0"/>
        <w:spacing w:lineRule="auto" w:line="288" w:before="160" w:after="283"/>
        <w:ind w:left="0" w:right="0" w:firstLine="360"/>
        <w:jc w:val="both"/>
        <w:rPr/>
      </w:pPr>
      <w:r>
        <w:rPr>
          <w:rFonts w:ascii="Times New Roman;serif" w:hAnsi="Times New Roman;serif"/>
          <w:b/>
          <w:i/>
          <w:color w:val="000000"/>
          <w:sz w:val="20"/>
        </w:rPr>
        <w:t xml:space="preserve">Physician Payments Sunshine Act: </w:t>
      </w:r>
      <w:r>
        <w:rPr>
          <w:rFonts w:ascii="Times New Roman;serif" w:hAnsi="Times New Roman;serif"/>
          <w:b w:val="false"/>
          <w:color w:val="000000"/>
          <w:sz w:val="20"/>
        </w:rPr>
        <w:t>The PPACA also includes provisions known as the Physician Payments Sunshine Act (“Sunshine Act”), which requires manufacturers of pharmaceuticals and medical devices covered under Medicare and Medicaid to record any transfers of value to physicians and teaching hospitals and to report this data to the Centers for Medicare and Medicaid Services (“CMS”), for aggregation and subsequent public disclosure. Under the Sunshine Act, beginning August 1, 2013, we have collected data regarding reportable transfers of value and have reported such data to CMS. Failure to report appropriate data may result in civil or criminal fines and/or penalties. In addition to the Federal Sunshine Act, similar reporting requirements have also been enacted on the state level requiring transparency of interactions with health care professionals.</w:t>
      </w:r>
    </w:p>
    <w:p>
      <w:pPr>
        <w:pStyle w:val="TextBody"/>
        <w:bidi w:val="0"/>
        <w:spacing w:lineRule="auto" w:line="288" w:before="160" w:after="283"/>
        <w:ind w:left="0" w:right="0" w:firstLine="360"/>
        <w:jc w:val="both"/>
        <w:rPr/>
      </w:pPr>
      <w:r>
        <w:rPr>
          <w:rFonts w:ascii="Times New Roman;serif" w:hAnsi="Times New Roman;serif"/>
          <w:b/>
          <w:i/>
          <w:color w:val="000000"/>
          <w:sz w:val="20"/>
        </w:rPr>
        <w:t>Medicaid Rebate Rate:</w:t>
      </w:r>
      <w:r>
        <w:rPr>
          <w:color w:val="000000"/>
        </w:rPr>
        <w:t xml:space="preserve"> </w:t>
      </w:r>
      <w:r>
        <w:rPr>
          <w:rFonts w:ascii="Times New Roman;serif" w:hAnsi="Times New Roman;serif"/>
          <w:b w:val="false"/>
          <w:color w:val="000000"/>
          <w:sz w:val="20"/>
        </w:rPr>
        <w:t>Under the Medicaid Drug Rebate program, we currently are required to provide rebates for covered outpatient drugs that are dispensed to Medicaid beneficiaries. In addition, we also are required to participate in the Public Health Service’s 340B drug pricing program, which requires us to agree to charge no more than a designated ceiling price for covered outpatient drugs that are dispensed to community health clinics and other entities that receive health services grants from the Public Health Service, as well as hospitals that serve a disproportionate share of low-income patients.</w:t>
      </w:r>
    </w:p>
    <w:p>
      <w:pPr>
        <w:pStyle w:val="TextBody"/>
        <w:bidi w:val="0"/>
        <w:spacing w:lineRule="auto" w:line="288" w:before="160" w:after="283"/>
        <w:ind w:left="0" w:right="0" w:firstLine="360"/>
        <w:jc w:val="both"/>
        <w:rPr/>
      </w:pPr>
      <w:r>
        <w:rPr>
          <w:rFonts w:ascii="Times New Roman;serif" w:hAnsi="Times New Roman;serif"/>
          <w:b/>
          <w:i/>
          <w:color w:val="000000"/>
          <w:sz w:val="20"/>
        </w:rPr>
        <w:t>Product Serialization:</w:t>
      </w:r>
      <w:r>
        <w:rPr>
          <w:color w:val="000000"/>
        </w:rPr>
        <w:t xml:space="preserve"> </w:t>
      </w:r>
      <w:r>
        <w:rPr>
          <w:rFonts w:ascii="Times New Roman;serif" w:hAnsi="Times New Roman;serif"/>
          <w:b w:val="false"/>
          <w:color w:val="000000"/>
          <w:sz w:val="20"/>
        </w:rPr>
        <w:t>In November of 2013, the FDA passed the Drug Supply Chain Security Act (“DSCSA”). The DSCSA was created to strengthen the security of the drug distribution supply chain by adding controls such as a national pharmaceutical track and trace system and establishing national standards for licensing of prescription drug wholesale distributors and third-party logistics providers. DSCSA requires trading partners, including manufacturers, repackagers, wholesale distributors and dispensers to provide transaction information to subsequent purchasers for certain prescription drugs. We have taken necessary steps to implement this program and are in compliance with all requirements.</w:t>
      </w:r>
    </w:p>
    <w:p>
      <w:pPr>
        <w:pStyle w:val="TextBody"/>
        <w:bidi w:val="0"/>
        <w:spacing w:lineRule="auto" w:line="288" w:before="160" w:after="283"/>
        <w:ind w:left="0" w:right="0" w:firstLine="360"/>
        <w:jc w:val="both"/>
        <w:rPr/>
      </w:pPr>
      <w:r>
        <w:rPr>
          <w:rFonts w:ascii="Times New Roman;serif" w:hAnsi="Times New Roman;serif"/>
          <w:b/>
          <w:i/>
          <w:color w:val="000000"/>
          <w:sz w:val="20"/>
        </w:rPr>
        <w:t>21</w:t>
      </w:r>
      <w:r>
        <w:rPr>
          <w:rFonts w:ascii="Times New Roman;serif" w:hAnsi="Times New Roman;serif"/>
          <w:b/>
          <w:i/>
          <w:color w:val="000000"/>
          <w:sz w:val="13"/>
        </w:rPr>
        <w:t>st</w:t>
      </w:r>
      <w:r>
        <w:rPr>
          <w:color w:val="000000"/>
        </w:rPr>
        <w:t xml:space="preserve"> </w:t>
      </w:r>
      <w:r>
        <w:rPr>
          <w:rFonts w:ascii="Times New Roman;serif" w:hAnsi="Times New Roman;serif"/>
          <w:b/>
          <w:i/>
          <w:color w:val="000000"/>
          <w:sz w:val="20"/>
        </w:rPr>
        <w:t>Century Cures Act:</w:t>
      </w:r>
      <w:r>
        <w:rPr>
          <w:color w:val="000000"/>
        </w:rPr>
        <w:t xml:space="preserve"> </w:t>
      </w:r>
      <w:r>
        <w:rPr>
          <w:rFonts w:ascii="Times New Roman;serif" w:hAnsi="Times New Roman;serif"/>
          <w:b w:val="false"/>
          <w:color w:val="000000"/>
          <w:sz w:val="20"/>
        </w:rPr>
        <w:t>The 21st Century Cures Act (“Cures Act”), signed into law on December 13, 2016, is designed to help accelerate medical product development and bring new innovations and advances to patients who need them faster and more efficiently. The law builds on the FDA’s ongoing work to incorporate the perspectives of patients into the development of drugs, biological products and devices in the FDA’s decision-making process. The Cures Act enhances the FDA’s ability to modernize clinical trial designs and clinical outcome assessments, which will speed the development and review of novel medical products, including medical countermeasures.</w:t>
      </w:r>
    </w:p>
    <w:p>
      <w:pPr>
        <w:pStyle w:val="TextBody"/>
        <w:bidi w:val="0"/>
        <w:spacing w:before="160" w:after="283"/>
        <w:ind w:left="0" w:right="0" w:firstLine="360"/>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Post Approval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a drug is on the U.S. market (following FDA approval of the NDA), the FDA continues to address drug production, distribution and use. FDA activities are based on ensuring drug safety and effectiveness. They address product integrity, labeling, reporting of research and adverse events, surveillance, drug studies, risk management, information dissemination, off-label use, physician advertising and direct-to-consumer advertising.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amend the NDA for an FDA-approved product, such as adding safety or efficacy labeling claims, promoting those new claims, making certain manufacturing changes or product enhancements, we will need FDA review and approval before the change can be implemented. While physicians may use products for indications that have not been approved by the FDA, we may not label or promote the product for an indication that has not been approved.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Securing FDA approval for new indications, product enhancements and manufacturing and labeling changes may require us to conduct additional clinical trials under the FDA’s IND regulations. Even if such studies are conducted, they are still subject to the same requirements and timelines as an original NDA.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FDA continuously gathers information about possible adverse reactions to the products it has approved for use. The FDA requires all manufacturers to report adverse events. It also provides a procedure for consumers and physicians to voluntarily report their concerns about drugs. The agency collects those reports through MedWatch and uses its FDA Adverse Event Reporting System (FAERS) to store and analyze them. Because some events may occur after the use of a drug for reasons unrelated to the product, the FDA reviews the events to assess which ones may indicate a problem with that particular drug.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They then use information gleaned from the surveillance data to determine a course of action. They might recommend a change in drug labeling to alert users to a potential problem, or perhaps, require the manufacturer to study the observed association between the drug and the adverse event.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and prescribers, purchasers or formulary managers. Violations of the anti-kickback statute are punishable by imprisonment, criminal fines, civil monetary penalties and exclusion from participation in federal health care programs.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these U.S. laws, we are subject to similar laws that govern our marketing practices and financial arrangements with health care providers and otherwise are intended to prohibit illicit kickbacks and bribery, including the Foreign Corrupt Practices Act.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Federal False Claims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false claims laws prohibit any person from knowingly presenting, or causing to be presented, a false claim for payment to the federal government, or knowingly making, or causing to be made, a false statement to have a false claim paid.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number of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HIPAA and Other Data Protection Laws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we and our collaborators are subject to numerous federal and state privacy and security laws and regulations, including the Health Insurance Portability and Accountability Act of 1996. These laws include obligations related to protecting the privacy and security of health-related personal information, such as information that we may obtain through the clinical trial process. In addition, similar laws and regulations exist in Europe and other jurisdictions, including the European Union’s General Data Protection Regulation.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ICH - International Committee on Harmonization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Outside of the U.S., our ability to market our products will depend on receiving marketing authorizations from the appropriate regulatory authorities. The International Committee on Harmonization (“ICH”) provides a set of standards that most regulatory authorities adhere to (e.g. U.S., Europe and Japan) allowing greater harmonization in the interpretation and application of technical guidelines and requirements for pharmaceutical product registration, thereby reducing or obviating duplication of testing carried out during the research and development of new human medicines. Regulatory harmonization offers many direct benefits to both regulatory authorities and the pharmaceutical industry with beneficial impact for the protection of public health.</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state and local environmental laws and regulations and we believe that our operations comply with such regulations. We anticipate that the effects of compliance with federal, state and local laws and regulations relating to the discharge of materials into the environment will not have any material effect on our capital expenditures, earnings or competitive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333"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significant seasonal aspects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333"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relatively short lead-time required to fill orders for our products, backlog of orders is not considered material to our business.</w:t>
      </w:r>
    </w:p>
    <w:p>
      <w:pPr>
        <w:pStyle w:val="TextBody"/>
        <w:bidi w:val="0"/>
        <w:spacing w:lineRule="auto" w:line="333" w:before="160" w:after="283"/>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93 employees. We believe that our future will depend in part on our continued ability to attract, hire, and retain qualified personnel, including hospital oncology and field sales personnel in particular. To that end, we work with qualified search firms to identify talent, we measure and adjust compensation levels to remain competitive and we work closely with team members to support their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make statements in this Annual Report on Form 10-K that are “forward-looking statements” within the meaning of Section 27A of the Securities Act of 1933, as amended, and Section 21E of the Securities Exchange Act of 1934, as amended. All statements other than statement of historical facts may be forward-looking statements. In particular,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forward-looking statements reflect our good-faith beliefs and best judgment based upon current information, they are not guarantees of future performance and are subject to known and unknown risks and uncertainties, including those mentioned in Item 1A, “Risk Factors,” Item 7, “Management’s Discussion and Analysis of Financial Condition and Results of Operations” and elsewhere in this Form 10-K.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possible or assumed future results of operations, including the accuracy of our estimates regarding expenses, future revenues, capital requirements and needs for additional financing;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of macroeconomic conditions, including inflationary pressures, rising interest rates, general economic slowdown or a recession, changes in monetary policy, volatile market conditions, financial institution instability, as well as geopolitical instability and the ongoing conflicts outside the U.S., on our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competitive position and competitors, including the size and growth potential of the markets for our products and product candidates;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success, cost and timing of our product acquisition and development activities and clinical trials; and our ability to successfully commercialize our product candidates;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Product efficacy or safety concerns, whether or not based on scientific evidence, resulting in product withdrawals, recalls, regulatory action on the part of the FDA (or international counterparts) or declining sales;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performance of our third-party suppliers and manufacturers which impacts our supply chain and could create business shutdowns or product shortages; and the retention of key scientific and management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on our business, financial condition and results of operations from the effects of a pandemic or the outbreak of an infectious disease in the United States and worldwide and resulting governmental and societal responses;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Issuance of new or revised accounting standards by the Financial Accounting Standards Board and the Securities and Exchange Commission.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For more information about the risks, uncertainties, and other factors that could affect our future results, please refer to Item 1A, Risk Factors,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1A. Risk Factors.</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Risk Factor Summary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You should carefully consider all information in this Annual Report on Form 10-K prior to investing in our common stock. These risks are discussed more fully in the section titled “Risk Factors.” These risks and uncertainties include, but are not limited to, the following:</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Global and national conditions and events, including, but not limited to, rising interest rates, increased inflation, supply chain disruptions, labor conditions, significant natural disasters, pandemics and public health crises and international conflict, may adversely affect our business, revenues, results of operations and financial condition.</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Failure to implement strategies to enhance our performance could have a material adverse effect on our business, results of operations and financial conditions.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Our ability to perform depends on keeping and hiring exceptionally talented management and employees, and our failure to do so could have a material adverse effect on our business, revenues, results of operations and financial condition.</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Our success depends, in part, on our ability to successfully obtain or retain high-performing third-party performers on commercially acceptable terms, and the failure to do so can have a material adverse effect on our business, financial conditions and results of operations.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Our business is subject to stringent government regulations, it must adhere to numerous complex pieces of legislation, and all of our products face regulatory challenges.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Our business depends on the successful protection of our intellectual property rights and our product candidates becoming approved by regulatory agencies, commercially viable, and accepted by the market.</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Our business is subject to cybersecurity and artificial-intelligence related risks, including risks related to system failures, security breaches, including any cybersecurity incidents, adverse events or other disruptions within our information technology infrastructure at our corporate headquarters; or intellectual property infringement.</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Our business faces a serious financial risk if generic products that compete with any of our branded pharmaceutical products are approved and sold because sales of our products will be adversely affected and our business may not recover the capital costs of bringing that product to market.</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Our business faces an inherent risk of product liability lawsuits related to the testing of our product candidates and the commercial sale of our products, and if we cannot successfully defend ourselves against the product liability claim, we may incur substantial liabilities.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 xml:space="preserve">We may attempt to develop internationally and license our products globally, as well as invest in other businesses or joint ventures, all of which may be unsuccessful, divert our management’s attention and harm our operating results and prospects.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Global and national economic conditions and events, including, but not limited to increased inflation, changes in interest rates, tariffs, supply chain disruptions, labor conditions, pandemics and public health crises and international conflicts, could affect our future access to liquidity and materially adversely affect our results of operations and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results of operations could be adversely affected by changes in global or national economic conditions. These conditions include, but are not limited to, increased inflation, changes in interest rates, tariffs, supply chain disruptions, labor conditions, significant natural disasters (including as a result of climate change), the negative impacts from pandemics and public health crises (such as the COVID-19 pandemic) and the negative impacts resulting from political and military conflict, trade and other international disputes (including the conflict between Russia and Ukraine and conflicts and instability in the Middle East and Venezuela). These conditions have had a significant adverse impact on economic and market conditions around the world, including the United States. While the economic impact brought by, and the duration of, such global events is difficult to assess or predict, such events could result in additional disruption of global financial markets, reducing our ability to access capital in the future, which could negatively affect our liquidity in the future and in ways that cannot be predicted potentially including a prolonged recessionary environment in the United States. In the longer term, there could be significant new regulatory actions and other events that could limit our activities and investment opportunities or change the functioning of the capital markets, and there is the possibility of a severe worldwide economic downturn.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Inflation rates have fluctuated in recent periods. If our costs, in particular costs related to clinical trial expenses and/or employee-related expenses, were to become subject to significant inflationary pressures, it may adversely impact our business, operating results and financial condition. In response to inflationary pressures, the Federal Reserve raised the benchmark federal funds rate in 2022 and 2023, which led to the increases in interest rates in the credit markets. Although the Federal Reserve lowered the benchmark federal funds rate in 2024 and 2025, it could raise the federal funds rate in the future impacting interest rates in the credit markets and the possibility of slowing economic growth. Increases in interest rates, especially if coupled with reduced government spending and volatility in financial markets, may further increase economic uncertainty and heighten these risks. Although we do not believe that inflation has had a material impact on our financial position or results of operations to date, we may experience increases in the future on our operating costs, including our labor costs and research and development costs, due to supply chain constraints, ongoing international conflicts and employee availability and wage increases.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United States and other countries have recently begun imposing new tariffs on international trade. While pharmaceuticals have been largely exempt from these recently imposed U.S. tariffs, such exemptions may be removed in the future, which could have a material adverse effect on our business.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 adverse development regarding our products could have a material and adverse impact on our future revenues and profitability.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portfolio currently includes seven brands: Acetadote, Caldolor, Kristalose, Sancuso, Vaprisol, Vibativ and Talicia. A product contamination or other safety or regulatory issues, such as a failure to meet certain FDA reporting requirements involving our products, could negatively impact us and possibly lead to a product recall. In addition, changes impacting any of our products in areas such as competition, lack of market acceptance or demand, government regulation, intellectual property, reimbursement and manufacturing could have an adverse impact on our future revenues and profitability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Changes in intellectual property protection available for our products or competing treatments;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unfavorable publicity concerning us, our products, or the markets for these products such as information concerning product contamination or other safety issues in any of our product markets, whether or not directly involving our products;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Perception by physicians and other members of the healthcare community of the safety or efficacy of our products or competing products;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Regulatory developments related to our marketing and promotional practices or the manufacture or continued use of our products;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prices of our products relative to other drugs or competing treatments;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of current or additional generic competitors;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availability and level of third-party reimbursement for sales of our products;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continued availability of adequate supplies of our products to meet demand: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Weakened demand for our products;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Unforeseen or serious adverse effects outside of those specified in current product labeling being attributed to any of our approved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Acetadote may be used to treat acetaminophen overdoses. The FDA has previously requested prescribers and manufacturers of prescription combination products that contain acetaminophen to limit the amount of acetaminophen to no more than 325 milligrams (mg) in each tablet or capsule. The FDA requested this action to protect consumers from the risk of severe liver damage which can result from excess acetaminophen which may reduce the number of acetaminophen overdoses which could result in a lower demand for Acetadote. If the demand for Acetadote decreases, it could have an adverse impact on our future revenues and profitability.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commercial success of Caldolor is dependent on many third-parties, including physicians, pharmacists, hospital pharmacy and therapeutics committees, or P&amp;T committees, suppliers and distributors, all of whom we have little or no control over. We expect Caldolor to continue to be administered primarily to hospital and surgery center patients who are unable to receive oral therapies for the treatment of pain or fever. Before we can distribute Caldolor to any new hospital customers, Caldolor must be approved for addition to the hospitals’ formulary lists by their P&amp;T committees. A hospital’s P&amp;T committee generally governs all matters pertaining to the use of medications within the institution, including review of medication formulary data and recommendations of drugs to the medical staff. We cannot guarantee that we will be successful in getting the approvals we need from enough P&amp;T committees to be able to optimize hospital sales of Caldolor. Even if we obtain hospital approval for Caldolor, we must still convince individual hospital physicians to prescribe Caldolor repeatedly. The commercial success of Caldolor also depends on our ability to coordinate supply, distribution, marketing, sales and education efforts. As with our other products, if Caldolor is not accepted in the marketplace, it could have an adverse impact on our future revenues and profitability.</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Disruptions at the FDA and other government agencies caused by funding shortages or global health concerns could hinder their ability to review and approve new products and otherwise affect the FDA’s ability to perform routine functions. Disruptions at the FDA and other agencies may also slow the time necessary for new drugs or modifications to approved drugs to be reviewed and/or approved by necessary government agencies. Such disruptions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including as a result to disruptions to supplier operations resulting from factors such as supply chain delays, public health emergencies, climate events or political unrest, or otherwise, the distribution, marketing and subsequent sales of these products could be adversely affected. A long-term inability to meet demand for our products could result in impairment of our brands overall future and the carrying value of the assets associated with our brands. </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Acetadote:</w:t>
      </w:r>
      <w:r>
        <w:rPr>
          <w:color w:val="000000"/>
        </w:rPr>
        <w:t xml:space="preserve"> </w:t>
      </w:r>
      <w:r>
        <w:rPr>
          <w:rFonts w:ascii="Times New Roman;serif" w:hAnsi="Times New Roman;serif"/>
          <w:b w:val="false"/>
          <w:color w:val="000000"/>
          <w:sz w:val="20"/>
        </w:rPr>
        <w:t>We have an agreement with one manufacturer to provide commercial supply of Acetadote. If this manufacturer</w:t>
      </w:r>
      <w:r>
        <w:rPr>
          <w:color w:val="000000"/>
        </w:rPr>
        <w:t xml:space="preserve"> </w:t>
      </w:r>
      <w:r>
        <w:rPr>
          <w:rFonts w:ascii="Times New Roman;serif" w:hAnsi="Times New Roman;serif"/>
          <w:b w:val="false"/>
          <w:color w:val="000000"/>
          <w:sz w:val="20"/>
        </w:rPr>
        <w:t>is unable to produce marketable inventory in sufficient quantities, in the agreed upon time period, we could suffer an inability to meet demand for Acetadote.</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Caldolor:</w:t>
      </w:r>
      <w:r>
        <w:rPr>
          <w:color w:val="000000"/>
        </w:rPr>
        <w:t xml:space="preserve"> </w:t>
      </w:r>
      <w:r>
        <w:rPr>
          <w:rFonts w:ascii="Times New Roman;serif" w:hAnsi="Times New Roman;serif"/>
          <w:b w:val="false"/>
          <w:color w:val="000000"/>
          <w:sz w:val="20"/>
        </w:rPr>
        <w:t>We have agreements with multiple manufacturers for the supply of Caldolor. If the manufacturers of Caldolor are unable to produce marketable inventory in sufficient quantities, in the agreed upon time period, we could suffer an inability to meet demand for Caldolor.</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Kristalose:</w:t>
      </w:r>
      <w:r>
        <w:rPr>
          <w:color w:val="000000"/>
        </w:rPr>
        <w:t xml:space="preserve"> </w:t>
      </w:r>
      <w:r>
        <w:rPr>
          <w:rFonts w:ascii="Times New Roman;serif" w:hAnsi="Times New Roman;serif"/>
          <w:b w:val="false"/>
          <w:color w:val="000000"/>
          <w:sz w:val="20"/>
        </w:rPr>
        <w:t>The active pharmaceutical ingredient for Kristalose is manufactured at a single facility through a complex process. It would be particularly difficult to find a new manufacturer of the Kristalose active pharmaceutical ingredient on an expedited basis. We have a manufacturing relationship with one packager who has provided finished supplies of Kristalose for commercial and sampling purposes since 2022. If the manufacturing or packaging facilities are unable to produce usable or marketable inventory in sufficient quantities, in the agreed upon time period, we could suffer an inability to meet demand for Kristalose.</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Vaprisol:</w:t>
      </w:r>
      <w:r>
        <w:rPr>
          <w:color w:val="000000"/>
        </w:rPr>
        <w:t xml:space="preserve"> </w:t>
      </w:r>
      <w:r>
        <w:rPr>
          <w:rFonts w:ascii="Times New Roman;serif" w:hAnsi="Times New Roman;serif"/>
          <w:b w:val="false"/>
          <w:color w:val="000000"/>
          <w:sz w:val="20"/>
        </w:rPr>
        <w:t>In 2018, the manufacturer of Vaprisol informed us that they would no longer be able to provide the product following the manufacturing of one final batch which is providing us with a multi-year supply. We are in the process of transitioning to a new manufacturing partner, who was issued a U.S. Food and Drug Administration ("FDA") Form 483 in the second quarter of 2022. Once these FDA Form 483 related issues are satisfactorily resolved, we will then resubmit our application for their facility to the FDA for approval. If we are unable to produce additional marketable inventory in sufficient quantities, in the required time frame, we could suffer an inability to meet demand for Vaprisol.</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Vibativ:</w:t>
      </w:r>
      <w:r>
        <w:rPr>
          <w:color w:val="000000"/>
        </w:rPr>
        <w:t xml:space="preserve"> </w:t>
      </w:r>
      <w:r>
        <w:rPr>
          <w:rFonts w:ascii="Times New Roman;serif" w:hAnsi="Times New Roman;serif"/>
          <w:b w:val="false"/>
          <w:color w:val="000000"/>
          <w:sz w:val="20"/>
        </w:rPr>
        <w:t>Through our acquisition of Vibativ, we acquired a multi-year supply of raw material, work in process and finished goods inventory. In 2020, we completed the transfer of Vibativ manufacturing activities to a new supplier. If we are unable to continue to obtain marketable inventory in sufficient quantities, in the agreed upon time period, we could suffer an inability to meet demand for Vibativ.</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Sancuso</w:t>
      </w:r>
      <w:r>
        <w:rPr>
          <w:rFonts w:ascii="Times New Roman;serif" w:hAnsi="Times New Roman;serif"/>
          <w:b w:val="false"/>
          <w:color w:val="000000"/>
          <w:sz w:val="20"/>
        </w:rPr>
        <w:t>: As part of the acquisition of Sancuso in January 2022, we obtained an initial supply of finished goods inventory and work in progress. The product’s FDA registration was subsequently transferred from Kyowa Kirin, Inc. to Cumberland in August 2023.</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Talicia</w:t>
      </w:r>
      <w:r>
        <w:rPr>
          <w:rFonts w:ascii="Times New Roman;serif" w:hAnsi="Times New Roman;serif"/>
          <w:b w:val="false"/>
          <w:color w:val="000000"/>
          <w:sz w:val="20"/>
        </w:rPr>
        <w:t>: The supply of Talicia is complex. The product’s manufacture and supply is overseen by Talicia Holding, Inc., who delivers the product to our warehouse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must be unable to comply with GMP requirements and with other FDA, state, and foreign regulatory requirements.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 control over our manufacturers’ compliance with these regulations and standards. If our third-party manufacturers do not comply with these requirements, we could be subject to fines and civil penalties; suspension of production or distribution; suspension or delay in product approval; product seizure or recall; and withdrawal of product approval.</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are dependent on a variety of other third parties. If these third parties fail to perform as we expect, our operations could be disrupted and our financial results could suffer.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relatively small internal infrastructure. We rely on a variety of third parties, in addition to our manufacturers, to help us operate our business. 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we depend and will continue to depend upon independent investigators and collaborators, such as universities, medical institutions, contract research organizations (CROs) and strategic partners to conduct our preclinical and clinical trials. 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Good Clinical Practice (GCPs), which are regulations and guidelines enforced by the FDA and comparable foreign regulatory authorities for therapeutic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Moreover, our business may be implicated if any of these third parties violates federal or state fraud and abuse or false claims laws and regulations or healthcare privacy and security laws. 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these third parties may have relationships with other commercial entities, including our competitors, for whom they may also be conducting clinical studies or other drug development activities, which could affect their performance.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 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Competitive pressures could reduce our revenues and profits.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pharmaceutical industry is intensely competitive. Our strategy is to target differentiated products in specialized markets. However, this strategy does not relieve us from competitive pressures and can entail distinct competitive risks. Certain of our competitors do not aggressively promote their products in our markets. An increase in promotional activity in our markets could result in large shifts in market share, adversely impacting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competitors may sell or develop drugs that are more effective and useful or less costly than ours, and they may be more successful in manufacturing and marketing their products. Many of our competitors have significantly greater financial and marketing resources than we do. Additional competitors may enter our markets.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pharmaceutical industry is characterized by constant and significant investment in new product development, which can result in rapid technological change. The introduction of new products could substantially reduce our market share or render our products obsolete. The selling prices of pharmaceutical products tend to decline as competition increases, through new product introduction or otherwise, which could reduce our revenues and profitability.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generic products that compete with any of our branded pharmaceutical products are approved and sold, sales of our products will be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Generic equivalents for branded pharmaceutical products are typically sold at lower costs than the branded products. The regulatory approval process in the United States exempts generic products from costly and time-consuming clinical trials to demonstrate their safety and efficacy and rely instead on the safety and efficacy of prior products, manufacturers of generic products can invest far less in research and development. After the introduction of a competing generic product, a significant percentage of the prescriptions previously written for the branded product are often written for the generic version. In addition, legislation enacted in most U.S. states allows or, in some instances mandates, that a pharmacist dispense an available generic equivalent when filling a prescription for a branded product, in the absence of specific instructions from the prescribing physician. Governmental and private healthcare payors also emphasize substitution of branded pharmaceuticals with less expensive generic equivalents. Pursuant to the provisions of the Hatch-Waxman Act, manufacturers of branded products often bring lawsuits to enforce their patent rights against generic products released prior to the expiration of branded products’ patents, but it is possible for generic manufacturers to offer generic products while such litigation is pending. As a result, branded products typically experience a significant loss in revenues following the introduction of a competing generic product, even if subject to an existing patent. Our branded pharmaceutical products are or may become subject to competition from generic equivalents because there is no proprietary protection for some of the branded pharmaceutical products we sell, because our patent protection expires or because our patent protection is not sufficiently broad or enforceable. In addition, we may not be successful in our efforts to extend the proprietary protection afforded our branded products through the development and commercialization of proprietary product improvements. Competition from generic equivalents could result in a decrease in revenues of our branded pharmaceuticals or result in a material impairment of our intangible assets or the acceleration of amortization on our non-impaired intangible assets and may have a material adverse impact on our revenues, financial condition, results of operations and cash flows.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Any attempt by us to expand the potential market for any of our products is subject to limitations.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Expansion of the market for our products may be subject to certain limitations. In the past, these limitations have included FDA required Phase IV commitments. We may also experience delays associated with future required Phase IV clinical studies potentially resulting from, among other factors, difficulty enrolling patients. We may not be able to initiate or continue clinical trials for our product candidates if we are unable to identify and enroll a sufficient number of eligible patients to participate in these trials as required by the FDA. Subject enrollment, a significant factor in the timeline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our ability to obtain and maintain patient consents, patient referral practices of physicians, ability to monitor patients adequately during and after treatment,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subjects for each of our clinical trials. Delays that may result from difficulty enrolling patients could impact our ability to explore opportunities for label expansion and limit our ability to bring our products to new patient populations.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have largely obtained regulatory approval to market our products in the United States. Not all foreign jurisdictions may represent attractive opportunities for our products due to pricing, competitive, regulatory or other factors. In certain foreign jurisdictions, we have licensed the right to market some of our products to third parties. These third parties are responsible for seeking and maintaining regulatory approval for the products in their respective jurisdictions. We have no control over these third parties and cannot be sure that marketing approval for our products will be obtained outside the United States.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future growth depends on our ability to identify, acquire rights and successfully integrate new brands into our operations. If we do not successfully identify and acquire rights to products or if we do not successfully integrate acquired product brands into our operations, our growth opportunities may be limited.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added seven products to our portfolio of brands through acquisitions. Our business strategy is to continue to acquire rights to FDA-approved products as well as pharmaceutical product candidates in the late stages of development. We do not plan to conduct basic research or preclinical product development, except to the extent of our investment in CET. As compared to large multi-national pharmaceutical companies, we have limited resources to acquire third-party products, businesses and technologies and integrate them into our current infrastructure. Many acquisition opportunities involve competition among several potential purchasers including large multi-national pharmaceutical companies and other competitors that have access to greater financial resources than we do. With future acquisitions, we may face financial and operational risks and uncertainties. We may not be able to engage in future product acquisitions, and those we do complete may not be beneficial to us in the long term.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other products in development may encounter unforeseen issues during their clinical trials. Any unforeseen issues or lack of FDA approval will negatively affect marketing and development plans for those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successfully integrate the marketing, sale and distribution of any other potential products into our current infrastructure or if they require significantly greater resources than originally anticipated, we may face financial and operational risks and uncertainties. If we are unable to successfully integrate any acquired brands, both current and future, these product acquisitions may not be beneficial to us in the long term.</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ifetroban product candidates have not been approved for sale and may never be successfully commercialized.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a portion of our future revenue growth may come from sales of our ifetroban product candidates. However, none of these products have been approved by the FDA for marketing, and these product candidates are still subject to risks associated with their development. Drug development is a long, expensive and inherently uncertain process with a high risk of failure at every stage of development, and results of earlier studies and trials may not be predictive of future trial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has cleared our IND's for the ifetroban product candidates as we evaluate them as treatments for these conditions. Delays in the enrollment and completion of the clinical studies could significantly delay commercial launch and affect our product development costs. Moreover, results from the clinical studies may not be favorable.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they are eventually developed and approved by the FDA, they may never gain significant acceptance in the marketplace and therefore never generate substantial revenue or profits for us. Physicians may determine that existing drugs are adequate to address patients’ needs. The extent to which these product candidates will be reimbursed by the U.S. government or third-party payors is also currently unknown.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foregoing and other factors, we do not know the extent to which our product candidates will contribute to our future growth.</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are unable to maintain, train and build an effective sales and marketing infrastructure, we will not be able to commercialize and grow our products and product candidates successfully.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grow, we may not be able to secure sales personnel or organizations that are adequate in number or expertise to successfully market and sell our products. This risk would be accentuated if we acquire products in areas outside of our current focus areas since our sales forces specialize in our existing areas. If we are unable to expand our sales and marketing capability, train our sales force effectively or provide any other capabilities necessary to commercialize our products and product candidates, we will need to contract with third parties to market and sell our products. We must train our employees on proper regulatory compliance, including, but not limited to, “fair balance” promotion of our products and anti-kickback laws. If we are unable to establish and maintain compliant and adequate sales and marketing capabilities, we may not be able to increase our product revenue, may generate increased expenses and may experience regulatory compliance issues.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governmental or third-party payors do not provide adequate reimbursement for our products, our revenue and prospects for profitability may be limited.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success depends, in part, on the availability of adequate reimbursement from third-party healthcare payors. Such third-party payors include governmental health programs such as Medicare and Medicaid, managed care providers and private health insurers. Third-party payors are increasingly challenging the pricing of medical products and services, while governments continue to propose and pass legislation designed to reduce the cost of healthcare. Adoption of such legislation could further limit reimbursement for pharmaceuticals. In addition, as part of the Inflation Reduction Act legislation, provisions intended to lower the price of prescription drugs, including permitting Medicare to negotiate the price of prescription drugs once they have been on the market for a fixed number of years, and imposing a tax penalty on drug manufacturers if the price of their drugs increase faster than the rate of inflation. At this time no assurances can be given that these measures, or subsequent legislative proposals, will not have an adverse effect on our revenues in the future. Future cost control initiatives, legislation, and regulations could decrease the price that we receive for our products, which would limit our revenue and profitability.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reimbursement practices of third-party payors might preclude us from achieving market acceptance for our products or maintaining price levels sufficient to realize an appropriate return on our investment in product acquisition and development. If we cannot obtain adequate reimbursement levels, our business, financial condition and results of operations would be materially and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employees have been trained to submit accurate and correct pricing information to payors. If, despite the training, our employees provide incorrect or fraudulent information, then we will be subject to various administrative and judicial investigations and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color w:val="000000"/>
        </w:rPr>
      </w:pPr>
      <w:r>
        <w:rPr>
          <w:color w:val="000000"/>
        </w:rPr>
        <w:t>“</w:t>
      </w:r>
      <w:r>
        <w:rPr>
          <w:rFonts w:ascii="Times New Roman;serif" w:hAnsi="Times New Roman;serif"/>
          <w:b/>
          <w:i/>
          <w:color w:val="000000"/>
          <w:sz w:val="20"/>
        </w:rPr>
        <w:t>Formulary” practices of third-party payors could adversely affect our competitive 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managed healthcare organizations control the pharmaceutical products included on their formulary lists. Having products listed on these formulary lists creates competition among pharmaceutical companies which, in turn, has created a trend of downward pricing pressure in our industry. In addition, many managed care organizations are pursuing various ways to reduce pharmaceutical costs and are considering formulary contracts primarily with those pharmaceutical companies that can offer a full line of products for a given therapy sector or disease state. Our products might not be included on the formulary lists of managed care organizations, and downward pricing pressure in our industry generally could negatively impact our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Continued consolidation of distributor networks in the pharmaceutical industry as well as increases in retailer concentration may limit our ability to profitably sell our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most of our products to large pharmaceutical wholesalers, who in turn sell to hospitals, surgery centers and retail pharmacies. The distribution network for pharmaceutical products has become increasingly consolidated in recent years. Further consolidation or financial difficulties could also cause our customers to reduce the amounts of our products that they purchase, adversely impacting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CET joint initiative may not result in our gaining access to commercially viable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CET investigates early-stage products, which have risk of failure prior to FDA approval and commercialization;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 some programs, we do not have pre-set rights to product candidates developed by CET. We would need to agree with CET and its collaborators on the terms of any product licensed or acquired by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rely principally on government grants to fund CET’s research and development programs. If these grants were no longer available, we or our co-owners might be unable or unwilling to fund CET operations at current levels or at all;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may become involved in disputes with our co-owners regarding CET policy or operations, such as how best to deploy CET assets or which product opportunities to pursue. Disagreement could disrupt or halt product development;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CET may disagree with one of the various universities with which CET is collaborating on research. A disagreement could disrupt or halt product development.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depend on our key personnel, the loss of whom would adversely affect our operations. If we fail to attract and retain the talent required for our business, our business will be materially harmed.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size of our organization and our potential growth may lead to difficulties in managing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93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face potential product liability exposure, and if successful claims are brought against us, we may incur substantial liability for a product or product candidate and may have to limit its commercialization.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Liability claims may result in decreased demand for our products; injury to our reputation; withdrawal of clinical trial participants; significant litigation costs; substantial monetary awards to or costly settlement with patients; product recalls; loss of revenue; and the inability to commercialize our product candidates.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product liability insurance that covers our clinical trials, the marketing and sale of our products up to a $10 million annual aggregate limit, subject to specified deductibles. Our current or future insurance coverage may prove insufficient to cover any liability claims brought against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the increasing costs of insurance coverage, we may not be able to maintain insurance coverage at a reasonable cost or obtain insurance coverage that will be adequate to satisfy any liability that may arise.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Regulatory approval for any approved product is limited by the FDA to those specific indications and conditions for which clinical safety and efficacy have been demonstrated.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regulatory approval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our ability to effectively market and sell our products may be reduced and our business may be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failure to follow FDA rules and guidelines relating to promotion and advertising may cause the FDA to suspend or withdraw an approved product from the market, require a recall or payment of fines, or could result in disgorgement of money, operating restrictions, injunctions or criminal prosecution, any of which could harm our business.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business and operations would suffer in the event of system failures, security breaches, including any cybersecurity incidents, adverse events or other disruptions within our information technology infrastructure at our corporate headquarters; or in the event of intellectual property infringement.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effective, secure and operational information systems which include systems provided by external contractors and other service providers. Despite the implementation of security measures, our computer systems and information technology infrastructure, including those resources at our corporate headquarters, are vulnerable to damage from cyber-attacks, computer viruses, unauthorized access, natural disasters, terrorism, war and telecommunication and electrical failures. Our business is at risk from and may be impacted by information security incidents, including ransomware, malware, phishing, social engineering, and other security events. Such incidents can range from individual attempts to gain unauthorized access to information technology systems to more sophisticated security threats. These events can also result from internal compromises, such as human error or malicious acts. These events can occur on our systems or on the systems of our partners and subcontractors. 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Problems with, or the failure of, our technology and systems or any system upgrades or programming changes associated with such technology and systems would have a substantial and material negative effect on our operations. Furthermore, any system failure, accident or security breach that causes interruptions in our operations could result in a material disruption of our drug development programs.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If we are subject to cyber-attacks or security breaches, this could result in business interruptions and delays; the loss, misappropriation, corruption or unauthorized access of data; litigation and potential liability under privacy, security and consumer protection laws or other applicable laws; reputational damage and federal and state governmental inquiries. Any such problems or failures and the costs incurred in correcting any such problems or failures, could have a material adverse effect on our business and financial condition, results of operations and cash flows.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 A failure to restore our information systems after the occurrence of any of these events could have a material adverse effect on our business and financial condition, results of operations and cash flows.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systems and applications also require maintenance, upgrading and enhancement to meet our operational needs. We regularly upgrade and expand our information systems’ capabilities.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cyber threats continue to evolve (including through the use of artificial intelligence), we may be required to expend significant capital and other resources to protect against the threat of security breaches or to mitigate and alleviate problems caused by breaches, including unauthorized access to proprietary information and personally identifiable information stored in our information systems, and the introduction of computer viruses or other malicious software programs to our systems. Our security measures may be inadequate to prevent security breaches and our business operations could be materially adversely affected by federal and state fines and penalties, legal claims or proceedings, cancellation of contracts and loss of customers if security breaches are not prevented.</w:t>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subcontractors and vendors take precautionary measures to prevent problems that could affect our business operations as a result of failure or disruption to their information systems. However, there is no guarantee such efforts will be successful in preventing a disruption, and it is possible that we may be impacted by information system failures. The occurrence of any information system failures could result in interruptions, delays, loss or corruption of data and cessations or interruptions in the availability of these systems. All of these events or circumstances, among others, could have an adverse effect on our business, results of operations, financial position and cash flows, and they could harm our business reputation.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have all the necessary licenses from third parties to use technology and software that we do not own. A third party could, however, allege that we are infringing its rights, which may deter our ability to obtain licenses on commercially reasonable terms from the third party, if at all, or cause the third party to commence litigation against us. In addition, we may find it necessary to initiate litigation to protect our trade secrets, to enforce our intellectual property rights and to determine the scope and validity of any proprietary rights of others. Any such litigation, or the failure to obtain any necessary licenses or other rights, could materially and adversely affect our business.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license our products globally; therefore, we may have exposure to foreign regulatory requirements and fluctuations in foreign currency exchange rates.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Continued foreign licensure inherently subjects us to a number of risks and uncertainties,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longer payment cycles and difficulties in enforcing agreements and collecting receivables through certain foreign legal systems;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political and economic instability or sanctions in areas in which we operate;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potentially adverse tax consequences, tariffs, customs charges, bureaucratic requirements and other trade barriers;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regulations related to customs and import/export matters (including sanctions);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tax issues, such as tax law changes and variations in tax laws;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challenges in collecting accounts receivable from customers in the jurisdictions in which we operate;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complying with laws, rules and regulations relating to the manufacturing, marketing, distribution and sale of pharmaceutical products in the jurisdictions in which we do or will operate;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operating under regulations in jurisdictions related to obtaining eligibility for government or private payor reimbursement for our products at the wholesale/retail level;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competition from local, regional and international competitors;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difficulties and costs of staffing and managing foreign operations, including cultural and language differences and additional employment regulations, union workforce negotiations and potential disputes in the jurisdictions in which we operate;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difficulties associated with compliance with a variety of laws and regulations governing international trade, including the Foreign Corrupt Practices Act;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difficulties protecting or procuring intellectual property rights;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these factors may, individually or as a group, have a material adverse effect on our business and results of operations. These or other similar risks could adversely affect our revenue and profitability. As we continue to develop internationally, our exposure to these factors will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decide not to commercialize one of our drug candidates once it obtains regulatory approval if we determine that commercialization of that product would require more capital and time than we are willing to invest.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Even if any of our drug candidates receives regulatory approval, it could be subject to matters such as post-regulatory surveillance, additional clinical trials or testing, reformulation, changes in labeling, warnings to the public, recall, competition from similar or superior products, and lack of sufficient payor reimbursement by insurance companies or Medicare. As a result, we may not commercialize or continue to commercialize a product that has obtained regulatory approval.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Any approved drug product that we bring to the market may not gain market acceptance by physicians, patients, healthcare payors and others in the medical community.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acceptance of our drug products, if approved for commercial sale, will depend on a number of factors,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willingness and ability of patients and the healthcare community to use our drug products;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ability to manufacture our drug products in sufficient quantities with acceptable quality and to offer our drug products for sale at competitive prices;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perception of patients and the healthcare community, including third-party payors, regarding the safety, efficacy and benefits of our drug products compared to those of competing products or therapies;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label and promotional claims allowed by the FDA;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pricing and reimbursement of our drug products relative to existing treatments.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required to modify our business practices, pay fines and significant expenses or experience other losses due to governmental investigations or other enforcement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ultimate outcomes of investigations and legal proceedings are difficult to predict, adverse resolutions or settlements of those matters could result in, among other things: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significant damage awards, fines, penalties or other payments, and administrative remedies, such as exclusion and/or debarment from government programs, or other rulings that preclude us from operating our business in a certain manner;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and additional costs to our business operations to avoid risks associated with such litigation or investigations;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product recalls;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reputational damage and decreased demand for our products;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expenditure of significant time and resources that would otherwise be available for operating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RELATING TO GOVERNMENT REGULATION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 For more information, see “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this Form 10-K.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Like all pharmaceutical manufacturers, we are subject to regulation by the FDA under the Federal Food, Drug and Cosmetic Act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after regulatory approval, certain developments may decrease demand for our products, including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re-review of products that are already marketed;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new scientific information and evolution of scientific theories;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recall or loss of marketing approval of products that are already marketed;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changing government standards or public expectations regarding safety, efficacy or labeling changes;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greater scrutiny in advertising and promotion;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development and introduction of competitive products into the market.</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regulatory changes or decisions could make it more difficult for us to sell our products and could have a material adverse effect on our business, results of operations, financial condition and cash flows. Manufacturers of 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or violate healthcare laws, a regulatory agency may take the following actions, among others: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issue warning letters or untitled letters;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impose civil or criminal penalties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suspend or withdraw regulatory approval;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suspend any ongoing clinical trials;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refuse to approve pending applications or supplements to applications submitted by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impose restrictions on operations, including costly new manufacturing requirements;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seize or detain products or require us to initiate a product recall.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Proposed legislation may permit re-importation of drugs from other countries into the U.S., including foreign countries where the drugs are sold at lower prices than in the U.S., which could materially and adversely affect our operating results and our overall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previous years, legislation has been introduced in Congress that, if enacted, would permit more widespread re-importation of drugs from foreign countries into the U.S., which may include re-importation from foreign countries where the drugs are sold at lower prices than in the U.S. Through Executive Order, “ Lowering Drug Pricing By Once Again Putting Americans First,” the Trump Administration instructed the Secretary of Health and Human Services to take steps to streamline and improve the Importation Program under Section 804 of the Federal Food, Drug and Cosmetic Act to ease the State approval process. Such legislation, or similar regulatory changes, if enacted, could increase competition and decrease the price we receive for any approved products which, in turn, could materially and adversely affect our operating results and our overall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Legislative and regulatory changes affecting pricing of pharmaceutical products could materially and adversely affect our operating results and our overall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government appears likely to continue efforts to lower the price of pharmaceutical products. The Trump Administration’s April 15, 2025 “Lowering Drug Pricing By Once Again Putting Americans First,” instructed Federal agencies to take several steps intended to lower the price of prescription drugs, including directing the Secretary of Health and Human Services to implement rulemaking for implementation of a payment model to improve the ability of the Medicare program to obtain better value for high-cost prescription drugs and biologicals covered by Medicare; and directing the OMB Director, the Assistant to the President for Domestic Policy, and the Assistant to the President for Economic Policy to coordinate with the Secretary for Health and Human Services to provide recommendations on how best to ensure that drug manufacturers pay accurate Medicaid drug rebates, promote innovation in Medicaid drug payment methodologies, link payments for drugs to value, and support States in ongoing drug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following up on a May 12, 2025 Executive Order, “Delivering Most-Favored-Nation Prescription Drug Pricing to American Patients,” in October 2025, the Trump Administration launched TrumpRx.com, a government-operated website intended to provide opportunities for patients to purchase certain drugs from participating manufacturers at discounted prices. The One Big Beautiful Bill Act (“OBBBA”) signed July 4, 2025 also included provisions designed to lower the price of drugs by requiring most-favored-nation pricing to match the lower price of international drugs in some cases.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changes related to the costs and reimbursement of pharmaceutical products continue to be dynamic and it is difficult to accurately predict the nature of final legislative and regulatory pricing initiatives. It is possible that policy changes governing drug pricing could materially and adversely affect our operating results and our overall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must comply with the CREATES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a number of recent regulatory and legislative initiatives designed to encourage generic competition for pharmaceutical products, including expedited review procedures for generic manufacturers and incentives designed to spur generic competition of branded drugs. In particular, FDA and FTC have been focused on brand companies’ denial of drug supply to potential generic competitors for testing. In December 2019, the Creating and Restoring Equal Access to Equivalent Samples Act, or the CREATES Act, was enacted, which provides a legislatively defined private right of action under which eligible product developers can bring suit against companies who refuse to sell sufficient quantities of their branded products on commercially reasonable, market-based terms to support such eligible product developers’ marketing applications. We cannot currently predict the specific outcome or impact on our business of such regulatory and legislative initiatives.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must comply with the Foreign Corrupt Practices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 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must comply with the Physician Payment Sunshine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the United States Physician Payment Sunshine Act, which requires manufacturers of drugs, medical devices and biologicals that participate in U.S. federal healthcare programs to report certain payments and items of value given to physicians and teaching hospitals. Manufacturers are required to report this information annually to The Centers for Medicare &amp; Medicaid Services ("CMS"). In addition, some states require reporting information concerning payments to health care providers or other transfers of value by drug manufacturers beyond the requirements of the Federal Sunshine Act. Cumberland has implemented a series of policies and procedures for every employee involved in the data collection process, and has systems in place to capture the data, which is verified by an outside firm that specializes in reporting the payments. Cumberland has also established a system to ensure that data was reported completely, in the correct format, and on time. Despite these policies, procedures and systems, we cannot assure you that we will collect and report all data accurately. If we fail to accurately report this information, we could suffer severe penalties.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must comply with healthcare fraud and abuse laws and regulations.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Federal laws intended to combat fraud and waste such as the Anti-Kickback Statute, False Claims Act, and Medicare and Medicaid laws and regulations. Many states have analogous laws which may be broader than their Federal counterparts, including state licensure laws, fraud and abuse laws, and Medicaid requirements. Compliance with these regulatory requirements can increase operating costs, and thereby adversely affect our financial performance. Also, the life science industry is heavily regulated and the governing laws and regulations are often ambiguous and subject to significant enforcement agency direction in pursuing alleged violations, which makes certainty of compliance challenging. Our failure to comply with health care fraud and abuse laws and regulations could adversely affect our financial performance and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participate in the Medicaid Drug Rebate program, the 340B program, and other governmental pricing programs and have obligations to report the average sales price for certain of our drugs to CMS. These programs and rebate calculations vary across products and programs, are complex, and are often subject to interpretation by us, governmental or regulatory agencies and the courts, which can change over time.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Our failure to comply with our reporting and payment obligations under the Medicaid Drug Rebate program and other governmental programs could negatively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federal and state laws and regulations govern the collection, use, disclosure and protection of health-related and other personal information and could apply to our operations or the operations of our collaborators and third-party providers. Certain of these laws grant individual rights with respect to their information, and we may be required to expend significant resources to comply with these laws. For example, the California Consumer Privacy Act, or CCPA, was enacted in 2020.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These changes may lead to additional costs and increase our overall risk exposure.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may be subject to laws and regulations governing our use of Artificial Intelligence.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Artificial Intelligence (“AI”) in health care, and particularly the drug development process, continues to increase and evolve. While there currently is no Federal law governing the use of AI in health care or otherwise, several states and Federal agencies use existing regulations to govern the use of AI and enforce related privacy violations, and it is possible that governing legislation and regulations may be forthcoming given that President Trump has issued multiple AI-related Executive Orders, including an AI Action Plan on July 23, 2025 through Executive Order, “Promoting the Export of the American AI Technology Stock,” and a December 11, 2025 Executive Order, “Ensuring a National Policy Framework for Artificial Intelligence.”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has indicated its intention to regulate the use of AI by drug manufacturers through multiple announcements, including its January 2025 draft guidance “Considerations for the Use of Artificial Intelligence to Support Regulatory Decision-Making for Drug and Biological Products,” and its January 2026 “Guiding Principles of Good AI Practice in Drug Development,” which establishes ten (10) high-level guiding principles concerning future use and regulation of AI by pharmaceutical manufacturers.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with privacy and security laws, we cannot predict the ultimate result of proposals to govern and regulate AI and any related enforcement actions, or the potential costs any compliance obligations may have on us. Violation of any applicable AI-related laws or regulations could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RELATING TO INTELLECTUAL PROPERTY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strategy to secure and extend marketing exclusivity or patent rights may provide only limited or no protection from competition.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secure and extend marketing exclusivity for our products through a variety of means, including FDA exclusivity and patent rights. Additional barriers for competitors seeking to enter the market include the time and cost associated with the development, regulatory approval and manufacturing of a similar product formulation.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As discussed in Part I, Item 1, </w:t>
      </w:r>
      <w:r>
        <w:rPr>
          <w:rFonts w:ascii="Times New Roman;serif" w:hAnsi="Times New Roman;serif"/>
          <w:b w:val="false"/>
          <w:i/>
          <w:color w:val="000000"/>
          <w:sz w:val="20"/>
        </w:rPr>
        <w:t>Business - Patents, Trademarks, and Other Intellectual Proprietary Rights,</w:t>
      </w:r>
      <w:r>
        <w:rPr>
          <w:color w:val="000000"/>
        </w:rPr>
        <w:t xml:space="preserve"> </w:t>
      </w:r>
      <w:r>
        <w:rPr>
          <w:rFonts w:ascii="Times New Roman;serif" w:hAnsi="Times New Roman;serif"/>
          <w:b w:val="false"/>
          <w:color w:val="000000"/>
          <w:sz w:val="20"/>
        </w:rPr>
        <w:t xml:space="preserve">of this report on Form 10-K, we have several patents for formulations of Acetadote, and have previously engaged in litigation to enforce our patent rights.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to vigorously defend and protect our Acetadote product and related intellectual property rights. If we are unsuccessful in protecting our Acetadote intellectual property rights, our competitors may be able to introduce products into the marketplace that reduce the sales and market share of our Acetadote product which may require us to take measures such as reducing prices or increasing our marketing expense, any of which may result in a material adverse effect to our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consider patent protection when evaluating product acquisition opportunities, any products we acquire in the future may not have significant patent protection. Neither the USPTO nor the courts have a consistent policy regarding the breadth of claims allowed or the degree of protection afforded under many pharmaceutical patents. Patent applications in the U.S. and many foreign jurisdictions are typically not published until 18 months following the filing date of the first related application, and in some cases not at all. In addition, publication of discoveries in scientific literature often lags significantly behind actual discoveries. Therefore, neither we nor our licensors can be certain that we or they were the first to make the inventions claimed in our issued patents or pending patent applications, or that we or they were the first to file for protection of the inventions set forth in these patent applications. Obtaining and enforcing patents in the biopharmaceutical industry involves both technological and legal complexity and is therefore costly, time consuming and inherently uncertain. In addition, changes in either patent laws or in interpretations of patent laws in the U.S. and other countries may increase the uncertainties and costs,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of these factors, our patent rights may not provide any commercially valuable protection from competing products.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proprietary information and know-how, the value of our technology and products could be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patents, we rely upon trade secrets, unpatented proprietary know-how and continuing technological innovation where we do not believe patent protection is appropriate or attainable. For example, the manufacturing process for Kristalose involves substantial trade secrets and proprietary know-how. We have entered into confidentiality agreements with certain key employees and consultants pursuant to which such employees and consultants must assign to us any inventions relating to our business if made by them while they are our employees, as well as certain confidentiality agreements relating to the acquisition of rights to products. Confidentiality agreements can be breached, though, and we might not have adequate remedies for any breach. Also, others could acquire or independently develop similar technology.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depend on certain licensors for the maintenance and enforcement of intellectual property rights and have limited, if any, control over the amount or timing of resources that our licensors devote on our behalf.</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we license products, we often depend on our licensors to protect the proprietary rights covering those products. We have limited, if any, control over the amount or timing of resources that our licensors devote on our behalf or the priority they place on maintaining patent or other rights and prosecuting patent applications to our advantage. While any such licensor is expected to be contractually obligated to diligently pursue its patent applications and allow us the opportunity to consult, review and comment on patent office communications, we cannot be sure that it will perform as required. If a licensor does not perform and if we do not assume the maintenance of the licensed patents in sufficient time to make required payments or filings with the appropriate governmental agencies, we risk losing the benefit of all or some of those patent rights.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the use of our technology conflicts with the intellectual property rights of third parties, we may incur substantial liabilities, and we may be unable to commercialize products based on this technology in a profitable manner or at all.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products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collaborators or licensors, which could be costly and time consuming.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been involved in lawsuits for infringement of the Acetadote Patents as previously described. Because of their nature, these lawsuits can be costly and time-consuming, and we only experience limited benefits and patent protection. A significant adverse ruling in any such lawsuit could put our patents at risk of being invalidated or interpreted narrowly and could compromise the issuance of our existing patent applications.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Competitors may infringe on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distraction of our management.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trademarks or for allegedly infringing the trademark rights of others, which could be costly and time consuming.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own certain trademark registrations for each of our branded pharmaceutical products as well as for our corporate name and logo. We have applied for trademark registration for other various names and logos. We also may have common law trademark rights in unregistered names, phrases, and logos under which we market or offer certain products and services. Over time, we intend to obtain and maintain registrations on trademarks that remain valuable to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Third parties may oppose registration of our federal trademark applications. Further, we could be involved in lawsuits for allegedly infringing the rights of others with respect to their prior-existing trademarks. These lawsuits or opposition proceedings can be costly and time-consuming. A significant adverse ruling in any such lawsuit could put our trademarks at risk of being invalidated and could compromise the issuance of our existing trademark applications.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Competitors may infringe on our trademarks or the trademarks of our collaborators or licensors. To counter infringement or unauthorized use, we may be required to file trademark infringement claims, which can be expensive and time-consuming. In addition, in a trademark infringement proceeding, a court may decide that a trademark registration of ours is not valid or is unenforceable, or may refuse to stop the other party from using the mark or a mark that is similar to our registered mark at issue on the grounds that the competitor’s use of the mark is not confusingly similar to our registered trademark. An adverse result in any litigation or defense proceeding could put one or more of our trademark registrations at risk of being invalidated or interpreted narrowly and could put our trademark applications at risk of not registering.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breach any of the agreements under which we license rights to our products and product candidates from others, we could lose the ability to continue commercialization of our products and development and commercialization of our product candidates.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exclusive licenses for the marketing and sale of certain products and may acquire additional licenses. Such licenses may terminate prior to expiration if we breach our obligations under the license agreement related to these pharmaceutical products. For example, the licenses may terminate if we fail to meet specified quality control standards, including GMP with respect to the products, or commit a material breach of other terms and conditions of the licenses. Such early termination could have a material adverse effect on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subject to claims that our employees have wrongfully used or disclosed alleged trade secrets of their former employers.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We are subject to stringent government regulation. All of our products face regulatory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OUR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operating results are likely to fluctuate from period to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New product launches, which could increase revenues but also increase sales and marketing expenses;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Acquisition activity and other charges;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Increases in research and development expenses resulting from the acquisition of a product candidate that requires significant additional studies and development;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Ability to utilize unrecognized federal and state net operating loss carryforwards as a result of the exercise of nonqualified options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the competitive, regulatory or reimbursement environment, which could drive down revenues or drive up sales and marketing or compliance costs;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Unexpected product liability or intellectual property claims and lawsuits.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focus on acquisitions as a growth strategy has created intangible assets whose amortization could negatively affect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assets include intangible assets related to our acquisitions. As of December 31, 2025, intangible assets relating to products, which are being amortized, represented approximately 18% of our total assets. We may never realize the value of these assets. U.S. Generally Accepted Accounting Principles ("GAAP") require that we evaluate on a regular basis whether events and circumstances have occurred that indicate that all or a portion of the carrying amount of the asset may no longer be recoverable, in which case we would write down the value of the asset and take a corresponding charge to earnings. Any determination requiring the write-off of a significant portion of unamortized intangible assets would adversely affect our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need additional funding and may be unable to raise capital when needed, which could force us to delay, reduce or eliminate our product development or commercialization and marketing efforts.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need to raise additional funds in order to meet the capital requirements of running our business and acquiring and developing new pharmaceutical products. If we require additional funding, we may seek to sell common stock or other equity or equity-linked securities, which could result in dilution to our shareholders. We may also seek to raise capital through a debt financing, which would result in ongoing debt-service payments and increased interest expense. Furthermore, the terms of any additional debt securities we may issue in the future may impose restrictions on our operations, which may include limiting our ability to incur additional indebtedness, pay dividends on or repurchase our common shares, or make certain acquisitions or investments. In addition, we may be subject to covenants requiring us to satisfy certain financial tests and ratios, and our ability to satisfy such covenants may be affected by events outside of our control. Any financings would also likely involve operational and financial restrictions being imposed on us. If we are unable to obtain any needed additional funding, we may be required to reduce the scope of, delay, or eliminate some or all of, our planned research, development and commercialization activities or to license to third parties the rights to develop and/or commercialize products or technologies that we would otherwise seek to develop and/or commercialize ourselves or on terms that are less attractive than they might otherwise be, any of which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might also seek to sell assets or rights in one or more commercial products or product development programs. Additional capital might not be available to us when we need it. We are unable to predict the impact of global credit market trends, and if economic conditions deteriorate, our business, results of operations and ability to raise needed capital could be materially and adversely affected. If we are unable to raise additional capital when needed due to the reasons listed above and lack of creditworthiness, bank failures, or price decline in market investments, we could be forced to scale back our operations to conserve cash.</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incur losses in the future and we may not achieve or maintain profitability.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to spend significant amounts on our efforts to discover and develop drugs. As a result, we may incur losses in future periods.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our drug discovery and development efforts and related expenditures will increase as we focus on the studies, including clinical trials prior to seeking regulatory approval, that are required before we can sell a drug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development of drug products will require us to spend significant funds on research, development, testing, obtaining regulatory approvals, manufacturing and marketing.We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additional drug products, we may incur losses if our drug products do not generate significant revenues. If we achieve profitability, we may not be able to sustain or increase profitability.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officers, directors, and principal shareholders, acting as a group, could significantly influence corporate 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officers and directors control approximately 42.1%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 trading price of our common stock because many investors perceive disadvantages to owning stock in companies with controlling shareholders.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analysts may not continue to provide or initiate coverage of our common stock or may issue negative reports.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OWNING OUR 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market price of our common stock may fluctuate substantially.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Unstable market conditions may have serious adverse consequences on our business.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w:t>
      </w:r>
      <w:r>
        <w:rPr>
          <w:rFonts w:ascii="Times New Roman;serif" w:hAnsi="Times New Roman;serif"/>
          <w:b w:val="false"/>
          <w:color w:val="000000"/>
          <w:sz w:val="20"/>
          <w:shd w:fill="FFFFFF" w:val="clear"/>
        </w:rPr>
        <w:t>The equity and lending markets have been and will most likely continue to be negatively impacted for an unknown period of time due to global events.</w:t>
      </w:r>
    </w:p>
    <w:p>
      <w:pPr>
        <w:pStyle w:val="TextBody"/>
        <w:bidi w:val="0"/>
        <w:spacing w:lineRule="auto" w:line="288" w:before="160" w:after="283"/>
        <w:jc w:val="both"/>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shares</w:t>
      </w:r>
      <w:r>
        <w:rPr>
          <w:rFonts w:ascii="Times New Roman;serif" w:hAnsi="Times New Roman;serif"/>
          <w:b/>
          <w:color w:val="000000"/>
          <w:sz w:val="2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shares. There is also a risk that neither we nor our independent registered public accounting firm (when applicable in the future) will be able to conclude within the prescribed timeframe that internal controls over financial reporting is effective as required by Section 404. This could result in an adverse reaction in the financial markets due to a loss of confidence in the reliability of our financial statements.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not be able to maintain our listing on the NASDAQ Global Select Market (“NASDAQ”), which could have a material adverse effect on us and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standards for continued listing on NASDAQ include, among other things, that the minimum bid price for the listed securities not fall below $1.00 for a period in excess of thirty consecutive business days. If the closing bid price of our common stock were to fail to meet NASDAQ’s minimum closing bid price requirement, or if we otherwise fail to meet any other applicable requirements of NASDAQ and we are unable to regain compliance, NASDAQ may make a determination to delist our common stock. The delisting of our common stock from NASDAQ could negatively impact us by (i) reducing the liquidity and market price of our common stock; (ii) reducing the number of investors willing to hold or acquire our common stock, which could negatively impact our ability to raise equity financing; (iii) impacting our ability to use a registration statement to offer and sell freely tradable securities, thereby preventing or limiting us from accessing the public capital markets; and (iv) impairing our ability to provide equity incentives to our employees.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Some provisions of our fourth amended and restated charter, bylaws and Tennessee law may inhibit potential acquisition bids that you may consider favorable.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corporate documents contain provisions that may enable our board of directors to resist a change in control of our company even if a change in control were to be considered favorable by you and other shareholders. These provisions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authorization of undesignated preferred stock, the terms of which may be established and shares of which may be issued without shareholder approval;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Advance notice procedures required for shareholders to nominate candidates for election as directors or to bring matters before an annual meeting of shareholders;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Limitations on persons authorized to call a special meeting of shareholders;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staggered board of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restriction prohibiting shareholders from removing directors without cause;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requirement that vacancies in directorships are to be filled by a majority of the directors then in office and the number of directors is to be fixed by the board of directors;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No cumulative voting.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provisions contained in our fourth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never paid cash dividends on our capital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capital stock. The availability of funds for distributions to shareholders will depend on our financial performance and assets. Any future decision to declare or pay dividends will be at the sole discretion of our Board of Directors.</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DEBT-RELATED RISKS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Revolving Credit Agreement imposes restrictive and financial covenants on us. Our failure to comply with these covenants could trigger events that would have a material adverse effect on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Revolving Credit Agreement contains covenants that restrict the way we conduct business and require us to satisfy certain financial tests in order to incur debt or take other actions. Additionally, our Revolving Credit Agreement contains financial covenants that, for example, require us to maintain certain financial ratios which are measured at the end of each fiscal quarter.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Revolving Credit Agreement contains specified quarterly financial maintenance covenants. As of December 31, 2025, we were in compliance with Minimum Fixed Charge Coverage Ratio financial covenant, along with the Borrowing Base Requirements of the Revolving Credit Agreement and associated amendments. However, we can make no assurance that we will be able to comply with the restrictive and financial covenants contained in the Revolving Credit Agreement in the future.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inability to comply with the covenants in our debt instruments could lead to a default or an event of default under the terms thereof, for which we may need to seek relief from our lender in order to waive the associated default or event of default and avoid a potential acceleration of the related indebtedness or cross-default or cross-acceleration to other debt. There can be no assurance that we would be able to obtain such relief on commercially reasonable terms or otherwise and we may be required to incur significant additional costs. In addition, the lender under our Revolving Credit Agreement may impose additional operating and financial restrictions on us as a condition to granting any such waiver. If an event of default is not cured or is not otherwise waived, the lender under our Revolving Credit Agreement may accelerate the maturity of the related debt, foreclose upon any collateral securing the debt and terminate any commitments to lend, any of which would have a material adverse effect on our business, financial condition, cash flows and results of operations and would cause the market value of our securities to decline.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risks related to interest rates.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revolving credit facility bears interest based on variable interest. Thus, a change in the short-term interest rate environment (especially a material change) could have a material adverse effect on our business, financial condition, cash flows and results of operations. As of December 31, 2025, we did not have any outstanding interest rate swap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1B. Unresolved Staff Comments.</w:t>
      </w:r>
    </w:p>
    <w:p>
      <w:pPr>
        <w:pStyle w:val="TextBody"/>
        <w:bidi w:val="0"/>
        <w:spacing w:lineRule="auto" w:line="333"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1C. Cybersecurity</w:t>
      </w:r>
    </w:p>
    <w:p>
      <w:pPr>
        <w:pStyle w:val="TextBody"/>
        <w:bidi w:val="0"/>
        <w:spacing w:lineRule="auto" w:line="288" w:before="160" w:after="283"/>
        <w:ind w:left="0" w:right="0" w:firstLine="360"/>
        <w:jc w:val="both"/>
        <w:rPr/>
      </w:pPr>
      <w:r>
        <w:rPr>
          <w:rFonts w:ascii="Times New Roman;serif" w:hAnsi="Times New Roman;serif"/>
          <w:b/>
          <w:i/>
          <w:color w:val="000000"/>
          <w:sz w:val="20"/>
        </w:rPr>
        <w:t>Risk Management and Strategy.</w:t>
      </w:r>
      <w:r>
        <w:rPr>
          <w:color w:val="000000"/>
        </w:rPr>
        <w:t xml:space="preserve"> </w:t>
      </w:r>
      <w:r>
        <w:rPr>
          <w:rFonts w:ascii="Times New Roman;serif" w:hAnsi="Times New Roman;serif"/>
          <w:b w:val="false"/>
          <w:color w:val="000000"/>
          <w:sz w:val="20"/>
        </w:rPr>
        <w:t xml:space="preserve">We rely on information technology and data to operate our business and develop, market, and deliver our products to our customers. We have implemented and maintain various information security processes designed to identify, assess and manage material risks from cybersecurity threats to our communication systems, and our critical data which includes confidential, personal, proprietary, and other sensitive information (collectively “Information Assets”).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we maintain certain risk assessment processes intended to identify cybersecurity threats, determine their likelihood of occurring, and assess potential material impact to our business. Based on our assessment, we implement and maintain risk management processes designed to protect the confidentiality, integrity, and availability of our Information Assets and mitigate harm to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company’s general risk management program is designed to manage potential material risks, which includes material cybersecurity risks to our Information Assets. We engage in processes designed to identify such threats by, among other things, monitoring the threat environment using manual and automated tools, subscribing to services that identify cybersecurity threats, analyzing reports of threats and actors, conducting scans of the threat environment, evaluating threats reported to us, coordinating with law enforcement concerning threats, and conducting threats and vulnerability assessments. We rely on a multidisciplinary team to assess cybersecurity threats and a potential impact to our business. These assessments leverage industry tools and metrics designed to assist in the assessment of risks from such cybersecurity threats.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implement and maintain various technical, physical and organizational measures designed to manage and mitigate material risks from cybersecurity threats to our Information Assets. The cybersecurity risk management and mitigation measures we implement include policies and procedures designed to address cybersecurity threats, including an incident response plan and a disaster recovery/business continuity plan.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address the company’s cybersecurity risk, we utilize incident detection and response tools, internal and third-party assessments of our exposure to cybersecurity threats and compliance with risk mitigation procedures, and testing of our relevant controls including data segregation, insurance and assignment of cybersecurity responsibilities.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work with third parties from time to time to assist us in identification, assessment and management of cybersecurity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informant and a description of the risks from cybersecurity threats that may materially affect us and how they may do so, refer to Part I, Item 1A. Risk Factors. </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pPr>
      <w:r>
        <w:rPr>
          <w:rFonts w:ascii="Times New Roman;serif" w:hAnsi="Times New Roman;serif"/>
          <w:b/>
          <w:i/>
          <w:color w:val="000000"/>
          <w:sz w:val="20"/>
        </w:rPr>
        <w:t>Governance.</w:t>
      </w:r>
      <w:r>
        <w:rPr>
          <w:color w:val="000000"/>
        </w:rPr>
        <w:t xml:space="preserve"> </w:t>
      </w:r>
      <w:r>
        <w:rPr>
          <w:rFonts w:ascii="Times New Roman;serif" w:hAnsi="Times New Roman;serif"/>
          <w:b w:val="false"/>
          <w:color w:val="000000"/>
          <w:sz w:val="20"/>
        </w:rPr>
        <w:t>Our cybersecurity risk assessment and management processes are implemented and maintained by certain company employees. Management is responsible for hiring appropriate personnel, integrating cybersecurity considerations into our company’s overall risk management strategy, and for communicating key priorities to employees, helping prepare for cybersecurity incidents, approving cybersecurity processes, and reviewing security assessments and other security-related reports. Our cybersecurity incident response and vulnerability assessments processes involve management, who participates in our disclosure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processes are designed to escalate certain incidents and vulnerabilities to members of management depending on the circumstances, including cooperation with our company’s incident response team to help mitigate and remediate cybersecurity incidents. In addition, these processes include reporting to the board of directors for certain cybersecurity incidents.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including information technology, legal and accounting executives are involved with our company’s efforts to prevent, detect, and mitigate cybersecurity incidents by overseeing preparation of cybersecurity policies and procedures, testing of incident response plans, and engaging vendors with appropriate expertise. They participates in cybersecurity incident response efforts and directs the company’s response to cybersecurity incidents.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addresses the company’s cybersecurity risk management as part of its general oversight function. The Board of Directors has access to various reports, summaries or presentations related to cybersecurity threats, risk, and mitigation.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2. Properties.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leased approximately 16,903 rentable square feet of space at the Broadwest development in Nashville, Tennessee for our corporate headquarters. The lease commencement date occurred in October 2022 with a term of 157 months leased through November 2035. We believe these facilities are adequate to meet our current needs for office space. Manufacturing, packaging or warehousing services are provided to us through contracts with third-party organizations.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laboratory space at CET, under an agreement amended in July 2012, is now leased through April 2028. During 2023, Cumberland exercised the 2nd Extension option to extend the lease for five more years through April 2028.</w:t>
      </w:r>
      <w:r>
        <w:rPr>
          <w:color w:val="000000"/>
        </w:rPr>
        <w:t xml:space="preserve"> </w:t>
      </w:r>
      <w:r>
        <w:rPr>
          <w:rFonts w:ascii="Times New Roman;serif" w:hAnsi="Times New Roman;serif"/>
          <w:b w:val="false"/>
          <w:color w:val="000000"/>
          <w:sz w:val="20"/>
        </w:rPr>
        <w:t>CET leases approximately 14,200 square feet of office and wet laboratory space in Nashville, Tennessee to operate the CET Life Sciences Center. Cumberland’s product formulation and testing laboratories are located at this facility, along with CET’s offices. The CET Life Sciences Center also provides laboratory and office space, equipment and infrastructure to early-stage life sciences companies and university spin-outs.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3. Legal Proceedings.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4. Mine Safety Disclosures.</w:t>
      </w:r>
    </w:p>
    <w:p>
      <w:pPr>
        <w:pStyle w:val="TextBody"/>
        <w:bidi w:val="0"/>
        <w:spacing w:lineRule="auto" w:line="333"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5. Market for Registrant’s Common Equity, Related Stockholder Matters and Issuer Purchases of Equity Securities.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no par value, has been traded on the Nasdaq Global Select Market since August 11, 2009 under the symbol “CPIX.” As of March 4, 2026, we had 87 shareholders of record of our common stock. This excludes shareholders whose shares are held by brokers and other institutions on behalf of shareholders. The closing price of our common stock on the Nasdaq Global Select Market on March 4, 2026 was $3.67 per share.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any cash dividends on our common stock. Any future decision to declare or pay dividends will be at the sole discretion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stock performance graph below illustrates a comparison of the total cumulative stockholder return on our common stock since December 31, 2020, to the Nasdaq Composite and a composite of eight Nasdaq Pharmaceutical and Specialty Pharmaceutical Stocks which most closely compare to our Company - Avadel Pharmaceuticals plc, Eagle Pharmaceuticals, Inc., Assertio Holdings, Inc., HLS Therapeutics Inc., EyePoint Pharmaceuticals, Inc., Eton Pharmaceuticals, Inc., Theratechnologies Inc. and Talphera, Inc. The graph assumes an initial investment of $100 on December 31, 2020, and that all dividends were reinvested.</w:t>
      </w:r>
    </w:p>
    <w:p>
      <w:pPr>
        <w:pStyle w:val="TextBody"/>
        <w:bidi w:val="0"/>
        <w:spacing w:before="160" w:after="283"/>
        <w:ind w:left="0" w:right="0" w:firstLine="360"/>
        <w:jc w:val="center"/>
        <w:rPr/>
      </w:pPr>
      <w:r>
        <w:rPr/>
        <w:drawing>
          <wp:inline distT="0" distB="0" distL="0" distR="0">
            <wp:extent cx="6029325" cy="3562350"/>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2"/>
                    <a:stretch>
                      <a:fillRect/>
                    </a:stretch>
                  </pic:blipFill>
                  <pic:spPr bwMode="auto">
                    <a:xfrm>
                      <a:off x="0" y="0"/>
                      <a:ext cx="6029325" cy="3562350"/>
                    </a:xfrm>
                    <a:prstGeom prst="rect">
                      <a:avLst/>
                    </a:prstGeom>
                  </pic:spPr>
                </pic:pic>
              </a:graphicData>
            </a:graphic>
          </wp:inline>
        </w:drawing>
      </w:r>
      <w:bookmarkStart w:id="0" w:name="i-1"/>
      <w:bookmarkEnd w:id="0"/>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has a share repurchase program to repurchase up to $10.0 million of our common stock pursuant to Rule 10b-18 of the Securities Exchange Act of 1934, as amended. In January 2019, the Company’s Board of Directors established the current $10.0 million repurchase program to replace the prior authorizations. We repurchased 58,947 and 339,200 shares of common stock for approximately $0.3 million and $0.6 million during the years ended December 31, 2025 and 2024, respectively. There was no repurchase activity during the fourth quarter of 2025.</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6. Reserved.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7. Management’s Discussion and Analysis of Financial Condition and Results of Operations.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position and results of operations should be read together with our audited consolidated financial statements and related notes appearing elsewhere in this Form 10-K. This discussion and analysis may contain forward-looking statements that involve risks and uncertainties – please refer to the section entitled, “Special Note Regarding Forward-Looking Statements,” contained in Part I, Item 1A, “Risk Factors,” of this Form 10-K. You should review the “Risk Factors” section of this Form 10-K for a discussion of important factors that could cause actual results to differ materially from the results described in or implied by the forward-looking statements described in the following discussion and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commercial portfolio includes seven branded products approved for marketing by the FDA. In addition to these commercial brands, we have Phase II clinical programs underway evaluating our ifetroban product candidate for patients with 1) Systemic Sclerosis or scleroderma, a debilitating autoimmune disorder characterized by fibrosis of the skin and internal organs and 2) Idiopathic Pulmonary Fibrosis, the most common form of progressive fibrosing interstitial lung disease. Additionally, we recently completed a Phase II study in patients with cardiomyopathy associated with Duchenne muscular dystrophy, a rare, fatal, genetic neuromuscular disease that results in deterioration of the skeletal, heart and lung muscles. Next steps include meeting with the FDA to determine next steps associated with the product’s development and commercialization.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and are building a network of international partners to register and provide our medicines to patients in their countries.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established the capabilities needed to acquire, develop and commercialize branded pharmaceuticals in the U.S. We believe we can leverage this existing infrastructure to support new products and our expected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team consists of pharmaceutical industry veterans with significant experience in their areas of responsibility. 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of our brands.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2025 Highlights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Listed below are our Company’s 2025 highlights. For more information, please see Part I, Item 1, Business of this Form 10-K.</w:t>
      </w:r>
    </w:p>
    <w:p>
      <w:pPr>
        <w:pStyle w:val="TextBody"/>
        <w:bidi w:val="0"/>
        <w:spacing w:lineRule="auto" w:line="288" w:before="160" w:after="120"/>
        <w:ind w:left="0" w:right="0" w:hanging="488"/>
        <w:jc w:val="both"/>
        <w:rPr/>
      </w:pPr>
      <w:r>
        <w:rPr>
          <w:color w:val="000000"/>
        </w:rPr>
        <w:t>•</w:t>
      </w:r>
      <w:r>
        <w:rPr>
          <w:rFonts w:ascii="Times New Roman;serif" w:hAnsi="Times New Roman;serif"/>
          <w:b w:val="false"/>
          <w:color w:val="000000"/>
          <w:sz w:val="20"/>
        </w:rPr>
        <w:t>Progressed our clinical development programs for ifetroban announcing breakthrough top-line study results from our Duchenne muscular dystrophy (DMD) study and presented them at two national DMD conferences.</w:t>
      </w:r>
    </w:p>
    <w:p>
      <w:pPr>
        <w:pStyle w:val="TextBody"/>
        <w:bidi w:val="0"/>
        <w:spacing w:lineRule="auto" w:line="288" w:before="160" w:after="120"/>
        <w:ind w:left="0" w:right="0" w:hanging="488"/>
        <w:jc w:val="both"/>
        <w:rPr/>
      </w:pPr>
      <w:r>
        <w:rPr>
          <w:color w:val="000000"/>
        </w:rPr>
        <w:t>•</w:t>
      </w:r>
      <w:r>
        <w:rPr>
          <w:rFonts w:ascii="Times New Roman;serif" w:hAnsi="Times New Roman;serif"/>
          <w:b w:val="false"/>
          <w:color w:val="000000"/>
          <w:sz w:val="20"/>
        </w:rPr>
        <w:t>Expanded our commercial portfolio adding Talicia</w:t>
      </w:r>
      <w:r>
        <w:rPr>
          <w:rFonts w:ascii="Times New Roman;serif" w:hAnsi="Times New Roman;serif"/>
          <w:b w:val="false"/>
          <w:color w:val="000000"/>
          <w:sz w:val="13"/>
        </w:rPr>
        <w:t>®</w:t>
      </w:r>
      <w:r>
        <w:rPr>
          <w:rFonts w:ascii="Times New Roman;serif" w:hAnsi="Times New Roman;serif"/>
          <w:b w:val="false"/>
          <w:color w:val="000000"/>
          <w:sz w:val="20"/>
        </w:rPr>
        <w:t xml:space="preserve">, an FDA-approved therapy for the treatment of </w:t>
      </w:r>
      <w:r>
        <w:rPr>
          <w:rFonts w:ascii="Times New Roman;serif" w:hAnsi="Times New Roman;serif"/>
          <w:b w:val="false"/>
          <w:i/>
          <w:color w:val="000000"/>
          <w:sz w:val="20"/>
        </w:rPr>
        <w:t>Helicobacter pylori</w:t>
      </w:r>
      <w:r>
        <w:rPr>
          <w:color w:val="000000"/>
        </w:rPr>
        <w:t xml:space="preserve"> </w:t>
      </w:r>
      <w:r>
        <w:rPr>
          <w:rFonts w:ascii="Times New Roman;serif" w:hAnsi="Times New Roman;serif"/>
          <w:b w:val="false"/>
          <w:color w:val="000000"/>
          <w:sz w:val="20"/>
        </w:rPr>
        <w:t>infection, strengthening our gastroenterology franchise and further diversifying our base of marketed products.</w:t>
      </w:r>
    </w:p>
    <w:p>
      <w:pPr>
        <w:pStyle w:val="TextBody"/>
        <w:bidi w:val="0"/>
        <w:spacing w:lineRule="auto" w:line="288" w:before="160" w:after="120"/>
        <w:ind w:left="0" w:right="0" w:hanging="488"/>
        <w:jc w:val="both"/>
        <w:rPr/>
      </w:pPr>
      <w:r>
        <w:rPr>
          <w:color w:val="000000"/>
        </w:rPr>
        <w:t>•</w:t>
      </w:r>
      <w:r>
        <w:rPr>
          <w:rFonts w:ascii="Times New Roman;serif" w:hAnsi="Times New Roman;serif"/>
          <w:b w:val="false"/>
          <w:color w:val="000000"/>
          <w:sz w:val="20"/>
        </w:rPr>
        <w:t>Announced the publication of a peer-reviewed manuscript evaluating Caldolor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(ibuprofen) injection in older adult patients, demonstrating that Caldolor provided effective pain control with a favorable safety profile and was associated with reduced opioid use in the post-operative setting. The findings further support Caldolor’s role as a non-opioid option for pain management.</w:t>
      </w:r>
    </w:p>
    <w:p>
      <w:pPr>
        <w:pStyle w:val="TextBody"/>
        <w:bidi w:val="0"/>
        <w:spacing w:lineRule="auto" w:line="288" w:before="160" w:after="120"/>
        <w:ind w:left="0" w:right="0" w:hanging="488"/>
        <w:jc w:val="both"/>
        <w:rPr/>
      </w:pPr>
      <w:r>
        <w:rPr>
          <w:color w:val="000000"/>
        </w:rPr>
        <w:t>•</w:t>
      </w:r>
      <w:r>
        <w:rPr>
          <w:rFonts w:ascii="Times New Roman;serif" w:hAnsi="Times New Roman;serif"/>
          <w:b w:val="false"/>
          <w:color w:val="000000"/>
          <w:sz w:val="20"/>
        </w:rPr>
        <w:t>Achieved an important reimbursement milestone for Caldolor</w:t>
      </w:r>
      <w:r>
        <w:rPr>
          <w:rFonts w:ascii="Times New Roman;serif" w:hAnsi="Times New Roman;serif"/>
          <w:b w:val="false"/>
          <w:color w:val="000000"/>
          <w:sz w:val="13"/>
        </w:rPr>
        <w:t>®</w:t>
      </w:r>
      <w:r>
        <w:rPr>
          <w:rFonts w:ascii="Times New Roman;serif" w:hAnsi="Times New Roman;serif"/>
          <w:b w:val="false"/>
          <w:color w:val="000000"/>
          <w:sz w:val="20"/>
        </w:rPr>
        <w:t>, with a CMS issued J-code associated with an established reimbursement price, strengthening its billing pathway and supporting broader hospital adoption.</w:t>
      </w:r>
    </w:p>
    <w:p>
      <w:pPr>
        <w:pStyle w:val="TextBody"/>
        <w:bidi w:val="0"/>
        <w:spacing w:lineRule="auto" w:line="288" w:before="160" w:after="120"/>
        <w:ind w:left="0" w:right="0" w:hanging="488"/>
        <w:jc w:val="both"/>
        <w:rPr/>
      </w:pPr>
      <w:r>
        <w:rPr>
          <w:color w:val="000000"/>
        </w:rPr>
        <w:t>•</w:t>
      </w:r>
      <w:r>
        <w:rPr>
          <w:rFonts w:ascii="Times New Roman;serif" w:hAnsi="Times New Roman;serif"/>
          <w:b w:val="false"/>
          <w:color w:val="000000"/>
          <w:sz w:val="20"/>
        </w:rPr>
        <w:t>Continued to advance and expand Vibativ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internationally, receiving regulatory approval in China and launching the product in Saudi Arabia, extending access to this important antibiotic in global markets.</w:t>
      </w:r>
    </w:p>
    <w:p>
      <w:pPr>
        <w:pStyle w:val="TextBody"/>
        <w:bidi w:val="0"/>
        <w:spacing w:lineRule="auto" w:line="288" w:before="160" w:after="120"/>
        <w:ind w:left="0" w:right="0" w:hanging="488"/>
        <w:jc w:val="both"/>
        <w:rPr/>
      </w:pPr>
      <w:r>
        <w:rPr>
          <w:color w:val="000000"/>
        </w:rPr>
        <w:t>•</w:t>
      </w:r>
      <w:r>
        <w:rPr>
          <w:rFonts w:ascii="Times New Roman;serif" w:hAnsi="Times New Roman;serif"/>
          <w:b w:val="false"/>
          <w:color w:val="000000"/>
          <w:sz w:val="20"/>
        </w:rPr>
        <w:t xml:space="preserve">Received regulatory approval for our ibuprofen product in Mexico, further expanding the product’s international footprint and supporting access to treatment for patients in Latin America. </w:t>
      </w:r>
    </w:p>
    <w:p>
      <w:pPr>
        <w:pStyle w:val="TextBody"/>
        <w:bidi w:val="0"/>
        <w:spacing w:lineRule="auto" w:line="288" w:before="160" w:after="120"/>
        <w:ind w:left="0" w:right="0" w:hanging="488"/>
        <w:jc w:val="both"/>
        <w:rPr/>
      </w:pPr>
      <w:r>
        <w:rPr>
          <w:color w:val="000000"/>
        </w:rPr>
        <w:t>•</w:t>
      </w:r>
      <w:r>
        <w:rPr>
          <w:rFonts w:ascii="Times New Roman;serif" w:hAnsi="Times New Roman;serif"/>
          <w:b w:val="false"/>
          <w:color w:val="000000"/>
          <w:sz w:val="20"/>
        </w:rPr>
        <w:t>Expanded U.S. market access for Vibativ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through new national group purchasing agreements, including contracts with Premier, Inc. and Vizient, improving availability across hospital systems and strengthening the product’s commercial positioning in acute care settings. </w:t>
      </w:r>
    </w:p>
    <w:p>
      <w:pPr>
        <w:pStyle w:val="TextBody"/>
        <w:bidi w:val="0"/>
        <w:spacing w:before="160" w:after="283"/>
        <w:jc w:val="both"/>
        <w:rPr/>
      </w:pPr>
      <w:r>
        <w:rPr/>
      </w:r>
    </w:p>
    <w:p>
      <w:pPr>
        <w:pStyle w:val="TextBody"/>
        <w:bidi w:val="0"/>
        <w:spacing w:before="0" w:after="0"/>
        <w:jc w:val="left"/>
        <w:rPr/>
      </w:pPr>
      <w:r>
        <w:rPr/>
      </w:r>
    </w:p>
    <w:p>
      <w:pPr>
        <w:pStyle w:val="TextBody"/>
        <w:bidi w:val="0"/>
        <w:spacing w:before="160" w:after="283"/>
        <w:ind w:left="0" w:right="0" w:hanging="360"/>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Accounting Estimates and Judgments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(3) valuation of contingent consideration liabilities associated with business combinations and (4) valuation of continuing utility of intangible assets.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and discounts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contract services, grant funding programs and rental income. Other revenue was approximately 9.3% of net revenues in 2025 and 3.5% in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reflect accounts receivable allowances of $0.9 million and $1.1 million at December 31, 2025 and 2024, respectively, for chargebacks and early pay discounts for products. </w:t>
      </w:r>
    </w:p>
    <w:p>
      <w:pPr>
        <w:pStyle w:val="TextBody"/>
        <w:bidi w:val="0"/>
        <w:spacing w:before="160" w:after="283"/>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sales-related accrual activity for the periods indicated below:</w:t>
      </w:r>
    </w:p>
    <w:tbl>
      <w:tblPr>
        <w:tblW w:w="6929"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211"/>
        <w:gridCol w:w="976"/>
        <w:gridCol w:w="109"/>
        <w:gridCol w:w="109"/>
        <w:gridCol w:w="109"/>
        <w:gridCol w:w="109"/>
        <w:gridCol w:w="211"/>
        <w:gridCol w:w="976"/>
        <w:gridCol w:w="109"/>
        <w:gridCol w:w="109"/>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17,917,675 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product returns and credits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(17,977,807)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7,774,079 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7,834,211 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allowances for chargebacks and discounts and sales related accruals for rebates, fee for service and product returns are determined on a product-by-product basis. We establish them using our best estimate at the time of sale based on: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Each product’s historical experience adjusted to reflect known changes in the factors that impact such allowances;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contractual terms with direct and indirect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Analyses of historical levels of chargebacks, discounts and returns of product;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Communications with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Purchased information about the rate of prescriptions being written and the level of inventory remaining in the distribution channel, if known;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Expectations about the market for each product, including any anticipated introduction of competitive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allowances for chargebacks and accruals for rebates and product returns are the most significant estimates used in the recognition of our revenue from product sales. Of the accounts receivable allowances and our sales related accruals, our accrual for product returns and rebates represents the majority of the balance. Sales related accrued liabilities for rebates, product returns, service fees, and administrative fees totaled $7.8 million each as of December 31, 2025 and 2024. Of these amounts, our estimated liability for fee for services represented $1.8 million and $1.5 million, respectively, while our accrual for product returns totaled $3.0 million and $2.7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$0.6 million for the years ended December 31, 2025 and 2024. A change in our product return estimate of one percentage point would have impacted net sales by $0.4 million for the years ended December 31, 2025 and 2024.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2025, in comparison to our expected inventory usage. The amount of actual inventory obsolescence and unmarketable inventory could differ (either higher or lower) in the near term from the estimated amounts. Changes in our estimates would be recorded in our statement of operations in the period of the change.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Non-current inventories consist of active pharmaceutical ingredients which typically have an extended life and selected finished good products with an extended life longer than one year.</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policy with respect to interest and penalties arising from income tax settlements is to recognize them as part of the provision for income taxes.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Share-Based Payments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compensation expense for all share-based payments based on the fair value of the award on the date of grant. In addition, incremental compensation expense is recognized upon the modification of equity awards.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issue restricted stock and incentive stock option awards to employees, directors and consultants. Compensation expense for restricted equity awards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Intangible Assets and Goodwill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Year ended December 31, 2025 compared to year ended December 31, 2024</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statements of operations for the years ended December 31, 2025 and 2024:</w:t>
      </w:r>
    </w:p>
    <w:tbl>
      <w:tblPr>
        <w:tblW w:w="8475" w:type="dxa"/>
        <w:jc w:val="left"/>
        <w:tblInd w:w="0" w:type="dxa"/>
        <w:tblLayout w:type="fixed"/>
        <w:tblCellMar>
          <w:top w:w="28" w:type="dxa"/>
          <w:left w:w="28" w:type="dxa"/>
          <w:bottom w:w="28" w:type="dxa"/>
          <w:right w:w="28" w:type="dxa"/>
        </w:tblCellMar>
      </w:tblPr>
      <w:tblGrid>
        <w:gridCol w:w="1290"/>
        <w:gridCol w:w="1137"/>
        <w:gridCol w:w="1142"/>
        <w:gridCol w:w="211"/>
        <w:gridCol w:w="1081"/>
        <w:gridCol w:w="109"/>
        <w:gridCol w:w="109"/>
        <w:gridCol w:w="109"/>
        <w:gridCol w:w="109"/>
        <w:gridCol w:w="211"/>
        <w:gridCol w:w="1081"/>
        <w:gridCol w:w="109"/>
        <w:gridCol w:w="109"/>
        <w:gridCol w:w="109"/>
        <w:gridCol w:w="109"/>
        <w:gridCol w:w="211"/>
        <w:gridCol w:w="976"/>
        <w:gridCol w:w="109"/>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154" w:type="dxa"/>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impairment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44,300,354 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gain on insurance proceeds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(2,864,711)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(6,443,715)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3,579,004 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revenues for the years presented:</w:t>
      </w:r>
    </w:p>
    <w:tbl>
      <w:tblPr>
        <w:tblW w:w="6417" w:type="dxa"/>
        <w:jc w:val="left"/>
        <w:tblInd w:w="0" w:type="dxa"/>
        <w:tblLayout w:type="fixed"/>
        <w:tblCellMar>
          <w:top w:w="28" w:type="dxa"/>
          <w:left w:w="28" w:type="dxa"/>
          <w:bottom w:w="28" w:type="dxa"/>
          <w:right w:w="28" w:type="dxa"/>
        </w:tblCellMar>
      </w:tblPr>
      <w:tblGrid>
        <w:gridCol w:w="585"/>
        <w:gridCol w:w="513"/>
        <w:gridCol w:w="522"/>
        <w:gridCol w:w="109"/>
        <w:gridCol w:w="109"/>
        <w:gridCol w:w="109"/>
        <w:gridCol w:w="211"/>
        <w:gridCol w:w="1081"/>
        <w:gridCol w:w="109"/>
        <w:gridCol w:w="109"/>
        <w:gridCol w:w="109"/>
        <w:gridCol w:w="109"/>
        <w:gridCol w:w="211"/>
        <w:gridCol w:w="1081"/>
        <w:gridCol w:w="109"/>
        <w:gridCol w:w="211"/>
        <w:gridCol w:w="976"/>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Talicia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44,521,431 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37,867,945 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6,653,486 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pPr>
      <w:r>
        <w:rPr>
          <w:rFonts w:ascii="Times New Roman;serif" w:hAnsi="Times New Roman;serif"/>
          <w:b w:val="false"/>
          <w:i/>
          <w:color w:val="000000"/>
          <w:sz w:val="20"/>
        </w:rPr>
        <w:t>Net revenues.</w:t>
      </w:r>
      <w:r>
        <w:rPr>
          <w:color w:val="000000"/>
        </w:rPr>
        <w:t xml:space="preserve"> </w:t>
      </w:r>
      <w:r>
        <w:rPr>
          <w:rFonts w:ascii="Times New Roman;serif" w:hAnsi="Times New Roman;serif"/>
          <w:b w:val="false"/>
          <w:color w:val="000000"/>
          <w:sz w:val="20"/>
        </w:rPr>
        <w:t xml:space="preserve">Net revenues for the year ended December 31, 2025, were approximately $44.5 million compared to $37.9 million for the year ended December 31, 2024. As detailed in the table above, the increase in net revenues was due to the growth in sales during 2025 for four marketed products: Sancuso, Vibativ, Talicia and Acetadote. </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Sancuso revenue was $11.9 million compared to $9.0 million in the prior year, an increase of $2.9 million or 32.2% for the year ended December 31, 2025. This increase in net revenue was primarily impacted by increased shipments, as well as improvement in product returns in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Vibativ revenue increased to $9.5 million for the year ended December 31, 2025, compared to $7.2 million in the same prior year period. The increase was the result of increased shipments of the product, including the product’s new 4-Pak presentation.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Talicia revenue was $3.3 million for the year ended December 31, 2025. Talicia is a new product added in the fourth quarter of 2025 resulting from our co-commercialization agreement associated with the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Kristalose revenue was $10.5 million for the year ended December 31, 2025, compared to $15.3 million for the year ended December 31, 2024, primarily as a result of decreased shipments of the product associated with increased generic substitution. In fourth quarter of 2025, we introduced our crystalline lactulose Authorized Generic product with initial distribution.</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Caldolor revenue was $4.7 million during the year ended December 31, 2025, compared to $5.0 million in the same period last year. This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Caldolor revenue for the year ended December 31, 2025, w</w:t>
      </w:r>
      <w:r>
        <w:rPr>
          <w:rFonts w:ascii="Times New Roman;serif" w:hAnsi="Times New Roman;serif"/>
          <w:b w:val="false"/>
          <w:color w:val="000000"/>
          <w:sz w:val="20"/>
        </w:rPr>
        <w:t xml:space="preserve">as impacted by a delay in fulfilling an international order.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There was no Vaprisol revenue for the year ended December 31, 2025, </w:t>
      </w:r>
      <w:r>
        <w:rPr>
          <w:rFonts w:ascii="Times New Roman;serif" w:hAnsi="Times New Roman;serif"/>
          <w:b w:val="false"/>
          <w:color w:val="000000"/>
          <w:sz w:val="20"/>
        </w:rPr>
        <w:t xml:space="preserve">as Cumberland is currently out of commercial inventory of the product. Net revenue was negatively impacted by various sales deduction adjustments. </w:t>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Acetadote revenue included net sales of our branded product and our share of net sales from our Authorized Generic. For the year ended December 31, 2025, the Acetadote net revenue was $0.5 million, as compared to $0.2 million from the prior year period. This increase resulted primarily higher sales for our Authorized Generic.</w:t>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discontinued the product Omeclamox-Pak in 2025. Net revenue was positively impacted by various sales deduction adjustments.</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Other revenue was $4.1 million for the year ended December 31, 2025, an increase of $2.8 million compared to the year ended December 31, 2024, primarily due to milestone payments recorded of $3.1 million in payments from our international partners.</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Cost of products sold</w:t>
      </w:r>
      <w:r>
        <w:rPr>
          <w:rFonts w:ascii="Times New Roman;serif" w:hAnsi="Times New Roman;serif"/>
          <w:b w:val="false"/>
          <w:color w:val="000000"/>
          <w:sz w:val="20"/>
        </w:rPr>
        <w:t xml:space="preserve">. Cost of products sold for the year ended December 31, 2025 and 2024, was $6.7 million and $6.6 million remaining consistent year over year. The gross margin for the years ended December 31, 2025 and 2024, were 85.0% and 82.6%, respectively. </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Selling and marketing</w:t>
      </w:r>
      <w:r>
        <w:rPr>
          <w:rFonts w:ascii="Times New Roman;serif" w:hAnsi="Times New Roman;serif"/>
          <w:b w:val="false"/>
          <w:color w:val="000000"/>
          <w:sz w:val="20"/>
        </w:rPr>
        <w:t>. Selling and marketing expense for the year ended December 31, 2025, was $19.1 million compared to $17.0 million in the prior year, which was an increase of $2.1 million. This increase was primarily a result of an increase in royalty expenses and other costs associated with the increase in product sales.</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Research and development costs for the year ended December 31, 2025, were $5.6 million, compared to $4.8 million in the prior year, representing an increase of $0.8 million due primarily to increased FDA fees and manufacturing costs. A portion of our research and development costs is variable based on the number of trials, study sites, number of patients and the cost per patient in each of our clinical programs. We continue to fund our ongoing clinical initiatives associated with our pipeline products.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years ended December 31:</w:t>
      </w:r>
    </w:p>
    <w:tbl>
      <w:tblPr>
        <w:tblW w:w="6495" w:type="dxa"/>
        <w:jc w:val="left"/>
        <w:tblInd w:w="0" w:type="dxa"/>
        <w:tblLayout w:type="fixed"/>
        <w:tblCellMar>
          <w:top w:w="28" w:type="dxa"/>
          <w:left w:w="28" w:type="dxa"/>
          <w:bottom w:w="28" w:type="dxa"/>
          <w:right w:w="28" w:type="dxa"/>
        </w:tblCellMar>
      </w:tblPr>
      <w:tblGrid>
        <w:gridCol w:w="1359"/>
        <w:gridCol w:w="1192"/>
        <w:gridCol w:w="1198"/>
        <w:gridCol w:w="258"/>
        <w:gridCol w:w="462"/>
        <w:gridCol w:w="469"/>
        <w:gridCol w:w="109"/>
        <w:gridCol w:w="109"/>
        <w:gridCol w:w="109"/>
        <w:gridCol w:w="254"/>
        <w:gridCol w:w="403"/>
        <w:gridCol w:w="573"/>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1,454,584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expenses</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1,092,691</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external</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53,037</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expenses</w:t>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2,600,312</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2,014,389</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internal</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expenses</w:t>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2,215,894</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58"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4,816,206</w:t>
            </w:r>
          </w:p>
        </w:tc>
      </w:tr>
    </w:tbl>
    <w:p>
      <w:pPr>
        <w:pStyle w:val="TextBody"/>
        <w:bidi w:val="0"/>
        <w:spacing w:lineRule="auto" w:line="288" w:before="160" w:after="283"/>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expenses for the year ended December 31, 2025, were $11.9 million compared to $11.1 million in the prior year. The increase was due to higher compensation expenses.</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Amortization.</w:t>
      </w:r>
      <w:r>
        <w:rPr>
          <w:color w:val="000000"/>
        </w:rPr>
        <w:t xml:space="preserve"> </w:t>
      </w:r>
      <w:r>
        <w:rPr>
          <w:rFonts w:ascii="Times New Roman;serif" w:hAnsi="Times New Roman;serif"/>
          <w:b w:val="false"/>
          <w:color w:val="000000"/>
          <w:sz w:val="20"/>
        </w:rPr>
        <w:t>Amortization expense represent the ratable use of our capitalized intangible assets including product and license rights, patents, trademarks and patent defense costs. Amortization for 2025 totaled approximately $4.0 million which is a decrease of $0.7 million compared to the same prior year period primarily attributable to an additional amortization expense in 2024 related to the reduction in the valuation of the Acetadote assets.</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xml:space="preserve">. Income taxes expense was $40,256 for the year ended December 31, 2025, compared to a $22,669 tax benefit for the year ended December 31, 2024. </w:t>
      </w:r>
    </w:p>
    <w:p>
      <w:pPr>
        <w:pStyle w:val="TextBody"/>
        <w:bidi w:val="0"/>
        <w:spacing w:lineRule="auto" w:line="288" w:before="160" w:after="283"/>
        <w:ind w:left="0" w:right="0" w:firstLine="360"/>
        <w:jc w:val="both"/>
        <w:rPr/>
      </w:pPr>
      <w:r>
        <w:rPr>
          <w:rFonts w:ascii="Times New Roman;serif" w:hAnsi="Times New Roman;serif"/>
          <w:b w:val="false"/>
          <w:i/>
          <w:color w:val="000000"/>
          <w:sz w:val="20"/>
        </w:rPr>
        <w:t xml:space="preserve">Other income (loss). </w:t>
      </w:r>
      <w:r>
        <w:rPr>
          <w:rFonts w:ascii="Times New Roman;serif" w:hAnsi="Times New Roman;serif"/>
          <w:b w:val="false"/>
          <w:color w:val="000000"/>
          <w:sz w:val="20"/>
        </w:rPr>
        <w:t xml:space="preserve">For the year ended December 31, 2025, we recorded a slight loss on the investment related to THI based on the operating results of that company and our 30% ownership position. For the year ended December 31, 2024, we recognized a gain of $0.2 million for a payout earned on a company owned insurance policy.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the statements of operations discussed above reflect the following impacts from Vibativ:</w:t>
      </w:r>
    </w:p>
    <w:tbl>
      <w:tblPr>
        <w:tblW w:w="6344"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11"/>
        <w:gridCol w:w="1081"/>
        <w:gridCol w:w="109"/>
        <w:gridCol w:w="109"/>
        <w:gridCol w:w="109"/>
        <w:gridCol w:w="109"/>
        <w:gridCol w:w="211"/>
        <w:gridCol w:w="976"/>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revenue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7,583,531 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3,577,178 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2025 net revenue includes a $2,975,000 milestone payment and $14,690 for other product related revenue.</w:t>
      </w:r>
    </w:p>
    <w:p>
      <w:pPr>
        <w:pStyle w:val="TextBody"/>
        <w:bidi w:val="0"/>
        <w:spacing w:lineRule="auto" w:line="288" w:before="160" w:after="283"/>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The Vibativ inventory included in the costs of product sold during the period was acquired and paid for by Cumberland as part of the acquisition of the brand during 2018.</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components of the statements of operations discussed above reflect the following impacts from Sancuso:</w:t>
      </w:r>
    </w:p>
    <w:tbl>
      <w:tblPr>
        <w:tblW w:w="6343"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11"/>
        <w:gridCol w:w="1081"/>
        <w:gridCol w:w="109"/>
        <w:gridCol w:w="109"/>
        <w:gridCol w:w="109"/>
        <w:gridCol w:w="109"/>
        <w:gridCol w:w="211"/>
        <w:gridCol w:w="976"/>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7,226,321 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4,371,364 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Sancuso inventory included in the costs of product sold was acquired and paid for by Cumberland as part of the acquisition of the brand during 2022.</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cash flows provided by our operations, the amounts borrowed and available under our line of credit and the cash proceeds from our initial public offering of common stock that was completed in August 2009 and the cash proceeds from utilizing our ATM program in February 2025. We believe that our internally generated cash flows, existing working capital and our line of credit will be adequate to finance internal growth, finance business development initiatives, and fund capital expenditures for the foreseeable future.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December 31, 2024, all our investments had original maturities of less than ninety days and as a result were classified as cash equivalents.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liquidity and working capital as of the years ended December 31:</w:t>
      </w:r>
    </w:p>
    <w:tbl>
      <w:tblPr>
        <w:tblW w:w="8169" w:type="dxa"/>
        <w:jc w:val="left"/>
        <w:tblInd w:w="0" w:type="dxa"/>
        <w:tblLayout w:type="fixed"/>
        <w:tblCellMar>
          <w:top w:w="28" w:type="dxa"/>
          <w:left w:w="28" w:type="dxa"/>
          <w:bottom w:w="28" w:type="dxa"/>
          <w:right w:w="28" w:type="dxa"/>
        </w:tblCellMar>
      </w:tblPr>
      <w:tblGrid>
        <w:gridCol w:w="1810"/>
        <w:gridCol w:w="1588"/>
        <w:gridCol w:w="1597"/>
        <w:gridCol w:w="211"/>
        <w:gridCol w:w="1081"/>
        <w:gridCol w:w="109"/>
        <w:gridCol w:w="109"/>
        <w:gridCol w:w="109"/>
        <w:gridCol w:w="109"/>
        <w:gridCol w:w="211"/>
        <w:gridCol w:w="108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(current assets less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 (multiple of current assets to current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availability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9,759,267 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4,723,830 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net changes in cash and cash equivalents for the years ended December 31:</w:t>
      </w:r>
    </w:p>
    <w:tbl>
      <w:tblPr>
        <w:tblW w:w="5333" w:type="dxa"/>
        <w:jc w:val="left"/>
        <w:tblInd w:w="0" w:type="dxa"/>
        <w:tblLayout w:type="fixed"/>
        <w:tblCellMar>
          <w:top w:w="28" w:type="dxa"/>
          <w:left w:w="28" w:type="dxa"/>
          <w:bottom w:w="28" w:type="dxa"/>
          <w:right w:w="28" w:type="dxa"/>
        </w:tblCellMar>
      </w:tblPr>
      <w:tblGrid>
        <w:gridCol w:w="858"/>
        <w:gridCol w:w="753"/>
        <w:gridCol w:w="758"/>
        <w:gridCol w:w="211"/>
        <w:gridCol w:w="1051"/>
        <w:gridCol w:w="109"/>
        <w:gridCol w:w="109"/>
        <w:gridCol w:w="109"/>
        <w:gridCol w:w="109"/>
        <w:gridCol w:w="211"/>
        <w:gridCol w:w="90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(6,519,491)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(357,440)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net $6.5 million decrease in cash and cash equivalents for the year ended December 31, 2025, was attributable to cash used in financing and investing activities offset by cash provided by operating activities. </w:t>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of $4.7 million is primarily due to the $2.0 million investment in Talicia and the $2.5 million payments related to the Kindos project.</w:t>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of $6.7 million was primarily due to $10.0 million payments on our line of credit, payments of $1.7 million of contingent consideration for Vibativ and Sancuso, $0.3 million in cash used to repurchase shares of our common stock, partially offset by $5.3 million proceeds from the ATM offering.</w:t>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of $4.9 million was primarily driven by a $6.7 million increase in accounts payable and other current liabilities, a $0.5 million increase in other long</w:t>
        <w:noBreakHyphen/>
        <w:t>term liabilities, and a $1.1 million non</w:t>
        <w:noBreakHyphen/>
        <w:t>cash add</w:t>
        <w:noBreakHyphen/>
        <w:t>back adjustment to net loss. These major sources of cash inflow were partially offset by a $5.2 million increase in accounts receivable and a $0.2 million increase in other current assets and other assets.</w:t>
      </w:r>
    </w:p>
    <w:p>
      <w:pPr>
        <w:pStyle w:val="TextBody"/>
        <w:bidi w:val="0"/>
        <w:spacing w:lineRule="auto" w:line="288" w:before="160" w:after="120"/>
        <w:ind w:left="0" w:right="0" w:firstLine="360"/>
        <w:jc w:val="both"/>
        <w:rPr/>
      </w:pPr>
      <w:r>
        <w:rPr>
          <w:rFonts w:ascii="Times New Roman;serif" w:hAnsi="Times New Roman;serif"/>
          <w:b w:val="false"/>
          <w:color w:val="000000"/>
          <w:sz w:val="20"/>
        </w:rPr>
        <w:t xml:space="preserve">As noted above, we continue to repurchase shares of our common stock, as discussed in Part II, Item 5, </w:t>
      </w:r>
      <w:r>
        <w:rPr>
          <w:rFonts w:ascii="Times New Roman;serif" w:hAnsi="Times New Roman;serif"/>
          <w:b w:val="false"/>
          <w:i/>
          <w:color w:val="000000"/>
          <w:sz w:val="20"/>
        </w:rPr>
        <w:t>"Market for Registrant’s Common Equity, Related Stockholder Matters and Issuer Purchases of Equity Securities",</w:t>
      </w:r>
      <w:r>
        <w:rPr>
          <w:color w:val="000000"/>
        </w:rPr>
        <w:t xml:space="preserve"> </w:t>
      </w:r>
      <w:r>
        <w:rPr>
          <w:rFonts w:ascii="Times New Roman;serif" w:hAnsi="Times New Roman;serif"/>
          <w:b w:val="false"/>
          <w:color w:val="000000"/>
          <w:sz w:val="20"/>
        </w:rPr>
        <w:t>of this Form 10-K. With the ATM offering in February 2025, the repurchase of our common stock ceased in January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$0.4 million decrease in cash and cash equivalents for the year ended December 31, 2024, was attributable to cash used in operating activities offset by cash provided by financing and investing activities. Cash used in operating activities of $0.6 million is primarily due to an increase in accounts receivable of $1.9 million, a decrease in non-cash contingent consideration of $1.5 million, an increase in CSV of life insurance policies over premiums paid of $0.1 million, the gain on insurance proceeds of $0.2 million and a $1.0 million decrease in operating lease liabilities, partially offset by an increase in inventory of $2.4 million and an increase in accounts payable and other accrued liabilities. Cash provided by investing activities less than $0.1 million was the result of more life insurance proceeds received offset by additions of intangibles and property. Cash provided by financing activities of $0.2 million was primarily due to a $2.5 million net borrowing, partially offset by payments of $1.7 million of contingent consideration for Vibativ and Sancuso, and $0.6 million in cash used to repurchase shares of our common stock.</w:t>
      </w:r>
    </w:p>
    <w:p>
      <w:pPr>
        <w:pStyle w:val="TextBody"/>
        <w:bidi w:val="0"/>
        <w:spacing w:lineRule="auto" w:line="288" w:before="160" w:after="120"/>
        <w:jc w:val="both"/>
        <w:rPr>
          <w:rFonts w:ascii="Times New Roman;serif" w:hAnsi="Times New Roman;serif"/>
          <w:b/>
          <w:i/>
          <w:color w:val="000000"/>
          <w:sz w:val="20"/>
        </w:rPr>
      </w:pPr>
      <w:r>
        <w:rPr>
          <w:rFonts w:ascii="Times New Roman;serif" w:hAnsi="Times New Roman;serif"/>
          <w:b/>
          <w:i/>
          <w:color w:val="000000"/>
          <w:sz w:val="20"/>
        </w:rPr>
        <w:t>Shelf Registration</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14, 2023, the Company filed a Shelf Registration on Form S-3 with the SEC associated with the sale of up to $100 million in corporate securities which also was declared effective on December 26, 2023. The Company entered into a Sales Agreement (the “Sales Agreement”) with H.C. Wainwright &amp; Co., LLC (“H.C. Wainwright”) on March 20, 2024, in order to allow the Company to sell shares at market prices. </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5, 2025, the Company utilized the Sales Agreement with H. C. Wainwright and sold 1,000,000 shares of Cumberland’s common shares under the ATM program. These shares sold at a volume weighted average price of $5.4688 per share for aggregate gross proceeds of $5,468,800.</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14, 2025, the Company increased the maximum aggregate offering amount of the shares of the Company’s common stock issuable in the ATM program under the Sales Agreement with H.C. Wainwright for to up to $10 million and filed a prospectus supplement under the Sales Agreement for that aggregate offering amount.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entered into a new Revolving Credit Loan Agreement with Pinnacle Bank. This facility provides for an aggregate principal funding amount of up to $25 million. The initial revolving line of credit was up to $20 million, with the ability for Cumberland to increase the amount to $25 million, under certain conditions. It had a three year term expiring on October 1, 2026. The interest rate is based on Benchmark (Term SOFR) plus a spread of 2.75%. Cumberland was initially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the First Amendment to the Loan Agreement which provided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18, 2025, the Company entered into the First Amendment to the Revolving Credit Note and Second Amendment to the Credit Loan Agreement. The Amendment provides for a principal available for borrowing of up to $15 million. The Company has the right to request an increase of up to an additional $10 million. The aggregate principal funding amount remains unchanged of up to $25 million. The Company is subject to a financial covenant, maintenance of a Minimum Fixed Charge Coverage Ratio determined on a quarterly basis, along with Borrowing Base Requirements, as defined. The Amendment extends the maturity date to October 1, 2027.</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Minimum Product Purchase Requirements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manufacturing and supply agreements do not require minimum annual purchase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Contractual cash obligations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cash obligations as of December 31, 2025:</w:t>
      </w:r>
    </w:p>
    <w:tbl>
      <w:tblPr>
        <w:tblW w:w="11497" w:type="dxa"/>
        <w:jc w:val="left"/>
        <w:tblInd w:w="0" w:type="dxa"/>
        <w:tblLayout w:type="fixed"/>
        <w:tblCellMar>
          <w:top w:w="28" w:type="dxa"/>
          <w:left w:w="28" w:type="dxa"/>
          <w:bottom w:w="28" w:type="dxa"/>
          <w:right w:w="28" w:type="dxa"/>
        </w:tblCellMar>
      </w:tblPr>
      <w:tblGrid>
        <w:gridCol w:w="1266"/>
        <w:gridCol w:w="334"/>
        <w:gridCol w:w="336"/>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Year</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Contractual obligations</w:t>
            </w:r>
            <w:r>
              <w:rPr>
                <w:rFonts w:ascii="Times New Roman;serif" w:hAnsi="Times New Roman;serif"/>
                <w:b/>
                <w:color w:val="000000"/>
                <w:sz w:val="12"/>
              </w:rPr>
              <w:t>(1)</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2030 and after</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Line of credit</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interest on debt </w:t>
            </w:r>
            <w:r>
              <w:rPr>
                <w:rFonts w:ascii="Times New Roman;serif" w:hAnsi="Times New Roman;serif"/>
                <w:b w:val="false"/>
                <w:color w:val="000000"/>
                <w:sz w:val="13"/>
              </w:rPr>
              <w:t>(2)</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Vibativ contingent consideration liability payments </w:t>
            </w:r>
            <w:r>
              <w:rPr>
                <w:rFonts w:ascii="Times New Roman;serif" w:hAnsi="Times New Roman;serif"/>
                <w:b w:val="false"/>
                <w:color w:val="000000"/>
                <w:sz w:val="13"/>
              </w:rPr>
              <w:t>(3)</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Sancuso contingent consideration liability payments </w:t>
            </w:r>
            <w:r>
              <w:rPr>
                <w:rFonts w:ascii="Times New Roman;serif" w:hAnsi="Times New Roman;serif"/>
                <w:b w:val="false"/>
                <w:color w:val="000000"/>
                <w:sz w:val="13"/>
              </w:rPr>
              <w:t>(4)</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liability</w:t>
            </w:r>
            <w:r>
              <w:rPr>
                <w:rFonts w:ascii="Times New Roman;serif" w:hAnsi="Times New Roman;serif"/>
                <w:b w:val="false"/>
                <w:color w:val="000000"/>
                <w:sz w:val="13"/>
              </w:rPr>
              <w:t>(5)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Talicia co-commercialization</w:t>
            </w:r>
            <w:r>
              <w:rPr>
                <w:rFonts w:ascii="Times New Roman;serif" w:hAnsi="Times New Roman;serif"/>
                <w:b w:val="false"/>
                <w:color w:val="000000"/>
                <w:sz w:val="13"/>
              </w:rPr>
              <w:t>(6)</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leases</w:t>
            </w:r>
            <w:r>
              <w:rPr>
                <w:rFonts w:ascii="Times New Roman;serif" w:hAnsi="Times New Roman;serif"/>
                <w:b w:val="false"/>
                <w:color w:val="000000"/>
                <w:sz w:val="13"/>
              </w:rPr>
              <w:t>(7)</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30,184,210 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6,444,504 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9,322,584 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3,468,113 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3,357,571 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7,591,438 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sum of the individual amounts may not agree due to rounding.</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2.The line of credit payments represent the estimated unused line of credit payments and the amount due at maturity. The estimated interest on debt represents the interest on the principal outstanding on the line of credit. These amounts are based on the $5.2 million line of credit assuming the current $5.2 million balance outstanding on December 31, 2025 is consistently outstanding through maturity of October 2027. Interest and unused line of credit payments are due and payable quarterly in arrears. </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contingent consideration liability represents the fair value of the royalty payments of up to 5% of future net sales as part of the Vibativ acquisition.</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contingent consideration liability represents the fair value of the royalty payments of up to 10% of future net sales as part of the Sancuso acquisition.</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other investment liability represents the remaining amount due to THI.</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6.Talicia co-commercialization represents the obligation of up to $2 million for distributing, marketing and sales related costs.</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7.The Broadwest contractual cash obligation began upon commencement in October 2022 and CET began May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and 2024 we did not engage in any off-balance sheet arrangements.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November 2023, the Financial Accounting Standards Board ("FASB") issued final guidance in Accounting Standards Update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which is intended to improve transparency of segment disclosures, primarily 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("Update 2023-09"), which expands income tax disclosure requirements to include additional information related to the rate reconciliation of our effective tax rates to statutory rates as well as additional disaggregation of taxes paid. The amendments in Update 2023-09 also remove disclosures related to certain unrecognized tax benefits and deferred taxes. Update 2023-09 is effective for fiscal years beginning after December 15, 2024, with early adoption permitted. We adopted Update 2023-09 effective for this annual report for the year ended December 31, 2025 on a prospective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7A. Quantitative and Qualitative Disclosures About Market Risk.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on our cash on deposit in highly-liquid money market accounts and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Our investment policy focuses on principal preservation and liquidity.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in marketable securities at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 risk related to borrowings under our line of credit is based on a benchmark (Term SOFR) plus a spread of 2.75%. As of December 31, 2025, we had $5.2 million in borrowings outstanding under our revolving line of credit.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operate primarily in the U.S., we are exposed to foreign currency risk. A portion of our research and development is performed abroad.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losses were immaterial for 2025 and 2024. Neither a five percent increase nor decrease from current exchange rates would have had a material effect on our operating results or financial condition.</w:t>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8. Financial Statements and Supplementary Data.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consolidated financial statements, including the reports of the independent registered public accounting firm, starting on page F-1,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9. Changes in and Disagreements with Accountants on Accounting and Financial Disclosure.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9A.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December 31, 2025.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is recorded, processed, summarized, and reported, within the time periods specified in the SEC’s rules and forms and to ensure that such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 is included on page F-1 of this annual report on Form 10-K, and incorporated herein by reference. During our fourth quarter of 2025, there were no changes in our internal control over financial reporting (as defined in Rule 13a-15(f) or 15d-15(f)) that have materially affected, or are reasonably likely to materially affect, our internal control over financial reporting.</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9B. Other Information.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 Recent Developments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Form 8-K, Item 5.02(e). Compensatory Arrangements of Certain Officers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 March 4, 2026, the Company entered into new employment agreements with each of A.J. Kazimi, our Chief Executive Officer (the “</w:t>
      </w:r>
      <w:r>
        <w:rPr>
          <w:rFonts w:ascii="Times New Roman;serif" w:hAnsi="Times New Roman;serif"/>
          <w:b w:val="false"/>
          <w:color w:val="000000"/>
          <w:sz w:val="20"/>
          <w:u w:val="single"/>
        </w:rPr>
        <w:t>Kazimi Employment Agreement</w:t>
      </w:r>
      <w:r>
        <w:rPr>
          <w:color w:val="000000"/>
        </w:rPr>
        <w:t>”</w:t>
      </w:r>
      <w:r>
        <w:rPr>
          <w:rFonts w:ascii="Times New Roman;serif" w:hAnsi="Times New Roman;serif"/>
          <w:b w:val="false"/>
          <w:color w:val="000000"/>
          <w:sz w:val="20"/>
        </w:rPr>
        <w:t>), Jim Herman, our Vice President Trade and Distribution (the “</w:t>
      </w:r>
      <w:r>
        <w:rPr>
          <w:rFonts w:ascii="Times New Roman;serif" w:hAnsi="Times New Roman;serif"/>
          <w:b w:val="false"/>
          <w:color w:val="000000"/>
          <w:sz w:val="20"/>
          <w:u w:val="single"/>
        </w:rPr>
        <w:t>Herman Employment Agreement</w:t>
      </w:r>
      <w:r>
        <w:rPr>
          <w:color w:val="000000"/>
        </w:rPr>
        <w:t>”</w:t>
      </w:r>
      <w:r>
        <w:rPr>
          <w:rFonts w:ascii="Times New Roman;serif" w:hAnsi="Times New Roman;serif"/>
          <w:b w:val="false"/>
          <w:color w:val="000000"/>
          <w:sz w:val="20"/>
        </w:rPr>
        <w:t>), Todd Anthony, our Vice President Organizational Development (the “Anthony Employment Agreement”), Chris T. Bitterman, Vice President Sales and Marketing (the “Bitterman Employment Agreement”) and John M. Hamm, our Vice President, Chief Financial Officer (the “Hamm</w:t>
      </w:r>
      <w:r>
        <w:rPr>
          <w:color w:val="000000"/>
          <w:u w:val="single"/>
        </w:rPr>
        <w:t xml:space="preserve"> </w:t>
      </w:r>
      <w:r>
        <w:rPr>
          <w:rFonts w:ascii="Times New Roman;serif" w:hAnsi="Times New Roman;serif"/>
          <w:b w:val="false"/>
          <w:color w:val="000000"/>
          <w:sz w:val="20"/>
          <w:u w:val="single"/>
        </w:rPr>
        <w:t>Employment Agreement</w:t>
      </w:r>
      <w:r>
        <w:rPr>
          <w:color w:val="000000"/>
        </w:rPr>
        <w:t>”</w:t>
      </w:r>
      <w:r>
        <w:rPr>
          <w:rFonts w:ascii="Times New Roman;serif" w:hAnsi="Times New Roman;serif"/>
          <w:b w:val="false"/>
          <w:color w:val="000000"/>
          <w:sz w:val="20"/>
        </w:rPr>
        <w:t>), and together with the Kazimi Employment Agreement, the Herman Employment Agreement, the Anthony Employment Agreement, the Bitterman Employment Agreement and the Hamm Employment Agreement, (the “</w:t>
      </w:r>
      <w:r>
        <w:rPr>
          <w:rFonts w:ascii="Times New Roman;serif" w:hAnsi="Times New Roman;serif"/>
          <w:b w:val="false"/>
          <w:color w:val="000000"/>
          <w:sz w:val="20"/>
          <w:u w:val="single"/>
        </w:rPr>
        <w:t>Employment Agreements</w:t>
      </w:r>
      <w:r>
        <w:rPr>
          <w:color w:val="000000"/>
        </w:rPr>
        <w:t>”</w:t>
      </w:r>
      <w:r>
        <w:rPr>
          <w:rFonts w:ascii="Times New Roman;serif" w:hAnsi="Times New Roman;serif"/>
          <w:b w:val="false"/>
          <w:color w:val="000000"/>
          <w:sz w:val="20"/>
        </w:rPr>
        <w:t>). The Employment Agreements were effective as of January 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Employment Agreements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Each Employment Agreement provides for a salary for services performed, a potential annual bonus and a grant of restricted incentive stock options pursuant to a restricted stock agreement.</w:t>
      </w:r>
      <w:r>
        <w:rPr>
          <w:color w:val="000000"/>
        </w:rPr>
        <w:t xml:space="preserve"> </w:t>
      </w:r>
      <w:r>
        <w:rPr>
          <w:rFonts w:ascii="Times New Roman;serif" w:hAnsi="Times New Roman;serif"/>
          <w:b w:val="false"/>
          <w:color w:val="000000"/>
          <w:sz w:val="20"/>
        </w:rPr>
        <w:t>Under the terms of each Employment Agreement, employment is at-will and may be terminated by the Company at any time, with or without notice and with or without cause. Similarly, each of Mr. Kazimi, Mr. Herman, Mr. Anthony, Mr. Bitterman, and Mr. Hamm may terminate his respective employment with us at any time, with or without notice. The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termination or change in control provisions.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Kazimi Employment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Kazimi Employment Agreement, Mr. Kazimi will serve as the Company’s Chief Executive Officer and will receive a base salary of $765,000.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Kazimi Employment Agreement is qualified in its entirety by reference to the Kazimi Employment Agreement, which is included as Exhibit 10.11 to this Annual Report on Form 10-K and is incorporated by reference into this Item. The foregoing description of the Kazimi Employment Agreement does not purport to be complete and is qualified in its entirety by reference to such exhibit.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Herman Employment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Herman Employment Agreement, Mr. Herman will serve as the Company’s Vice President Trade and Distribution and will receive a base salary of $207,000.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Herman Employment Agreement is qualified in its entirety by reference to the Herman Employment Agreement, which is included as Exhibit 10.12 to this Annual Report on Form 10-K and is incorporated by reference into this Item. The foregoing description of the Herman Employment Agreement does not purport to be complete and is qualified in its entirety by reference to such exhibit.</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Anthony Employment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Anthony Employment Agreement, Mr. Anthony will serve as the Company’s Vice President Organizational Development and will receive a base salary of $311,000.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Anthony Employment Agreement is qualified in its entirety by reference to the Anthony Employment Agreement, which is included as Exhibit 10.13 to this Annual Report on Form 10-K and is incorporated by reference into this Item. The foregoing description of the Anthony Employment Agreement does not purport to be complete and is qualified in its entirety by reference to such exhibit.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Bitterman Employment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Bitterman Employment Agreement, Mr. Bitterman will serve as the Company’s Vice President Sales and Marketing and will receive a base salary of $280,000.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Bitterman Employment Agreement is qualified in its entirety by reference to the Bitterman Employment Agreement, which is included as Exhibit 10.14 to this Annual Report on Form 10-K and is incorporated by reference into this Item. The foregoing description of the Bitterman Employment Agreement does not purport to be complete and is qualified in its entirety by reference to such exhibit.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Hamm Employment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Hamm Employment Agreement, Mr. Hamm will serve as the Company’s Vice President, Chief Financial Officer and will receive a base salary of $267,600.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Hamm Employment Agreement is qualified in its entirety by reference to the Hamm Employment Agreement, which is included as Exhibit 10.15 to this Annual Report on Form 10-K and is incorporated by reference into this Item. The foregoing description of the Hamm Employment Agreement does not purport to be complete and is qualified in its entirety by reference to such exhibit.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 Insider Trading Arrangements and Policies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“officer” (as defined in Rule 16a-1(f) under the Exchange Act) of the Company adopted or terminated a “Rule 10b5-1 trading arrangement” or a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Times New Roman;serif" w:hAnsi="Times New Roman;serif"/>
          <w:b/>
          <w:color w:val="000000"/>
          <w:sz w:val="20"/>
          <w:u w:val="single"/>
        </w:rPr>
        <w:t>Item 9C:</w:t>
      </w:r>
      <w:r>
        <w:rPr>
          <w:color w:val="000000"/>
          <w:u w:val="single"/>
        </w:rPr>
        <w:t xml:space="preserve"> </w:t>
      </w:r>
      <w:r>
        <w:rPr>
          <w:rFonts w:ascii="Times New Roman;serif" w:hAnsi="Times New Roman;serif"/>
          <w:b/>
          <w:color w:val="000000"/>
          <w:sz w:val="20"/>
          <w:u w:val="single"/>
        </w:rPr>
        <w:t>Disclosure Regarding Foreign Jurisdictions that Prevent Inspections.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Part III of Form 10-K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Item 14 – Principal Accountant Fees and Services), is incorporated by reference from our proxy statement related to our 2026 annual meeting of shareholders, which is expected to be filed with the SEC on or around 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15. Exhibits, Financial Statement Schedules.</w:t>
      </w:r>
    </w:p>
    <w:p>
      <w:pPr>
        <w:pStyle w:val="TextBody"/>
        <w:bidi w:val="0"/>
        <w:spacing w:lineRule="auto" w:line="288" w:before="16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a.Documents filed as part of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Financial Statements</w:t>
      </w:r>
    </w:p>
    <w:tbl>
      <w:tblPr>
        <w:tblW w:w="10205" w:type="dxa"/>
        <w:jc w:val="left"/>
        <w:tblInd w:w="0" w:type="dxa"/>
        <w:tblLayout w:type="fixed"/>
        <w:tblCellMar>
          <w:top w:w="28" w:type="dxa"/>
          <w:left w:w="28" w:type="dxa"/>
          <w:bottom w:w="28" w:type="dxa"/>
          <w:right w:w="28" w:type="dxa"/>
        </w:tblCellMar>
      </w:tblPr>
      <w:tblGrid>
        <w:gridCol w:w="3139"/>
        <w:gridCol w:w="2765"/>
        <w:gridCol w:w="2771"/>
        <w:gridCol w:w="109"/>
        <w:gridCol w:w="109"/>
        <w:gridCol w:w="109"/>
        <w:gridCol w:w="351"/>
        <w:gridCol w:w="351"/>
        <w:gridCol w:w="501"/>
      </w:tblGrid>
      <w:tr>
        <w:trPr/>
        <w:tc>
          <w:tcPr>
            <w:tcW w:w="313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 Number</w:t>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42">
              <w:r>
                <w:rPr>
                  <w:rStyle w:val="InternetLink"/>
                  <w:rFonts w:ascii="Times New Roman;serif" w:hAnsi="Times New Roman;serif"/>
                  <w:b w:val="false"/>
                  <w:color w:val="0000FF"/>
                  <w:sz w:val="20"/>
                  <w:u w:val="single"/>
                </w:rPr>
                <w:t>Management’s Report on Internal Control over Financial Reporting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38993da2eb0641cabf59aa633c321316_142">
              <w:r>
                <w:rPr>
                  <w:rStyle w:val="InternetLink"/>
                  <w:rFonts w:ascii="Times New Roman;serif" w:hAnsi="Times New Roman;serif"/>
                  <w:b w:val="false"/>
                  <w:color w:val="000080"/>
                  <w:sz w:val="20"/>
                  <w:u w:val="single"/>
                </w:rPr>
                <w:t>1</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 Consolidated Financial Statements - Carr, Riggs &amp; Ingram; Nashville, TN; PCAOB ID: 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48">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38993da2eb0641cabf59aa633c321316_148">
              <w:r>
                <w:rPr>
                  <w:rStyle w:val="InternetLink"/>
                  <w:rFonts w:ascii="Times New Roman;serif" w:hAnsi="Times New Roman;serif"/>
                  <w:b w:val="false"/>
                  <w:color w:val="000080"/>
                  <w:sz w:val="20"/>
                  <w:u w:val="single"/>
                </w:rPr>
                <w:t>4</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51">
              <w:r>
                <w:rPr>
                  <w:rStyle w:val="InternetLink"/>
                  <w:rFonts w:ascii="Times New Roman;serif" w:hAnsi="Times New Roman;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38993da2eb0641cabf59aa633c321316_151">
              <w:r>
                <w:rPr>
                  <w:rStyle w:val="InternetLink"/>
                  <w:rFonts w:ascii="Times New Roman;serif" w:hAnsi="Times New Roman;serif"/>
                  <w:b w:val="false"/>
                  <w:color w:val="000080"/>
                  <w:sz w:val="20"/>
                  <w:u w:val="single"/>
                </w:rPr>
                <w:t>5</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54">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38993da2eb0641cabf59aa633c321316_154">
              <w:r>
                <w:rPr>
                  <w:rStyle w:val="InternetLink"/>
                  <w:rFonts w:ascii="Times New Roman;serif" w:hAnsi="Times New Roman;serif"/>
                  <w:b w:val="false"/>
                  <w:color w:val="000080"/>
                  <w:sz w:val="20"/>
                  <w:u w:val="single"/>
                </w:rPr>
                <w:t>6</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57">
              <w:r>
                <w:rPr>
                  <w:rStyle w:val="InternetLink"/>
                  <w:rFonts w:ascii="Times New Roman;serif" w:hAnsi="Times New Roman;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38993da2eb0641cabf59aa633c321316_157">
              <w:r>
                <w:rPr>
                  <w:rStyle w:val="InternetLink"/>
                  <w:rFonts w:ascii="Times New Roman;serif" w:hAnsi="Times New Roman;serif"/>
                  <w:b w:val="false"/>
                  <w:color w:val="000080"/>
                  <w:sz w:val="20"/>
                  <w:u w:val="single"/>
                </w:rPr>
                <w:t>8</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160">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38993da2eb0641cabf59aa633c321316_160">
              <w:r>
                <w:rPr>
                  <w:rStyle w:val="InternetLink"/>
                  <w:rFonts w:ascii="Times New Roman;serif" w:hAnsi="Times New Roman;serif"/>
                  <w:b w:val="false"/>
                  <w:color w:val="000080"/>
                  <w:sz w:val="20"/>
                  <w:u w:val="single"/>
                </w:rPr>
                <w:t>9</w:t>
              </w:r>
            </w:hyperlink>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w:t>
      </w:r>
    </w:p>
    <w:tbl>
      <w:tblPr>
        <w:tblW w:w="3867" w:type="dxa"/>
        <w:jc w:val="left"/>
        <w:tblInd w:w="0" w:type="dxa"/>
        <w:tblLayout w:type="fixed"/>
        <w:tblCellMar>
          <w:top w:w="28" w:type="dxa"/>
          <w:left w:w="28" w:type="dxa"/>
          <w:bottom w:w="28" w:type="dxa"/>
          <w:right w:w="28" w:type="dxa"/>
        </w:tblCellMar>
      </w:tblPr>
      <w:tblGrid>
        <w:gridCol w:w="1091"/>
        <w:gridCol w:w="959"/>
        <w:gridCol w:w="965"/>
        <w:gridCol w:w="109"/>
        <w:gridCol w:w="109"/>
        <w:gridCol w:w="109"/>
        <w:gridCol w:w="154"/>
        <w:gridCol w:w="154"/>
        <w:gridCol w:w="217"/>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993da2eb0641cabf59aa633c321316_223">
              <w:r>
                <w:rPr>
                  <w:rStyle w:val="InternetLink"/>
                  <w:rFonts w:ascii="Times New Roman;serif" w:hAnsi="Times New Roman;serif"/>
                  <w:b w:val="false"/>
                  <w:color w:val="0000FF"/>
                  <w:sz w:val="20"/>
                  <w:u w:val="single"/>
                </w:rPr>
                <w:t>Valuation and Qualifying Accounts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38993da2eb0641cabf59aa633c321316_223">
              <w:r>
                <w:rPr>
                  <w:rStyle w:val="InternetLink"/>
                  <w:rFonts w:ascii="Times New Roman;serif" w:hAnsi="Times New Roman;serif"/>
                  <w:b w:val="false"/>
                  <w:color w:val="000080"/>
                  <w:sz w:val="20"/>
                  <w:u w:val="single"/>
                </w:rPr>
                <w:t>39</w:t>
              </w:r>
            </w:hyperlink>
          </w:p>
        </w:tc>
      </w:tr>
    </w:tbl>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b.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3"/>
        <w:gridCol w:w="2663"/>
        <w:gridCol w:w="37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Asset Purchase Agreement, dated December 31, 2021, by and between Cumberland Pharmaceuticals Inc. and Kyowa Kirin, Inc., incorporated herein by reference to the corresponding exhibit 2.1 of the Registrant’s Form 8-K (File No. 001- 001-33637) as filed with the SEC on January 6, 2022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Fourth Amended and Restated Charter of Cumberland Pharmaceuticals Inc., incorporated herein by reference to the Registrant’s Annual Report on Form 10-K (File No. 001-33637) as filed with the SEC on March 7, 2025</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Second Amended and Restated Bylaws of Cumberland Pharmaceuticals Inc., incorporated herein by reference to the corresponding exhibit to Amendment No. 19 of the Registrant’s Registration Statement on Form S-1 (File No. 333-142535) as filed with the SEC on July 17, 2009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Specimen Common Stock Certificate of Cumberland Pharmaceuticals Inc., incorporated herein by reference to the corresponding exhibit to Amendment No. 5 of the Registrant’s Registration Statement on Form S-1 (File No. 333-142535) as filed with the SEC on August 6, 2007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Preferred Stock Terms, Rights, and Provisions, incorporated herein by reference to the corresponding exhibit to Registrant's Registration Statement Form S-3 (File No. 333-221402) as filed with the SEC on December 19,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Form of Senior Indenture, incorporated herein by reference to the corresponding exhibit to Registrant's Registration Statement Form S-3 (File No. 333-221402) as filed with the SEC on November 7,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7"/>
        <w:gridCol w:w="208"/>
        <w:gridCol w:w="215"/>
        <w:gridCol w:w="109"/>
        <w:gridCol w:w="109"/>
        <w:gridCol w:w="109"/>
        <w:gridCol w:w="2789"/>
        <w:gridCol w:w="2662"/>
        <w:gridCol w:w="3767"/>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Form of Subordinated Indenture, incorporated herein by reference to the corresponding exhibit to Registrant's Registration Statement Form S-3 (File No. 333-221402) as filed with the SEC on November 7, 2017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Form of Option Agreement under 1999 Stock Option Plan of Cumberland Pharmaceuticals Inc., incorporated herein by reference to the corresponding exhibit to the Registrant’s Registration Statement on Form S-1 (File No. 333-142535) as filed with the SEC on May 1, 2007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Form of Incentive Stock Option Agreement under the Amended and Restated 2007 Long-Term Incentive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Form of Non-Statutory Stock Option Agreement under the Amended and Restated 2007 Long-Term Incentive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Form of Non-Statutory Stock Option Agreement under the Amended and Restated 2007 Directors’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Form of Senior Indenture, incorporated herein by reference to the corresponding exhibit to Registrant's Registration Statement Form S-3 (File No. 333-184091) as filed with the SEC on September 25, 2012.</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Form of Subordinated Indenture, incorporated herein by reference to the corresponding exhibit to Registrant's Registration Statement Form S-3 (File No. 333-184091) as filed with the SEC on September 25, 2012</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Description of Cumberland Pharmaceutical's Common Stock, incorporated herein by reference to the corresponding exhibit to the Registrant's Annual Report on Form 10-K (File No. 001-33637) as filed with the SEC on March 13, 2024.</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Exclusive Distribution Agreement, effective as of July 1, 2010, by and between Cardinal Health 105, Inc. and Cumberland Pharmaceuticals Inc., incorporated herein by reference to the corresponding exhibit of the Registrant’s Current Report on Form 8-K (File No. 001-33637) as filed with the SEC on August 13, 2010</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First Amendment to Exclusive Distribution Agreement, dated March 31, 2013, by and between Cardinal Health 105, Inc. and Cumberland Pharmaceuticals Inc., incorporated herein by reference to the corresponding exhibit of the Registrant's Current Report on Form 8-K (File No. 001-33637) as filed with the SEC on June 3,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License Agreement, dated May 28, 1999, by and between Vanderbilt University and Cumberland Pharmaceuticals Inc., incorporated herein by reference to the corresponding exhibit to Amendment No. 3 of the Registrant’s Registration Statement on Form S-1 (File No. 333-142535) as filed with the SEC on July 11, 2007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1-ajkazimixemployment.htm">
              <w:r>
                <w:rPr>
                  <w:rStyle w:val="InternetLink"/>
                  <w:rFonts w:ascii="Times New Roman;serif" w:hAnsi="Times New Roman;serif"/>
                  <w:b w:val="false"/>
                  <w:color w:val="000080"/>
                  <w:sz w:val="20"/>
                  <w:u w:val="single"/>
                </w:rPr>
                <w:t>Employment Agreement dated March 4, 202</w:t>
              </w:r>
            </w:hyperlink>
            <w:hyperlink w:anchor="ex1011-ajkazimixemployment.htm">
              <w:r>
                <w:rPr>
                  <w:rStyle w:val="InternetLink"/>
                  <w:rFonts w:ascii="Times New Roman;serif" w:hAnsi="Times New Roman;serif"/>
                  <w:b w:val="false"/>
                  <w:color w:val="000080"/>
                  <w:sz w:val="20"/>
                  <w:u w:val="single"/>
                </w:rPr>
                <w:t>6</w:t>
              </w:r>
            </w:hyperlink>
            <w:hyperlink w:anchor="ex1011-ajkazimixemployment.htm">
              <w:r>
                <w:rPr>
                  <w:rStyle w:val="InternetLink"/>
                  <w:rFonts w:ascii="Times New Roman;serif" w:hAnsi="Times New Roman;serif"/>
                  <w:b w:val="false"/>
                  <w:color w:val="000080"/>
                  <w:sz w:val="20"/>
                  <w:u w:val="single"/>
                </w:rPr>
                <w:t>, effective as of January 1, 202</w:t>
              </w:r>
            </w:hyperlink>
            <w:hyperlink w:anchor="ex1011-ajkazimixemployment.htm">
              <w:r>
                <w:rPr>
                  <w:rStyle w:val="InternetLink"/>
                  <w:rFonts w:ascii="Times New Roman;serif" w:hAnsi="Times New Roman;serif"/>
                  <w:b w:val="false"/>
                  <w:color w:val="000080"/>
                  <w:sz w:val="20"/>
                  <w:u w:val="single"/>
                </w:rPr>
                <w:t>6</w:t>
              </w:r>
            </w:hyperlink>
            <w:hyperlink w:anchor="ex1011-ajkazimixemployment.htm">
              <w:r>
                <w:rPr>
                  <w:rStyle w:val="InternetLink"/>
                  <w:rFonts w:ascii="Times New Roman;serif" w:hAnsi="Times New Roman;serif"/>
                  <w:b w:val="false"/>
                  <w:color w:val="000080"/>
                  <w:sz w:val="20"/>
                  <w:u w:val="single"/>
                </w:rPr>
                <w:t>, by and between A.J. Kazimi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2-jimhermanxemploymen.htm">
              <w:r>
                <w:rPr>
                  <w:rStyle w:val="InternetLink"/>
                  <w:rFonts w:ascii="Times New Roman;serif" w:hAnsi="Times New Roman;serif"/>
                  <w:b w:val="false"/>
                  <w:color w:val="000080"/>
                  <w:sz w:val="20"/>
                  <w:u w:val="single"/>
                </w:rPr>
                <w:t>Employment Agreement dated March 4, 202</w:t>
              </w:r>
            </w:hyperlink>
            <w:hyperlink w:anchor="ex1012-jimhermanxemploymen.htm">
              <w:r>
                <w:rPr>
                  <w:rStyle w:val="InternetLink"/>
                  <w:rFonts w:ascii="Times New Roman;serif" w:hAnsi="Times New Roman;serif"/>
                  <w:b w:val="false"/>
                  <w:color w:val="000080"/>
                  <w:sz w:val="20"/>
                  <w:u w:val="single"/>
                </w:rPr>
                <w:t>6</w:t>
              </w:r>
            </w:hyperlink>
            <w:hyperlink w:anchor="ex1012-jimhermanxemploymen.htm">
              <w:r>
                <w:rPr>
                  <w:rStyle w:val="InternetLink"/>
                  <w:rFonts w:ascii="Times New Roman;serif" w:hAnsi="Times New Roman;serif"/>
                  <w:b w:val="false"/>
                  <w:color w:val="000080"/>
                  <w:sz w:val="20"/>
                  <w:u w:val="single"/>
                </w:rPr>
                <w:t>, effective as of January 1, 202</w:t>
              </w:r>
            </w:hyperlink>
            <w:hyperlink w:anchor="ex1012-jimhermanxemploymen.htm">
              <w:r>
                <w:rPr>
                  <w:rStyle w:val="InternetLink"/>
                  <w:rFonts w:ascii="Times New Roman;serif" w:hAnsi="Times New Roman;serif"/>
                  <w:b w:val="false"/>
                  <w:color w:val="000080"/>
                  <w:sz w:val="20"/>
                  <w:u w:val="single"/>
                </w:rPr>
                <w:t>6</w:t>
              </w:r>
            </w:hyperlink>
            <w:hyperlink w:anchor="ex1012-jimhermanxemploymen.htm">
              <w:r>
                <w:rPr>
                  <w:rStyle w:val="InternetLink"/>
                  <w:rFonts w:ascii="Times New Roman;serif" w:hAnsi="Times New Roman;serif"/>
                  <w:b w:val="false"/>
                  <w:color w:val="000080"/>
                  <w:sz w:val="20"/>
                  <w:u w:val="single"/>
                </w:rPr>
                <w:t>, by and between Jim Herman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3-toddanthonyxemploym.htm">
              <w:r>
                <w:rPr>
                  <w:rStyle w:val="InternetLink"/>
                  <w:rFonts w:ascii="Times New Roman;serif" w:hAnsi="Times New Roman;serif"/>
                  <w:b w:val="false"/>
                  <w:color w:val="000080"/>
                  <w:sz w:val="20"/>
                  <w:u w:val="single"/>
                </w:rPr>
                <w:t>Employment Agreement dated March 4, 202</w:t>
              </w:r>
            </w:hyperlink>
            <w:hyperlink w:anchor="ex1013-toddanthonyxemploym.htm">
              <w:r>
                <w:rPr>
                  <w:rStyle w:val="InternetLink"/>
                  <w:rFonts w:ascii="Times New Roman;serif" w:hAnsi="Times New Roman;serif"/>
                  <w:b w:val="false"/>
                  <w:color w:val="000080"/>
                  <w:sz w:val="20"/>
                  <w:u w:val="single"/>
                </w:rPr>
                <w:t>6</w:t>
              </w:r>
            </w:hyperlink>
            <w:hyperlink w:anchor="ex1013-toddanthonyxemploym.htm">
              <w:r>
                <w:rPr>
                  <w:rStyle w:val="InternetLink"/>
                  <w:rFonts w:ascii="Times New Roman;serif" w:hAnsi="Times New Roman;serif"/>
                  <w:b w:val="false"/>
                  <w:color w:val="000080"/>
                  <w:sz w:val="20"/>
                  <w:u w:val="single"/>
                </w:rPr>
                <w:t>, effective as of January 1, 202</w:t>
              </w:r>
            </w:hyperlink>
            <w:hyperlink w:anchor="ex1013-toddanthonyxemploym.htm">
              <w:r>
                <w:rPr>
                  <w:rStyle w:val="InternetLink"/>
                  <w:rFonts w:ascii="Times New Roman;serif" w:hAnsi="Times New Roman;serif"/>
                  <w:b w:val="false"/>
                  <w:color w:val="000080"/>
                  <w:sz w:val="20"/>
                  <w:u w:val="single"/>
                </w:rPr>
                <w:t>6</w:t>
              </w:r>
            </w:hyperlink>
            <w:hyperlink w:anchor="ex1013-toddanthonyxemploym.htm">
              <w:r>
                <w:rPr>
                  <w:rStyle w:val="InternetLink"/>
                  <w:rFonts w:ascii="Times New Roman;serif" w:hAnsi="Times New Roman;serif"/>
                  <w:b w:val="false"/>
                  <w:color w:val="000080"/>
                  <w:sz w:val="20"/>
                  <w:u w:val="single"/>
                </w:rPr>
                <w:t>, by and between Todd Anthony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4-chrisbittermanxempl.htm">
              <w:r>
                <w:rPr>
                  <w:rStyle w:val="InternetLink"/>
                  <w:rFonts w:ascii="Times New Roman;serif" w:hAnsi="Times New Roman;serif"/>
                  <w:b w:val="false"/>
                  <w:color w:val="000080"/>
                  <w:sz w:val="20"/>
                  <w:u w:val="single"/>
                </w:rPr>
                <w:t>Employment Agreement dated March 4, 202</w:t>
              </w:r>
            </w:hyperlink>
            <w:hyperlink w:anchor="ex1014-chrisbittermanxempl.htm">
              <w:r>
                <w:rPr>
                  <w:rStyle w:val="InternetLink"/>
                  <w:rFonts w:ascii="Times New Roman;serif" w:hAnsi="Times New Roman;serif"/>
                  <w:b w:val="false"/>
                  <w:color w:val="000080"/>
                  <w:sz w:val="20"/>
                  <w:u w:val="single"/>
                </w:rPr>
                <w:t>6</w:t>
              </w:r>
            </w:hyperlink>
            <w:hyperlink w:anchor="ex1014-chrisbittermanxempl.htm">
              <w:r>
                <w:rPr>
                  <w:rStyle w:val="InternetLink"/>
                  <w:rFonts w:ascii="Times New Roman;serif" w:hAnsi="Times New Roman;serif"/>
                  <w:b w:val="false"/>
                  <w:color w:val="000080"/>
                  <w:sz w:val="20"/>
                  <w:u w:val="single"/>
                </w:rPr>
                <w:t>, effective as of January 1, 202</w:t>
              </w:r>
            </w:hyperlink>
            <w:hyperlink w:anchor="ex1014-chrisbittermanxempl.htm">
              <w:r>
                <w:rPr>
                  <w:rStyle w:val="InternetLink"/>
                  <w:rFonts w:ascii="Times New Roman;serif" w:hAnsi="Times New Roman;serif"/>
                  <w:b w:val="false"/>
                  <w:color w:val="000080"/>
                  <w:sz w:val="20"/>
                  <w:u w:val="single"/>
                </w:rPr>
                <w:t>6</w:t>
              </w:r>
            </w:hyperlink>
            <w:hyperlink w:anchor="ex1014-chrisbittermanxempl.htm">
              <w:r>
                <w:rPr>
                  <w:rStyle w:val="InternetLink"/>
                  <w:rFonts w:ascii="Times New Roman;serif" w:hAnsi="Times New Roman;serif"/>
                  <w:b w:val="false"/>
                  <w:color w:val="000080"/>
                  <w:sz w:val="20"/>
                  <w:u w:val="single"/>
                </w:rPr>
                <w:t>, by and between Chris Bitterman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713"/>
        <w:gridCol w:w="2713"/>
        <w:gridCol w:w="3838"/>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5-johnhammxemployment.htm">
              <w:r>
                <w:rPr>
                  <w:rStyle w:val="InternetLink"/>
                  <w:rFonts w:ascii="Times New Roman;serif" w:hAnsi="Times New Roman;serif"/>
                  <w:b w:val="false"/>
                  <w:color w:val="000080"/>
                  <w:sz w:val="20"/>
                  <w:u w:val="single"/>
                </w:rPr>
                <w:t>Employment Agreement dated March 4, 202</w:t>
              </w:r>
            </w:hyperlink>
            <w:hyperlink w:anchor="ex1015-johnhammxemployment.htm">
              <w:r>
                <w:rPr>
                  <w:rStyle w:val="InternetLink"/>
                  <w:rFonts w:ascii="Times New Roman;serif" w:hAnsi="Times New Roman;serif"/>
                  <w:b w:val="false"/>
                  <w:color w:val="000080"/>
                  <w:sz w:val="20"/>
                  <w:u w:val="single"/>
                </w:rPr>
                <w:t>6</w:t>
              </w:r>
            </w:hyperlink>
            <w:hyperlink w:anchor="ex1015-johnhammxemployment.htm">
              <w:r>
                <w:rPr>
                  <w:rStyle w:val="InternetLink"/>
                  <w:rFonts w:ascii="Times New Roman;serif" w:hAnsi="Times New Roman;serif"/>
                  <w:b w:val="false"/>
                  <w:color w:val="000080"/>
                  <w:sz w:val="20"/>
                  <w:u w:val="single"/>
                </w:rPr>
                <w:t>, effective as of January 1, 202</w:t>
              </w:r>
            </w:hyperlink>
            <w:hyperlink w:anchor="ex1015-johnhammxemployment.htm">
              <w:r>
                <w:rPr>
                  <w:rStyle w:val="InternetLink"/>
                  <w:rFonts w:ascii="Times New Roman;serif" w:hAnsi="Times New Roman;serif"/>
                  <w:b w:val="false"/>
                  <w:color w:val="000080"/>
                  <w:sz w:val="20"/>
                  <w:u w:val="single"/>
                </w:rPr>
                <w:t>6</w:t>
              </w:r>
            </w:hyperlink>
            <w:hyperlink w:anchor="ex1015-johnhammxemployment.htm">
              <w:r>
                <w:rPr>
                  <w:rStyle w:val="InternetLink"/>
                  <w:rFonts w:ascii="Times New Roman;serif" w:hAnsi="Times New Roman;serif"/>
                  <w:b w:val="false"/>
                  <w:color w:val="000080"/>
                  <w:sz w:val="20"/>
                  <w:u w:val="single"/>
                </w:rPr>
                <w:t>, by and between John M. Hamm and Cumberland Pharmaceuticals Inc.</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1999 Stock Option Plan of Cumberland Pharmaceuticals Inc., incorporated herein by reference to the corresponding exhibit to the Registrant’s Registration Statement on Form S-1 (File No. 333-142535) as filed with the SEC on May 1, 2007</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 xml:space="preserve">Amended and Restated 2007 Long-Term Incentive Compensation Plan of Cumberland Pharmaceuticals Inc., incorporated herein by reference to Appendix A of the Registrant’s Schedule 14A as filed with the SEC on March 12, 2012 and approved by the Registrant's shareholders on April 17, 2012 </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Amended and Restated 2007 Directors’ Incentive Plan of Cumberland Pharmaceuticals Inc., incorporated herein by reference to Appendix B of the Registrant's Schedule 14A as filed with the SEC on March 12, 2012 and approved by the Registrant's shareholders on April 17, 2012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Form of Indemnification Agreement between Cumberland Pharmaceuticals Inc. and all members of its Board of Directors, incorporated herein by reference to the corresponding exhibit to the Registrant’s Registration Statement on Form S-1 (File No. 333-142535) as filed with the SEC on May 1, 2007</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Amended and Restated Lease Agreement, dated November 11, 2004, by and between The Gateway to Nashville LLC and Cumberland Emerging Technologies, Inc., incorporated herein by reference to the corresponding exhibit to the Registrant’s Registration Statement on Form S-1 (File No. 333-142535) as filed with the SEC on May 1, 2007</w:t>
              </w:r>
            </w:hyperlink>
          </w:p>
        </w:tc>
      </w:tr>
    </w:tbl>
    <w:tbl>
      <w:tblPr>
        <w:tblW w:w="10205" w:type="dxa"/>
        <w:jc w:val="left"/>
        <w:tblInd w:w="0" w:type="dxa"/>
        <w:tblLayout w:type="fixed"/>
        <w:tblCellMar>
          <w:top w:w="28" w:type="dxa"/>
          <w:left w:w="28" w:type="dxa"/>
          <w:bottom w:w="28" w:type="dxa"/>
          <w:right w:w="28" w:type="dxa"/>
        </w:tblCellMar>
      </w:tblPr>
      <w:tblGrid>
        <w:gridCol w:w="275"/>
        <w:gridCol w:w="241"/>
        <w:gridCol w:w="245"/>
        <w:gridCol w:w="109"/>
        <w:gridCol w:w="109"/>
        <w:gridCol w:w="109"/>
        <w:gridCol w:w="2749"/>
        <w:gridCol w:w="2637"/>
        <w:gridCol w:w="3731"/>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First Amendment to Amended and Restated Lease Agreement, dated August 23, 2005, by and between The Gateway to Nashville LLC and Cumberland Emerging Technologies, Inc., incorporated herein by reference to the corresponding exhibit to the Registrant’s Registration Statement on Form S-1 (File No. 333-142535) as filed with the SEC on May 1, 2007</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Second Amendment to Amended and Restated Lease Agreement, dated January 9, 2006, by and between The Gateway to Nashville LLC and Cumberland Emerging Technologies, Inc., incorporated herein by reference to the corresponding exhibit to Amendment No. 10 of the Registrant’s Registration Statement on Form S-1 (File No. 333-142535) as filed with the SEC on May 21, 2008</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Third Amendment to Amended and Restated Lease Agreement, dated July 3, 2012, by and between The Gateway to Nashville LLC and Cumberland Emerging Technologies, Inc., incorporated herein by reference to the corresponding exhibit to the Registrant's Quarterly Report on Form 10-Q (File No. 001-33637) as filed with the SEC on August 9, 2012</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7" w:type="dxa"/>
            <w:gridSpan w:val="3"/>
            <w:tcBorders/>
            <w:vAlign w:val="center"/>
          </w:tcPr>
          <w:p>
            <w:pPr>
              <w:pStyle w:val="TableContents"/>
              <w:bidi w:val="0"/>
              <w:spacing w:before="0" w:after="283"/>
              <w:jc w:val="left"/>
              <w:rPr>
                <w:sz w:val="4"/>
                <w:szCs w:val="4"/>
              </w:rPr>
            </w:pPr>
            <w:r>
              <w:rPr>
                <w:sz w:val="4"/>
                <w:szCs w:val="4"/>
              </w:rPr>
            </w:r>
          </w:p>
        </w:tc>
      </w:tr>
      <w:tr>
        <w:trPr/>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7" w:type="dxa"/>
            <w:gridSpan w:val="3"/>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Asset Purchase and Royalty Agreement for Kristalose dated November 15, 2011 by and between Mylan Inc. and Cumberland Pharmaceuticals Inc., incorporated herein by reference to the corresponding exhibit of the Registrant’s Current Report on Form 8-K (File No. 001-33637) as filed with the SEC on November 22, 2011</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Supplemental Executive Retirement and Savings Plan, incorporated herein by reference to the corresponding exhibit to the Registrant's Current Report on Form 8-K (File No. 001-33637) as filed with the SEC on May 24, 2012</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Settlement Agreement, dated November 9, 2012, by and between Cumberland Pharmaceuticals Inc., Paddock Laboratories, LLC and Perrigo Company incorporated herein by reference to the corresponding exhibit to the Registrant’s Annual Report on Form 10-K (File No. 001-33637) as filed with the SEC on March 12, 2013</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License and Supply Agreement, dated November 9, 2012, by and between Cumberland Pharmaceuticals Inc., Paddock Laboratories, LLC and Perrigo Company incorporated herein by reference to the corresponding exhibit to the Registrant’s Annual Report on Form 10-K (File No. 001-33637) as filed with the SEC on March 12, 2013</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1"/>
        <w:gridCol w:w="194"/>
        <w:gridCol w:w="196"/>
        <w:gridCol w:w="109"/>
        <w:gridCol w:w="109"/>
        <w:gridCol w:w="109"/>
        <w:gridCol w:w="2887"/>
        <w:gridCol w:w="2640"/>
        <w:gridCol w:w="3740"/>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Amendment Number 2 to the Amended and Restated 2007 Long-Term Incentive Plan, incorporated herein by reference to Exhibit 10.1 of the Registrant’s Quarterly Report on Form 10-Q (File No. 001-33637) as filed with the SEC on August 14, 2020</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Amendment Number 2 to the Amended and Restated 2007 Directors’ Incentive Compensation Plan, incorporated herein by reference to Exhibit 10.2 of the Registrant’s Quarterly Report on Form 10-Q (File No. 001-33637) as filed with the SEC on August 14, 2020</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Lease Agreement, dated November 15, 2021, by and between Cumberland Pharmaceuticals Inc. and 1600 West End Avenue Partners, LLC., incorporated herein by reference to the corresponding exhibit of the Registrant’s Annual Report on Form 10-K (File No. 001-33637) as filed with the SEC on March 11, 2022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Amendment Number 3 to the Amended and Restated 2007 Long-Term Incentive Compensation Plan, incorporated herein by reference to Exhibit 10.1 of the Company’s Quarterly Report on Form 10-Q (File No.: 001-33637) as filed with the SEC on August 11, 2023</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Sales Agreement, dated March 20, 2024, by and between Cumberland Pharmaceuticals Inc. and H.C. Wainwright &amp; Co., LLC, incorporated herein by reference to Exhibit 1.1 of the Company’s Form 8-K (File No:001-33637) as filed with the SEC on March 20, 2024</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Revolving Credit Loan Agreement, dated as of September 5, 2023, by and between Cumberland Pharmaceuticals Inc. and Pinnacle Bank, incorporated herein by reference to Exhibit 10.1 of the Company’s Form 8-K (File No.: 001-33637) as filed with the SEC on September 6, 2023</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First Amendment to Amended and Restated Revolving Credit Loan Agreement, dated March 31, 2024, by and between Cumberland Pharmaceuticals Inc. and Pinnacle Bank, incorporated herein by reference to Exhibit 10.6 of the Company's Quarterly Report on Form 10-Q (File No. 001-33637)) as filed with the SEC on May 10, 2024</w:t>
              </w:r>
            </w:hyperlink>
          </w:p>
          <w:p>
            <w:pPr>
              <w:pStyle w:val="TableContents"/>
              <w:bidi w:val="0"/>
              <w:spacing w:before="0" w:after="0"/>
              <w:jc w:val="both"/>
              <w:rPr/>
            </w:pPr>
            <w:r>
              <w:rPr/>
            </w:r>
          </w:p>
          <w:p>
            <w:pPr>
              <w:pStyle w:val="TableContents"/>
              <w:bidi w:val="0"/>
              <w:spacing w:before="0" w:after="0"/>
              <w:jc w:val="both"/>
              <w:rPr/>
            </w:pPr>
            <w:r>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First Amendment to Amended and Restated Revolving Credit Note and Second Amendment to Amended and Restated Revolving Credit Loan Agreement, dated as of November 12, 2025, by and between Cumberland Pharmaceuticals Inc. and Pinnacle Bank, incorporated herein by reference to Exhibit 10.1 to the Registrant’s Form 8-K (File No. 001-33637) as filed with the SEC on November 24, 2025</w:t>
              </w:r>
            </w:hyperlink>
          </w:p>
        </w:tc>
      </w:tr>
    </w:tbl>
    <w:tbl>
      <w:tblPr>
        <w:tblW w:w="10205" w:type="dxa"/>
        <w:jc w:val="left"/>
        <w:tblInd w:w="0" w:type="dxa"/>
        <w:tblLayout w:type="fixed"/>
        <w:tblCellMar>
          <w:top w:w="28" w:type="dxa"/>
          <w:left w:w="28" w:type="dxa"/>
          <w:bottom w:w="28" w:type="dxa"/>
          <w:right w:w="28" w:type="dxa"/>
        </w:tblCellMar>
      </w:tblPr>
      <w:tblGrid>
        <w:gridCol w:w="205"/>
        <w:gridCol w:w="180"/>
        <w:gridCol w:w="182"/>
        <w:gridCol w:w="109"/>
        <w:gridCol w:w="109"/>
        <w:gridCol w:w="109"/>
        <w:gridCol w:w="2788"/>
        <w:gridCol w:w="2701"/>
        <w:gridCol w:w="3822"/>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Insider Trading Policy, incorporated herein by reference to the corresponding exhibit to the Registrant’s Annual Report on Form 10-K (File No. 001-33637) as filed with the SEC on March 7, 2025</w:t>
              </w:r>
            </w:hyperlink>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Subsidiaries of Cumberland Pharmaceuticals Inc., incorporated herein by reference to the corresponding exhibit to the Registrant’s Registration Statement on Form S-1 (File No. 333-142535) as filed with the SEC on May 1, 2007</w:t>
              </w:r>
            </w:hyperlink>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12025consentofaccountin.htm">
              <w:r>
                <w:rPr>
                  <w:rStyle w:val="InternetLink"/>
                  <w:rFonts w:ascii="Times New Roman;serif" w:hAnsi="Times New Roman;serif"/>
                  <w:b w:val="false"/>
                  <w:color w:val="0000FF"/>
                  <w:sz w:val="20"/>
                  <w:u w:val="single"/>
                </w:rPr>
                <w:t>Consent of Carr, Riggs &amp; Ingram, LLC</w:t>
              </w:r>
            </w:hyperlink>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10kxexhibit311.htm">
              <w:r>
                <w:rPr>
                  <w:rStyle w:val="InternetLink"/>
                  <w:rFonts w:ascii="Times New Roman;serif" w:hAnsi="Times New Roman;serif"/>
                  <w:b w:val="false"/>
                  <w:color w:val="0000FF"/>
                  <w:sz w:val="20"/>
                  <w:u w:val="single"/>
                </w:rPr>
                <w:t>Certification of Chief Executive Officer Pursuant to Rule 13-14(a) of the Securities Exchange Act of 1934 as Adopted Pursuant to Section 302 of the Sarbanes-Oxley Act of 2002</w:t>
              </w:r>
            </w:hyperlink>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10kxexhibit312.htm">
              <w:r>
                <w:rPr>
                  <w:rStyle w:val="InternetLink"/>
                  <w:rFonts w:ascii="Times New Roman;serif" w:hAnsi="Times New Roman;serif"/>
                  <w:b w:val="false"/>
                  <w:color w:val="0000FF"/>
                  <w:sz w:val="20"/>
                  <w:u w:val="single"/>
                </w:rPr>
                <w:t>Certification of Chief Financial Officer Pursuant to Rule 13-14(a) of the Securities Exchange Act of 1934 as Adopted Pursuant to Section 302 of the Sarbanes-Oxley Act of 2002</w:t>
              </w:r>
            </w:hyperlink>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10kxexhibit321.htm">
              <w:r>
                <w:rPr>
                  <w:rStyle w:val="InternetLink"/>
                  <w:rFonts w:ascii="Times New Roman;serif" w:hAnsi="Times New Roman;serif"/>
                  <w:b w:val="false"/>
                  <w:color w:val="0000FF"/>
                  <w:sz w:val="20"/>
                  <w:u w:val="single"/>
                </w:rPr>
                <w:t>Certification of Chief Financial Officer Pursuant to Rule 13-14(a) of the Securities Exchange Act of 1934 as Adopted Pursuant to Section 302 of the Sarbanes-Oxley Act of 2002</w:t>
              </w:r>
            </w:hyperlink>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u w:val="single"/>
                </w:rPr>
                <w:t>Policy for the Recovery of Previously Awarded Incentive Compensation, incorporated herein by reference to the corresponding exhibit of the Registrant’s Annual Report on Form 10-K (File No. 001-33637) as filed with the SEC on March 13,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
        <w:gridCol w:w="200"/>
        <w:gridCol w:w="203"/>
        <w:gridCol w:w="109"/>
        <w:gridCol w:w="109"/>
        <w:gridCol w:w="109"/>
        <w:gridCol w:w="2749"/>
        <w:gridCol w:w="2667"/>
        <w:gridCol w:w="3789"/>
      </w:tblGrid>
      <w:tr>
        <w:trPr/>
        <w:tc>
          <w:tcPr>
            <w:tcW w:w="2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1020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851"/>
        <w:gridCol w:w="2764"/>
        <w:gridCol w:w="391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Confidential treatment has been granted for portions of this exhibit. These portions have been omitted from the Registration Statement and submitted separately to the Securities and Exchange Commission.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Confidential treatment has been requested for portions of this exhibit. These portions have been omitted from the Registration Statement and submitted separately to the Securities and Exchange Commission.</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have been omitted pursuant to Item 601(b)(2) of Regulation S-K. A copy of any omitted schedule will be furnished supplementally to the U.S. Securities and Exchange Commission upon request, provided, however, that the parties may request confidential treatment pursuant to Rule 24b-2 of the Securities Exchange Act of 1934, as amended for any document so furnished.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16. Form 10-K Summary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Registrants may voluntarily include a summary of information required by Form 10-K under this Item 16. The Company has elected not to include such summary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March 6, 2026.</w:t>
      </w:r>
    </w:p>
    <w:tbl>
      <w:tblPr>
        <w:tblW w:w="383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03"/>
        <w:gridCol w:w="903"/>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Cumberland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 J. Kazimi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J. Kazimi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628" w:type="dxa"/>
        <w:jc w:val="left"/>
        <w:tblInd w:w="0" w:type="dxa"/>
        <w:tblLayout w:type="fixed"/>
        <w:tblCellMar>
          <w:top w:w="28" w:type="dxa"/>
          <w:left w:w="28" w:type="dxa"/>
          <w:bottom w:w="28" w:type="dxa"/>
          <w:right w:w="28" w:type="dxa"/>
        </w:tblCellMar>
      </w:tblPr>
      <w:tblGrid>
        <w:gridCol w:w="753"/>
        <w:gridCol w:w="664"/>
        <w:gridCol w:w="668"/>
        <w:gridCol w:w="109"/>
        <w:gridCol w:w="109"/>
        <w:gridCol w:w="109"/>
        <w:gridCol w:w="1179"/>
        <w:gridCol w:w="1179"/>
        <w:gridCol w:w="1196"/>
        <w:gridCol w:w="109"/>
        <w:gridCol w:w="109"/>
        <w:gridCol w:w="109"/>
        <w:gridCol w:w="389"/>
        <w:gridCol w:w="389"/>
        <w:gridCol w:w="557"/>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(Principal Financial and</w:t>
            </w:r>
            <w:r>
              <w:rPr>
                <w:color w:val="000000"/>
              </w:rPr>
              <w:t xml:space="preserve">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1662" w:type="dxa"/>
            <w:gridSpan w:val="6"/>
            <w:tcBorders/>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Caroline R.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Caroline R. Young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management of Cumberland Pharmaceuticals Inc. and its subsidiaries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Company’s management assessed the effectiveness of the Company’s internal control over financial reporting as of December 31, 2025. In making this assessment, it used the criteria set forth by the Committee of Sponsoring Organizations of the Treadway Commission (COSO)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its assessment, management has concluded that, as of December 31, 2025, the Company’s internal control over financial reporting was effective based on those criteria.</w:t>
      </w:r>
    </w:p>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 J. Kazimi</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J. Kazimi</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r>
    </w:tbl>
    <w:tbl>
      <w:tblPr>
        <w:tblW w:w="2024" w:type="dxa"/>
        <w:jc w:val="left"/>
        <w:tblInd w:w="0" w:type="dxa"/>
        <w:tblLayout w:type="fixed"/>
        <w:tblCellMar>
          <w:top w:w="28" w:type="dxa"/>
          <w:left w:w="28" w:type="dxa"/>
          <w:bottom w:w="28" w:type="dxa"/>
          <w:right w:w="28" w:type="dxa"/>
        </w:tblCellMar>
      </w:tblPr>
      <w:tblGrid>
        <w:gridCol w:w="646"/>
        <w:gridCol w:w="569"/>
        <w:gridCol w:w="809"/>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M. Hamm</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Hamm</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r>
    </w:tbl>
    <w:p>
      <w:pPr>
        <w:pStyle w:val="TextBody"/>
        <w:bidi w:val="0"/>
        <w:spacing w:before="340" w:after="340"/>
        <w:ind w:left="0" w:right="0" w:firstLine="36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To the Shareholders, Board of Directors, and Audit Committee of Cumberland Pharmaceuticals Inc.</w:t>
      </w:r>
    </w:p>
    <w:p>
      <w:pPr>
        <w:pStyle w:val="TextBody"/>
        <w:bidi w:val="0"/>
        <w:spacing w:lineRule="auto" w:line="288" w:before="180" w:after="240"/>
        <w:jc w:val="both"/>
        <w:rPr>
          <w:rFonts w:ascii="Times New Roman;serif" w:hAnsi="Times New Roman;serif"/>
          <w:b/>
          <w:i/>
          <w:color w:val="000000"/>
          <w:sz w:val="20"/>
        </w:rPr>
      </w:pPr>
      <w:r>
        <w:rPr>
          <w:rFonts w:ascii="Times New Roman;serif" w:hAnsi="Times New Roman;serif"/>
          <w:b/>
          <w:i/>
          <w:color w:val="000000"/>
          <w:sz w:val="20"/>
        </w:rPr>
        <w:t>Opinion on the Consolidated Financial Statements</w:t>
      </w:r>
    </w:p>
    <w:p>
      <w:pPr>
        <w:pStyle w:val="TextBody"/>
        <w:bidi w:val="0"/>
        <w:spacing w:lineRule="auto" w:line="288" w:before="180" w:after="283"/>
        <w:jc w:val="both"/>
        <w:rPr/>
      </w:pPr>
      <w:r>
        <w:rPr>
          <w:rFonts w:ascii="Times New Roman;serif" w:hAnsi="Times New Roman;serif"/>
          <w:b w:val="false"/>
          <w:color w:val="000000"/>
          <w:sz w:val="20"/>
        </w:rPr>
        <w:t>We have audited the accompanying consolidated balance sheets of Cumberland Pharmaceuticals Inc. and subsidiaries (the "Company") as of December 31, 2025 and 2024, the related consolidated statements of operations, equity, and cash flows for each of the two years in the period ended December 31, 2025, and the related notes and schedule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 conformity with accounting principles generally accepted in the United States of America.</w:t>
      </w:r>
    </w:p>
    <w:p>
      <w:pPr>
        <w:pStyle w:val="TextBody"/>
        <w:bidi w:val="0"/>
        <w:spacing w:lineRule="auto" w:line="288" w:before="180" w:after="240"/>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40"/>
        <w:jc w:val="both"/>
        <w:rPr>
          <w:rFonts w:ascii="Times New Roman;serif" w:hAnsi="Times New Roman;serif"/>
          <w:b/>
          <w:i/>
          <w:color w:val="000000"/>
          <w:sz w:val="20"/>
        </w:rPr>
      </w:pPr>
      <w:r>
        <w:rPr>
          <w:rFonts w:ascii="Times New Roman;serif" w:hAnsi="Times New Roman;serif"/>
          <w:b/>
          <w:i/>
          <w:color w:val="000000"/>
          <w:sz w:val="20"/>
        </w:rPr>
        <w:t xml:space="preserve">Critical Audit Matter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 xml:space="preserve">Customer Allowances for Chargebacks, Discounts and Damaged Goods, and Accruals for Rebates, Coupons, Product Returns, and Certain Fees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allowances in accounts receivable for chargebacks, cash discounts, and damaged goods were $1.2 million and the estimated liability for rebates, coupons, product returns, and certain fees were $7.8 million. These provisions are recognized concurrently with the sales of products. Provisions for chargebacks involve estimates of usage by retailers and other indirect buyers with varying contract prices for multiple wholesalers. The provision for chargebacks varies in relation to changes in sales volume, product mix, pricing, and the level of inventory at the wholesalers. Provisions are calculated using historical chargeback experience, and/or expected chargeback levels for new products and anticipated pricing changes. Provisions for rebates are recognized based on contractual obligations in place at the time of sales with consideration given to relevant factors that may affect the payment, as well as historical experience for estimated market activity. Provisions for product returns are calculated based on the expiration dates of products sold, the window where customers are permitted to return products, and the history of returns for individual products in relation to the sales volume for each product.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identified the customer allowances for chargebacks, discounts, and damaged goods and accruals for rebates, coupons, product returns, and certain fees as a critical audit matter. The principal consideration for our determination was the significant measurement uncertainty involved in developing the reserves. Management exercises judgment in computing the amount of sales subject to the allowances and tracks the amount of allowances taken over time. All of this in turn led to a high degree of auditor judgment, subjectivity, and effort in performing procedures and evaluating management’s significant assumptions, which includes the assumption that historical activity is a good predictor of future allowance activity and modifications made to calculations based on more recent history.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procedures we performed to address this critical audit matter included: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Tested management’s process for calculating certain allowances and developed an independent expectation of the reserve balance for the remaining allowances.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Performed a look back analysis of prior year reserves compared to actual experience in the current year.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Tested the completeness and accuracy of underlying data used to estimate the accrual by evaluating a service organization from which data was obtained, agreeing sales data used in the calculations to reports that were reconciled to the consolidated financial statements, reconciling various allowance percentages to signed customer contracts, and tracing allowance amounts used by various customers during the year to supporting documentation.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Evaluated the reasonableness of significant assumptions used by management in the computation of selected allowances, including comparison to historical results and considering recent changes in factors that could influence claims, such as changes in the shelf life of the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Tested the clerical accuracy of individual customer allowances computed by management and agreeing the total of all estimated allowances to the respective accounts on the consolidated financial statements.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Compared actual activity for chargebacks, discounts, and damaged goods and rebates, coupons, product returns, and certain fees reported after December 31, 2025, to estimated reserves and accruals on the December 31, 2025, consolidated balance sheet. </w:t>
      </w:r>
    </w:p>
    <w:p>
      <w:pPr>
        <w:pStyle w:val="TextBody"/>
        <w:bidi w:val="0"/>
        <w:spacing w:before="180" w:after="283"/>
        <w:jc w:val="both"/>
        <w:rPr/>
      </w:pPr>
      <w:r>
        <w:rPr/>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/s/ Carr, Riggs &amp; Ingram, LLC</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Nashville, Tennessee</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March 6, 2026</w:t>
      </w:r>
    </w:p>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December 31, 2025 and 2024 </w:t>
      </w:r>
    </w:p>
    <w:tbl>
      <w:tblPr>
        <w:tblW w:w="10205" w:type="dxa"/>
        <w:jc w:val="center"/>
        <w:tblInd w:w="0" w:type="dxa"/>
        <w:tblLayout w:type="fixed"/>
        <w:tblCellMar>
          <w:top w:w="28" w:type="dxa"/>
          <w:left w:w="28" w:type="dxa"/>
          <w:bottom w:w="28" w:type="dxa"/>
          <w:right w:w="28" w:type="dxa"/>
        </w:tblCellMar>
      </w:tblPr>
      <w:tblGrid>
        <w:gridCol w:w="2637"/>
        <w:gridCol w:w="2124"/>
        <w:gridCol w:w="1941"/>
        <w:gridCol w:w="109"/>
        <w:gridCol w:w="109"/>
        <w:gridCol w:w="109"/>
        <w:gridCol w:w="211"/>
        <w:gridCol w:w="1081"/>
        <w:gridCol w:w="109"/>
        <w:gridCol w:w="109"/>
        <w:gridCol w:w="109"/>
        <w:gridCol w:w="109"/>
        <w:gridCol w:w="211"/>
        <w:gridCol w:w="1081"/>
        <w:gridCol w:w="156"/>
      </w:tblGrid>
      <w:tr>
        <w:trPr/>
        <w:tc>
          <w:tcPr>
            <w:tcW w:w="263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36,452,158 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co-commercialization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75,583,410 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31,621,729 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52,279,770 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53,037,433 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no par value; 100,000,000 shares authorized; 14,956,627 and 13,952,624 shares issued and outstanding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46,821,425 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(23,967,931)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22,853,494 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22,545,977 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75,583,410 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December 31, 2025 and 2024 </w:t>
      </w:r>
    </w:p>
    <w:tbl>
      <w:tblPr>
        <w:tblW w:w="9306" w:type="dxa"/>
        <w:jc w:val="center"/>
        <w:tblInd w:w="0" w:type="dxa"/>
        <w:tblLayout w:type="fixed"/>
        <w:tblCellMar>
          <w:top w:w="28" w:type="dxa"/>
          <w:left w:w="28" w:type="dxa"/>
          <w:bottom w:w="28" w:type="dxa"/>
          <w:right w:w="28" w:type="dxa"/>
        </w:tblCellMar>
      </w:tblPr>
      <w:tblGrid>
        <w:gridCol w:w="2101"/>
        <w:gridCol w:w="1847"/>
        <w:gridCol w:w="1857"/>
        <w:gridCol w:w="109"/>
        <w:gridCol w:w="109"/>
        <w:gridCol w:w="109"/>
        <w:gridCol w:w="211"/>
        <w:gridCol w:w="1081"/>
        <w:gridCol w:w="109"/>
        <w:gridCol w:w="109"/>
        <w:gridCol w:w="109"/>
        <w:gridCol w:w="109"/>
        <w:gridCol w:w="211"/>
        <w:gridCol w:w="1081"/>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36,537,704 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4,125,153 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1,330,241 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44,521,431 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37,867,945 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19,098,153 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17,023,023 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11,946,909 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11,126,901 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47,313,424 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44,300,354 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(6,432,409)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476,748 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334,444 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gain on insurance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(495,990)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(605,508)</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(6,466,384)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(2,864,711)</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(6,443,715)</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(2,836,128)</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(6,479,770)</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attributable to common shareholders: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14,854,619 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14,060,272 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14,854,619 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14,060,272 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December 31, 2025 and 2024 </w:t>
      </w:r>
    </w:p>
    <w:tbl>
      <w:tblPr>
        <w:tblW w:w="10205" w:type="dxa"/>
        <w:jc w:val="center"/>
        <w:tblInd w:w="0" w:type="dxa"/>
        <w:tblLayout w:type="fixed"/>
        <w:tblCellMar>
          <w:top w:w="28" w:type="dxa"/>
          <w:left w:w="28" w:type="dxa"/>
          <w:bottom w:w="28" w:type="dxa"/>
          <w:right w:w="28" w:type="dxa"/>
        </w:tblCellMar>
      </w:tblPr>
      <w:tblGrid>
        <w:gridCol w:w="2475"/>
        <w:gridCol w:w="2002"/>
        <w:gridCol w:w="2008"/>
        <w:gridCol w:w="109"/>
        <w:gridCol w:w="109"/>
        <w:gridCol w:w="109"/>
        <w:gridCol w:w="211"/>
        <w:gridCol w:w="1081"/>
        <w:gridCol w:w="109"/>
        <w:gridCol w:w="109"/>
        <w:gridCol w:w="109"/>
        <w:gridCol w:w="109"/>
        <w:gridCol w:w="211"/>
        <w:gridCol w:w="1081"/>
        <w:gridCol w:w="109"/>
        <w:gridCol w:w="109"/>
        <w:gridCol w:w="155"/>
      </w:tblGrid>
      <w:tr>
        <w:trPr/>
        <w:tc>
          <w:tcPr>
            <w:tcW w:w="247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shd w:fill="BFE4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shd w:fill="BFE4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flows provided by (used in)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1,140,738 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1,140,738 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co-commercialization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of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non-cash contingent consideration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 over premiums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assets and liabilities affecting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2,242,616 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1,784,089 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(477,642)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 policy proceeds received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line of credit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(10,035,437)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(35,996,894)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ATM offering,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in connection with repurchase of common shares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(263,478)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(579,049)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(6,745,516)</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18,321,624 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December 31, 2025 and 2024 </w:t>
      </w:r>
    </w:p>
    <w:tbl>
      <w:tblPr>
        <w:tblW w:w="8024" w:type="dxa"/>
        <w:jc w:val="left"/>
        <w:tblInd w:w="0" w:type="dxa"/>
        <w:tblLayout w:type="fixed"/>
        <w:tblCellMar>
          <w:top w:w="28" w:type="dxa"/>
          <w:left w:w="28" w:type="dxa"/>
          <w:bottom w:w="28" w:type="dxa"/>
          <w:right w:w="28" w:type="dxa"/>
        </w:tblCellMar>
      </w:tblPr>
      <w:tblGrid>
        <w:gridCol w:w="1743"/>
        <w:gridCol w:w="1534"/>
        <w:gridCol w:w="1538"/>
        <w:gridCol w:w="109"/>
        <w:gridCol w:w="109"/>
        <w:gridCol w:w="109"/>
        <w:gridCol w:w="211"/>
        <w:gridCol w:w="826"/>
        <w:gridCol w:w="109"/>
        <w:gridCol w:w="109"/>
        <w:gridCol w:w="109"/>
        <w:gridCol w:w="109"/>
        <w:gridCol w:w="211"/>
        <w:gridCol w:w="826"/>
        <w:gridCol w:w="109"/>
        <w:gridCol w:w="109"/>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during the year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included in measurement of lease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unpaid invoices for intangible asset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unpaid invoices for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obtained from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Equity</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Years ended December 31, 2025 and 2024 </w:t>
      </w:r>
    </w:p>
    <w:tbl>
      <w:tblPr>
        <w:tblW w:w="10205" w:type="dxa"/>
        <w:jc w:val="left"/>
        <w:tblInd w:w="0" w:type="dxa"/>
        <w:tblLayout w:type="fixed"/>
        <w:tblCellMar>
          <w:top w:w="28" w:type="dxa"/>
          <w:left w:w="28" w:type="dxa"/>
          <w:bottom w:w="28" w:type="dxa"/>
          <w:right w:w="28" w:type="dxa"/>
        </w:tblCellMar>
      </w:tblPr>
      <w:tblGrid>
        <w:gridCol w:w="823"/>
        <w:gridCol w:w="401"/>
        <w:gridCol w:w="404"/>
        <w:gridCol w:w="109"/>
        <w:gridCol w:w="109"/>
        <w:gridCol w:w="109"/>
        <w:gridCol w:w="540"/>
        <w:gridCol w:w="541"/>
        <w:gridCol w:w="196"/>
        <w:gridCol w:w="109"/>
        <w:gridCol w:w="109"/>
        <w:gridCol w:w="109"/>
        <w:gridCol w:w="211"/>
        <w:gridCol w:w="1081"/>
        <w:gridCol w:w="109"/>
        <w:gridCol w:w="109"/>
        <w:gridCol w:w="109"/>
        <w:gridCol w:w="109"/>
        <w:gridCol w:w="213"/>
        <w:gridCol w:w="1113"/>
        <w:gridCol w:w="110"/>
        <w:gridCol w:w="109"/>
        <w:gridCol w:w="109"/>
        <w:gridCol w:w="109"/>
        <w:gridCol w:w="250"/>
        <w:gridCol w:w="999"/>
        <w:gridCol w:w="130"/>
        <w:gridCol w:w="109"/>
        <w:gridCol w:w="109"/>
        <w:gridCol w:w="109"/>
        <w:gridCol w:w="211"/>
        <w:gridCol w:w="1081"/>
        <w:gridCol w:w="157"/>
      </w:tblGrid>
      <w:tr>
        <w:trPr/>
        <w:tc>
          <w:tcPr>
            <w:tcW w:w="8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Cumberland Pharmaceuticals Inc.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14,121,833 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(17,488,161)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(343,572)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29,259,869 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(6,479,770)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(6,443,715)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13,952,624 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(23,967,931)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(307,517)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(2,836,128)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(2,864,711)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common stock, net of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14,956,627 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Notes to Consolidated Financial Statements </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oncology.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field and oncology sales forces in the United States and is establishing a network of international partners to bring its medicines to patients in their countries.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build a pipeline of early-stage product candidates, the Company formed a subsidiary, Cumberland Emerging Technologies, Inc. ("CET"), which teams with universities and other research organizations to help advance scientific discoveries from the laboratory to the marketplace.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ownership in CET is now 85% while the remaining interest is owned by WinHealth, Vanderbilt University and the Tennessee Technology Development Corporation. The operating results of CET allocated to noncontrolling interests in the consolidated statements of operations was loss of $28,583 for the year ended December 31, 2025, and a income of $36,055 for the year ended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January 1, 2007, the Company formed a wholly-owned subsidiary, Cumberland Pharma Sales Corp. ("CPSC"). CPSC is the subsidiary that employs the Company's hospital, field and oncology sales force personnel.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2017, the Company formed the Cumberland Pharma Foundation (the "Foundation") to serve as a vehicle to facilitate the ongoing philanthropic endeavors of Cumberland Pharmaceuticals Inc.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Foundation was formed as a nonprofit corporation designed to qualify as a tax-exempt organization pursuant to Section 501(a) of the Internal Revenue Code. The Foundation’s Board of Directors is comprised of Cumberland executives who are responsible for overseeing the Foundation’s ongoing activities including charitable contributions.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2018, Cumberland provided a grant of 50,000 shares of the Company’s common stock to the Foundation. The shares will address the ongoing financial needs of the Foundation. The organization also plans to hold a portion of the shares for long-term appreciation. The Foundation maintains separate financial statements and its ongoing operations do not impact the financial statements of Cumberland. Initial annual grants by the Foundation have been and are expected to remain consistent with the historic level of contributions made by Cumberland. Since 2019, Cumberland has made annual cash contributions to the Foundation except in the year 2024 where there was no contribution made. In 2025, the Company made a cash contribution of $40,000.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are stated in U.S. dollars and are prepared using U.S. generally accepted accounting principles. These financial statements include the accounts of the Company and its wholly and majority-owned subsidiaries. All significant intercompany transactions and accounts have been eliminated in consolidation.</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valuation of contingent consideration liability associated with business combinations and (4) evaluation of continuing utility of intangible assets.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$4.9 million and $2.7 million for the years ended December 31, 2025 and 2024, respectively.</w:t>
      </w:r>
    </w:p>
    <w:tbl>
      <w:tblPr>
        <w:tblW w:w="4461"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211"/>
        <w:gridCol w:w="976"/>
        <w:gridCol w:w="109"/>
        <w:gridCol w:w="109"/>
        <w:gridCol w:w="109"/>
        <w:gridCol w:w="109"/>
        <w:gridCol w:w="211"/>
        <w:gridCol w:w="97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fair value hierarchy that prioritizes observable and unobservable inputs used to measure fair value into three broad levels is described below: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1 - Quoted prices for identical instruments in active markets.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 by correlation or other means.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3 - Significant inputs to the valuation model are unobservable.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policies and procedures to value instruments using the best and most relevant data available. The following section describes the valuation methodologies we use to measure different financial instruments at fair value on a recurring basis.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and cash equivalents,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 </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highly liquid investments with original maturities of three months or less. As of December 31, 2025 and 2024, cash equivalents consist primarily of money market funds. The Company monitors concentration of credit risk with the financial institutions in which it conducts business. The Company has cash deposits which fluctuate in excess of federally insured limits throughout the year.</w:t>
      </w:r>
    </w:p>
    <w:p>
      <w:pPr>
        <w:pStyle w:val="TextBody"/>
        <w:bidi w:val="0"/>
        <w:spacing w:before="16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accounts receivable are recorded at the invoiced amount. The Company records allowances for amounts that could become uncollectible in the future based on historical experience, as well as amounts related to chargebacks and cash discounts. The Company reviews each customer balance to assess collection status.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and discounts. The allowances in accounts receivable for chargebacks and cash discounts were $0.9 million and $1.1 million at December 31, 2025 and 2024,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organizations, such as managed care providers, pharmacy benefit management companies and government agencies, may receive rebates from the Company based on either negotiated contracts to carry the Company’s products or reimbursements for filled prescriptions. In conjunction with recognizing a sale to a wholesaler, revenues are reduced and accrued liabilities are increased by the Company’s estimate of the rebate that may be claimed. Cash discounts are reductions to invoiced amounts offered to customers for payment within a specified period of time from the date of the invoice.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at third party facilities located in the U.S. and international locations. Periodic inventory counts are made by the warehouse teams and by the Company on a regular basis. In addition, the Company re-tests API inventory prior to use to confirm product expiration. Inventories are stated at the lower of cost or net realizable value with cost determined using the first-in, first-out method.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Non-current inventories consist of APIs which typically have an extended life and selected finished good products with an extended life longer than one year.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Prepaid and Other Current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The Company filed an updated Form S-3 with the SEC in December 2020 (the “Prior Registration Statement”), which was declared effective in January 2021.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filed an updated Form S-3 with the SEC on December 14, 2023, which was declared effective on December 26, 2023 (the “Current Registration Statement”). The Company entered into an agreement with H.C. Wainwright &amp; Co., LLC (“H.C. Wainwright”) to establish a new ATM program under the Current Registration Statement. On March 20, 2024, the Company filed a related prospectus supplement in connection with the sale and issuance of shares having an aggregate gross sales price of up to $5.8 million.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recorded deferred offering costs for payments directly related to the current Shelf Registration on Form S-3 that was completed during December 2021 and December 2023. These costs consist of legal and accounting fees that the Company has capitalized. Deferred costs associated with the Shelf Registration will be reclassified to additional paid in capital on a pro-rata basis as the Company completes sales of shares under the Shelf Registration. </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5, 2025, the Company utilized the Sales Agreement with H. C. Wainwright and sold 1,000,000 shares of Cumberland’s common shares under the ATM program. These shares sold at a volume weighted average price of $5.4688 per share for aggregate gross proceeds of $5,468,800 with offering costs of $550,384 and placement fees of $202,466 resulting in a net $ 4,715,950.</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14, 2025, the Company increased the maximum aggregate offering amount of the shares of the Company’s common stock issuable in the ATM program under the Sales Agreement with H.C. Wainwright for to up to $10 million and filed a prospectus supplement under the Sales Agreement for that aggregate offering amount.</w:t>
      </w:r>
    </w:p>
    <w:p>
      <w:pPr>
        <w:pStyle w:val="TextBody"/>
        <w:bidi w:val="0"/>
        <w:spacing w:lineRule="auto" w:line="288" w:before="16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loss in the consolidated statement of operations. Improvements that extend an asset’s useful life are capitalized. Repairs and maintenance costs are expensed as incurred.</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Intangible Assets and Goodwill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assets and goodwill consist of capitalized costs related to product and license rights, patents, trademarks and goodwill obtained in the Vibativ and Sancuso acquisitions. Goodwill is not amortized for financial reporting purposes, but is subject to impairment analysis at least annually.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as well as management’s expectations 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 such determination is made. All costs associated with obtaining patents for products that have not been approved for marketing by the FDA are expensed as incurred.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is recognized ratably over the following periods:</w:t>
      </w:r>
    </w:p>
    <w:tbl>
      <w:tblPr>
        <w:tblW w:w="3865" w:type="dxa"/>
        <w:jc w:val="center"/>
        <w:tblInd w:w="0" w:type="dxa"/>
        <w:tblLayout w:type="fixed"/>
        <w:tblCellMar>
          <w:top w:w="28" w:type="dxa"/>
          <w:left w:w="28" w:type="dxa"/>
          <w:bottom w:w="28" w:type="dxa"/>
          <w:right w:w="28" w:type="dxa"/>
        </w:tblCellMar>
      </w:tblPr>
      <w:tblGrid>
        <w:gridCol w:w="456"/>
        <w:gridCol w:w="401"/>
        <w:gridCol w:w="402"/>
        <w:gridCol w:w="109"/>
        <w:gridCol w:w="109"/>
        <w:gridCol w:w="109"/>
        <w:gridCol w:w="666"/>
        <w:gridCol w:w="666"/>
        <w:gridCol w:w="947"/>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economic life</w:t>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of license agreement</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of patent</w:t>
            </w:r>
          </w:p>
        </w:tc>
      </w:tr>
    </w:tbl>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Trade and Note Receivables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Expected Credit Losses (“CECL”) is applicable to all financial assets measured at amortized cost. All financial instruments are evaluated, which principally relates to trade receivables and two notes receivable. CECL requires the measurement of expected credit losses on a collective (pool) basis when similar risk characteristics exist. This may include, either individually or in combination, some of the following characteristics of Accounting Standards Codification ("ASC") 326-20-55-5:</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Internal or external credit score/rating</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Risk ratings or classification</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Financial asset type</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Size</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Effective interest rate</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Term</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Geographical location</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Historical or expected credit loss patterns</w:t>
      </w:r>
    </w:p>
    <w:p>
      <w:pPr>
        <w:pStyle w:val="TextBody"/>
        <w:bidi w:val="0"/>
        <w:spacing w:lineRule="auto" w:line="288" w:before="40" w:after="283"/>
        <w:jc w:val="both"/>
        <w:rPr/>
      </w:pPr>
      <w:r>
        <w:rPr>
          <w:color w:val="000000"/>
        </w:rPr>
        <w:t>•</w:t>
      </w:r>
      <w:r>
        <w:rPr>
          <w:rFonts w:ascii="Times New Roman;serif" w:hAnsi="Times New Roman;serif"/>
          <w:b w:val="false"/>
          <w:color w:val="000000"/>
          <w:sz w:val="20"/>
        </w:rPr>
        <w:t>Reasonable and supportable forecast periods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standard requires entities to pool financial assets but allows them to choose which risk characteristics to use. Under the requirements of the guidance, the Company reassesses at the end of each reporting period whether the pool of assets continue to display similar risk characteristics.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Long-lived assets, such as property and equipment, operating lease right-of-use assets and intangible assets subject to depreciation and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and in January 2022 with the Sancuso acquisition. As a result, the Vibativ and Sancuso components of the Company are the reporting units evaluated for goodwill impairment. Cumberland determined the fair value of the reporting units through current and future estimated revenue and profitability of the product. In 2024, the Company recorded a non-cash write down of $0.4 million related to patent defense cost of our Acetadote product, which is included in amortization expense in the statement of operations.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Revolving Line of Credit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policy is to classify a debt obligation as current that otherwise meets the conditions of noncurrent classification when both of the following conditions are met: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1.The Company either a) has the ability and intent to repay the obligation within one year after the balance sheet date, or b) repays the obligation after the balance sheet date but before the financial statements are issued.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2.The repayment of the debt is made with assets that were classified as current as of the balance sheet date.</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Joint Venture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2020, Cumberland entered into an agreement with WinHealth Investment (Singapore) Ltd creating WHC Biopharmaceuticals, Pte. Ltd. The joint venture, as a limited liability company, focuses on acquiring, developing, registering, and commercializing development stage and commercial stage biopharmaceuticals for China, Hong Kong and other Asian markets. The agreement provided for initial investment from WinHealth in the form of a $0.2 million equity contribution and an initial investment from Cumberland in the form of $0.2 million convertible note. The joint venture will seek additional future capital from additional investors and has entered into exclusive option agreements to license intellectual property from both Cumberland Pharmaceuticals Inc. and Cumberland Emerging Technologies. </w:t>
      </w:r>
    </w:p>
    <w:p>
      <w:pPr>
        <w:pStyle w:val="TextBody"/>
        <w:bidi w:val="0"/>
        <w:spacing w:lineRule="auto" w:line="288" w:before="16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Net Product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product sales are recognized in the amount that reflects the consideration that we expect to receive for these goods. Depending upon the shipping terms of the transaction, the revenue is recognized 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 </w:t>
      </w:r>
    </w:p>
    <w:p>
      <w:pPr>
        <w:pStyle w:val="TextBody"/>
        <w:bidi w:val="0"/>
        <w:spacing w:lineRule="auto" w:line="288" w:before="160" w:after="160"/>
        <w:ind w:left="0" w:right="0" w:firstLine="360"/>
        <w:jc w:val="both"/>
        <w:rPr>
          <w:rFonts w:ascii="Times New Roman;serif" w:hAnsi="Times New Roman;serif"/>
          <w:b/>
          <w:i/>
          <w:color w:val="000000"/>
          <w:sz w:val="20"/>
        </w:rPr>
      </w:pPr>
      <w:r>
        <w:rPr>
          <w:rFonts w:ascii="Times New Roman;serif" w:hAnsi="Times New Roman;serif"/>
          <w:b/>
          <w:i/>
          <w:color w:val="000000"/>
          <w:sz w:val="20"/>
        </w:rPr>
        <w:t>Sales Rebates and Discounts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organizations, such as managed care providers, pharmacy benefit management companies and government agencies, may receive rebates from the Company based on either negotiated contracts to carry the Company’s products or reimbursements for filled prescriptions. In conjunction with recognizing a sale to a wholesaler, sales revenues are reduced and accrued liabilities are increased by the Company’s estimate of the rebate that may be claimed.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Sales Returns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expected to impact future returns. Any changes in the assumptions used to estimate the provision for returns are recognized in the period those assumptions are changed.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revenues primarily consist of income from non-refundable upfront payments and milestone payments under licensing agreements, contract services, grant funding programs and rental income. Revenue related to grants is recognized when all conditions related to such grants have been met. All other revenue is recognized when earned.</w:t>
      </w:r>
    </w:p>
    <w:p>
      <w:pPr>
        <w:pStyle w:val="TextBody"/>
        <w:bidi w:val="0"/>
        <w:spacing w:lineRule="auto" w:line="288" w:before="16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Cost of Products Sold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and Marketing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consists primarily of expenses relating to the advertising, promotion, distribution and sale of products, including royalty expense, salaries and related costs.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Distribution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Distribution costs are expensed as incurred and are included as a component of selling and marketing expenses in the consolidated statements of operations. Distribution costs were as follows for the years ended December 31:</w:t>
      </w:r>
    </w:p>
    <w:tbl>
      <w:tblPr>
        <w:tblW w:w="4768" w:type="dxa"/>
        <w:jc w:val="left"/>
        <w:tblInd w:w="0" w:type="dxa"/>
        <w:tblLayout w:type="fixed"/>
        <w:tblCellMar>
          <w:top w:w="28" w:type="dxa"/>
          <w:left w:w="28" w:type="dxa"/>
          <w:bottom w:w="28" w:type="dxa"/>
          <w:right w:w="28" w:type="dxa"/>
        </w:tblCellMar>
      </w:tblPr>
      <w:tblGrid>
        <w:gridCol w:w="564"/>
        <w:gridCol w:w="497"/>
        <w:gridCol w:w="498"/>
        <w:gridCol w:w="109"/>
        <w:gridCol w:w="109"/>
        <w:gridCol w:w="109"/>
        <w:gridCol w:w="211"/>
        <w:gridCol w:w="826"/>
        <w:gridCol w:w="109"/>
        <w:gridCol w:w="109"/>
        <w:gridCol w:w="109"/>
        <w:gridCol w:w="109"/>
        <w:gridCol w:w="211"/>
        <w:gridCol w:w="826"/>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912,557 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are included as a component of selling and marketing expenses in the consolidated statements of operations. Advertising costs were as follows for the years ended December 31:</w:t>
      </w:r>
    </w:p>
    <w:tbl>
      <w:tblPr>
        <w:tblW w:w="5039" w:type="dxa"/>
        <w:jc w:val="left"/>
        <w:tblInd w:w="0" w:type="dxa"/>
        <w:tblLayout w:type="fixed"/>
        <w:tblCellMar>
          <w:top w:w="28" w:type="dxa"/>
          <w:left w:w="28" w:type="dxa"/>
          <w:bottom w:w="28" w:type="dxa"/>
          <w:right w:w="28" w:type="dxa"/>
        </w:tblCellMar>
      </w:tblPr>
      <w:tblGrid>
        <w:gridCol w:w="553"/>
        <w:gridCol w:w="487"/>
        <w:gridCol w:w="490"/>
        <w:gridCol w:w="109"/>
        <w:gridCol w:w="109"/>
        <w:gridCol w:w="109"/>
        <w:gridCol w:w="211"/>
        <w:gridCol w:w="976"/>
        <w:gridCol w:w="109"/>
        <w:gridCol w:w="109"/>
        <w:gridCol w:w="109"/>
        <w:gridCol w:w="109"/>
        <w:gridCol w:w="211"/>
        <w:gridCol w:w="97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2,987,575 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in the period incurred. Research and development costs are comprised mainly of clinical trial and regulatory expenses, salaries, wages, fees paid to government regulators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pStyle w:val="TextBody"/>
        <w:bidi w:val="0"/>
        <w:spacing w:before="16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associated with an income tax position in which it is “more likely than not” that the position would be sustained upon examination by the taxing authorities.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policy with respect to interest and penalties arising from income tax settlements is to recognize them as part of the provision for income taxes.</w:t>
      </w:r>
    </w:p>
    <w:p>
      <w:pPr>
        <w:pStyle w:val="TextBody"/>
        <w:bidi w:val="0"/>
        <w:spacing w:lineRule="auto" w:line="288" w:before="16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Loss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loss per share is calculated by dividing net loss attributable to common shareholders by the weighted-average number of shares outstanding. Except where the result would be antidilutive, diluted loss per share is calculated by assuming the vesting of unvested restricted stock and the exercise of stock options and warrants and unrecognized compensation costs.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Share-Based Payments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Co-Commercialization, Stock Agreements and Collaborative Arrangement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On October 20, 2025, Cumberland announced strategic arrangements with RedHill Biopharma Ltd. (“RedHill”), a specialty biopharmaceutical company, to jointly commercialize Talicia</w:t>
      </w:r>
      <w:r>
        <w:rPr>
          <w:rFonts w:ascii="Times New Roman;serif" w:hAnsi="Times New Roman;serif"/>
          <w:b w:val="false"/>
          <w:color w:val="000000"/>
          <w:sz w:val="13"/>
        </w:rPr>
        <w:t>®</w:t>
      </w:r>
      <w:r>
        <w:rPr>
          <w:rFonts w:ascii="Times New Roman;serif" w:hAnsi="Times New Roman;serif"/>
          <w:b w:val="false"/>
          <w:color w:val="000000"/>
          <w:sz w:val="20"/>
        </w:rPr>
        <w:t>. Based on the terms of the Co-Commercialization Agreement (“Co-Agreement”), Cumberland will assume responsibility for the product’s distribution in the U. S. market and record the product sales. Cumberland will provide an annual investment of up to $2 million for certain distribution, marketing and sales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same time, RedHill formed a new company- Talicia Holdings Inc. (“THI”). RedHill contributed all its Talicia assets to THI, including the product’s growing international licenses with associated revenues.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Also executed was a Stockholders Agreement (“Stock Agreement”) with Cumberland and RedHill, enabling Cumberland to acquire 30% equity interest in THI in return for $4 million investment capital - $2 million at execution and $2 million payable on the one year anniversary of the Stock Agreement. The investment will be accounted for based on the equity method of accounting, recording Cumberland’s share of THI’s profit and loss to other income (loss). At year-end, Cumberland’s statement of operations recognized a loss on the investment of $13,220.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classifies cash distributions received from equity</w:t>
        <w:noBreakHyphen/>
        <w:t>method investees using the cumulative earnings approach in accordance with ASC 230</w:t>
        <w:noBreakHyphen/>
        <w:t>10</w:t>
        <w:noBreakHyphen/>
        <w:t>45</w:t>
        <w:noBreakHyphen/>
        <w:t xml:space="preserve">21D. Under this policy, distributions up to the Cumberland’s share of the investee’s cumulative earnings are presented as operating cash flows, and distributions in excess of that amount are presented as investing cash flows.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terms of ASC 808-10-50, the Co-Commercialization and Stock Agreements with THI constitute a Collaborative Arrangement. As noted above, Cumberland is responsible for product distribution and records product sales. THI is responsible for product manufacturing, maintaining the product’s NDA, medical affairs and other regulatory responsibilities.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is summarized financial information related to the collaboration with THI for the year ended:</w:t>
      </w:r>
    </w:p>
    <w:tbl>
      <w:tblPr>
        <w:tblW w:w="7124" w:type="dxa"/>
        <w:jc w:val="left"/>
        <w:tblInd w:w="0" w:type="dxa"/>
        <w:tblLayout w:type="fixed"/>
        <w:tblCellMar>
          <w:top w:w="28" w:type="dxa"/>
          <w:left w:w="28" w:type="dxa"/>
          <w:bottom w:w="28" w:type="dxa"/>
          <w:right w:w="28" w:type="dxa"/>
        </w:tblCellMar>
      </w:tblPr>
      <w:tblGrid>
        <w:gridCol w:w="1348"/>
        <w:gridCol w:w="1183"/>
        <w:gridCol w:w="1189"/>
        <w:gridCol w:w="109"/>
        <w:gridCol w:w="109"/>
        <w:gridCol w:w="109"/>
        <w:gridCol w:w="109"/>
        <w:gridCol w:w="109"/>
        <w:gridCol w:w="109"/>
        <w:gridCol w:w="109"/>
        <w:gridCol w:w="109"/>
        <w:gridCol w:w="109"/>
        <w:gridCol w:w="109"/>
        <w:gridCol w:w="109"/>
        <w:gridCol w:w="109"/>
        <w:gridCol w:w="109"/>
        <w:gridCol w:w="109"/>
        <w:gridCol w:w="109"/>
        <w:gridCol w:w="278"/>
        <w:gridCol w:w="1288"/>
        <w:gridCol w:w="203"/>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Talicia recorded by Cumberland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3,311,235 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sold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1,139,583 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is summarized financial information of amounts due to and due from Cumberland for the year ended:</w:t>
      </w:r>
    </w:p>
    <w:tbl>
      <w:tblPr>
        <w:tblW w:w="8527" w:type="dxa"/>
        <w:jc w:val="left"/>
        <w:tblInd w:w="0" w:type="dxa"/>
        <w:tblLayout w:type="fixed"/>
        <w:tblCellMar>
          <w:top w:w="28" w:type="dxa"/>
          <w:left w:w="28" w:type="dxa"/>
          <w:bottom w:w="28" w:type="dxa"/>
          <w:right w:w="28" w:type="dxa"/>
        </w:tblCellMar>
      </w:tblPr>
      <w:tblGrid>
        <w:gridCol w:w="1439"/>
        <w:gridCol w:w="1266"/>
        <w:gridCol w:w="1269"/>
        <w:gridCol w:w="109"/>
        <w:gridCol w:w="109"/>
        <w:gridCol w:w="109"/>
        <w:gridCol w:w="211"/>
        <w:gridCol w:w="826"/>
        <w:gridCol w:w="109"/>
        <w:gridCol w:w="109"/>
        <w:gridCol w:w="109"/>
        <w:gridCol w:w="109"/>
        <w:gridCol w:w="333"/>
        <w:gridCol w:w="643"/>
        <w:gridCol w:w="109"/>
        <w:gridCol w:w="109"/>
        <w:gridCol w:w="109"/>
        <w:gridCol w:w="109"/>
        <w:gridCol w:w="211"/>
        <w:gridCol w:w="97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 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THI for inventory and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due from THI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Collaborative Agreements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3, related to the Vibativ and Sancuso contingent consideration payments, do not meet the criteria for accounting under ASC Topic 808, </w:t>
      </w:r>
      <w:r>
        <w:rPr>
          <w:rFonts w:ascii="Times New Roman;serif" w:hAnsi="Times New Roman;serif"/>
          <w:b w:val="false"/>
          <w:i/>
          <w:color w:val="000000"/>
          <w:sz w:val="20"/>
        </w:rPr>
        <w:t>Collaborative Agreements</w:t>
      </w:r>
      <w:r>
        <w:rPr>
          <w:rFonts w:ascii="Times New Roman;serif" w:hAnsi="Times New Roman;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consolidated statements of operations.</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2023, Cumberland named Martin S. Brown Jr. to our Board of Directors. Mr. Brown is an attorney with over 30 years of corporate law experience who brings significant legal, public company, health care and civic experience to our board. The Company relies on several law firms for legal advice, including the firm with which Mr. Brown is affiliated. In 2025 and 2024, the Company paid Mr. Brown’s law firm $0.09 million and $0.05 million, respectively.</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Recent Accounting Guidance </w:t>
      </w:r>
    </w:p>
    <w:p>
      <w:pPr>
        <w:pStyle w:val="TextBody"/>
        <w:bidi w:val="0"/>
        <w:spacing w:lineRule="auto" w:line="288" w:before="16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Adopted</w:t>
      </w:r>
    </w:p>
    <w:p>
      <w:pPr>
        <w:pStyle w:val="TextBody"/>
        <w:bidi w:val="0"/>
        <w:spacing w:lineRule="auto" w:line="288" w:before="160" w:after="120"/>
        <w:ind w:left="0" w:right="0" w:firstLine="360"/>
        <w:jc w:val="both"/>
        <w:rPr/>
      </w:pPr>
      <w:r>
        <w:rPr>
          <w:rFonts w:ascii="Times New Roman;serif" w:hAnsi="Times New Roman;serif"/>
          <w:b w:val="false"/>
          <w:color w:val="000000"/>
          <w:sz w:val="20"/>
        </w:rPr>
        <w:t xml:space="preserve">In November 2023, the Financial Accounting Standards Board ("FASB") issued final guidance in Accounting Standards Update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which is intended to improve transparency of segment disclosures, primarily 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("Update 2023-09"), which expands income tax disclosure requirements to include additional information related to the rate reconciliation of our effective tax rates to statutory rates as well as additional disaggregation of taxes paid. The amendments in Update 2023-09 also remove disclosures related to certain unrecognized tax benefits and deferred taxes. Update 2023-09 is effective for fiscal years beginning after December 15, 2024, with early adoption permitted. We adopted Update 2023-09 effective for this annual report for the year ended December 31, 2025 on a prospective basis.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("Update 2024-03"), which requires companies to disclose additional information for certain relevant expense categories in the Statements of Operations and within the notes to the financial statements. Update 2024-03 is effective for annual periods beginning after December 15, 2026, and interim periods beginning after December 15, 2027, with early adoption permitted and can be applied either prospectively to financial statements issued for reporting periods after the effective date, or retrospectively to prior periods which are presented in the financial statements. We are currently assessing the impact of the requirements on our consolidated financial statements and disclosures.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("Update 2025-05"), which allows public business entities to elect a practical expedient for current accounts receivables and contract assets to assume that current conditions as of the balance sheet date do not change for the remaining life of the asset. Update 2025-05 is effective for fiscal years beginning after December 15, 2025, with early adoption permitted, and is required to be applied on a prospective basis. We plan to elect the practical expedient in the period required but do not expect it to have a material impact on the recognition or measurement of our credit losses within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both"/>
        <w:rPr/>
      </w:pPr>
      <w:r>
        <w:rPr>
          <w:rFonts w:ascii="Times New Roman;serif" w:hAnsi="Times New Roman;serif"/>
          <w:b/>
          <w:color w:val="000000"/>
          <w:sz w:val="20"/>
        </w:rPr>
        <w:t>(3)    Vibativ</w:t>
      </w:r>
      <w:r>
        <w:rPr>
          <w:rFonts w:ascii="Times New Roman;serif" w:hAnsi="Times New Roman;serif"/>
          <w:b/>
          <w:color w:val="000000"/>
          <w:sz w:val="13"/>
        </w:rPr>
        <w:t xml:space="preserve">® </w:t>
      </w:r>
      <w:r>
        <w:rPr>
          <w:rFonts w:ascii="Times New Roman;serif" w:hAnsi="Times New Roman;serif"/>
          <w:b/>
          <w:color w:val="000000"/>
          <w:sz w:val="20"/>
        </w:rPr>
        <w:t>and Sancuso</w:t>
      </w:r>
      <w:r>
        <w:rPr>
          <w:rFonts w:ascii="Times New Roman;serif" w:hAnsi="Times New Roman;serif"/>
          <w:b/>
          <w:color w:val="000000"/>
          <w:sz w:val="13"/>
        </w:rPr>
        <w:t xml:space="preserve">® </w:t>
      </w:r>
      <w:r>
        <w:rPr>
          <w:rFonts w:ascii="Times New Roman;serif" w:hAnsi="Times New Roman;serif"/>
          <w:b/>
          <w:color w:val="000000"/>
          <w:sz w:val="20"/>
        </w:rPr>
        <w:t>Products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Vibativ</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$2.5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annually.</w:t>
      </w:r>
    </w:p>
    <w:tbl>
      <w:tblPr>
        <w:tblW w:w="6928" w:type="dxa"/>
        <w:jc w:val="left"/>
        <w:tblInd w:w="0" w:type="dxa"/>
        <w:tblLayout w:type="fixed"/>
        <w:tblCellMar>
          <w:top w:w="28" w:type="dxa"/>
          <w:left w:w="28" w:type="dxa"/>
          <w:bottom w:w="28" w:type="dxa"/>
          <w:right w:w="28" w:type="dxa"/>
        </w:tblCellMar>
      </w:tblPr>
      <w:tblGrid>
        <w:gridCol w:w="1379"/>
        <w:gridCol w:w="1211"/>
        <w:gridCol w:w="1219"/>
        <w:gridCol w:w="489"/>
        <w:gridCol w:w="2270"/>
        <w:gridCol w:w="360"/>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Contingent Consideration Liability</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4,033,373 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royalty during the period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(817,387)</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2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(668,976)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695,989 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3,242,999 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royalty during the period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(1,023,203)</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2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1,304,585 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3,630,598 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portion of the contingent consideration liability is $1.9 million and the non-current portion is $1.7 million, as of December 31, 2025. </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Sancuso</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3, 2022, Cumberland acquired the U.S. rights to the FDA-approved oncology-supportive care medicine Sancuso from Kyowa Kirin, Inc. ("Kyowa Kirin"), the U.S. affiliate of Japan-based Kyowa Kirin Co., Ltd.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acquired U.S. rights to Sancuso and assumed full commercial responsibility for the product in the U.S. – including its marketing, promotion, distribution, manufacturing and medical support activities. The product’s FDA registration was subsequently transferred from Kyowa Kirin to Cumberland in August 2023.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In January 2023, Cumberland made a $1.0 million milestone payment to Kyowa Kirin based on the FDA approval of a manufacturing site for the product. In October 2023, Cumberland made a $0.5 million milestone payment based on the successful transfer of the product’s FDA registration from Kyowa Kirin to Cumberland.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$2 million in milestone payments are tied to achievement of certain annual sales levels for the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acquisition was funded by cash and the Company's revolving credit facility. The fair value for the assets and liabilities assumed using Level 3 fair value inputs were as follows: prepaid expenses of $1.8 million, inventory $2.6 million, goodwill $0.03 million, intangible assets $14.1 million, milestone payable $1.7 million and contingent liability $3.4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w:t>
      </w:r>
    </w:p>
    <w:tbl>
      <w:tblPr>
        <w:tblW w:w="7038" w:type="dxa"/>
        <w:jc w:val="left"/>
        <w:tblInd w:w="0" w:type="dxa"/>
        <w:tblLayout w:type="fixed"/>
        <w:tblCellMar>
          <w:top w:w="28" w:type="dxa"/>
          <w:left w:w="28" w:type="dxa"/>
          <w:bottom w:w="28" w:type="dxa"/>
          <w:right w:w="28" w:type="dxa"/>
        </w:tblCellMar>
      </w:tblPr>
      <w:tblGrid>
        <w:gridCol w:w="1379"/>
        <w:gridCol w:w="1211"/>
        <w:gridCol w:w="1219"/>
        <w:gridCol w:w="499"/>
        <w:gridCol w:w="2315"/>
        <w:gridCol w:w="26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Contingent Consideration Liability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2,306,000 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royalty during the period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(898,686)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281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(791,828)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900,514 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1,516,000 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royalty during the period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(689,732)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2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(152,786)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599,518 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1,273,000 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portion of the contingent consideration liability is $0.8 million and the non-current portion is $0.5 million,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(4)    Revenues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Product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net product revenues consisted of the following for the years ended December 31:</w:t>
      </w:r>
    </w:p>
    <w:tbl>
      <w:tblPr>
        <w:tblW w:w="5339" w:type="dxa"/>
        <w:jc w:val="left"/>
        <w:tblInd w:w="0" w:type="dxa"/>
        <w:tblLayout w:type="fixed"/>
        <w:tblCellMar>
          <w:top w:w="28" w:type="dxa"/>
          <w:left w:w="28" w:type="dxa"/>
          <w:bottom w:w="28" w:type="dxa"/>
          <w:right w:w="28" w:type="dxa"/>
        </w:tblCellMar>
      </w:tblPr>
      <w:tblGrid>
        <w:gridCol w:w="585"/>
        <w:gridCol w:w="513"/>
        <w:gridCol w:w="522"/>
        <w:gridCol w:w="109"/>
        <w:gridCol w:w="109"/>
        <w:gridCol w:w="109"/>
        <w:gridCol w:w="211"/>
        <w:gridCol w:w="1081"/>
        <w:gridCol w:w="109"/>
        <w:gridCol w:w="109"/>
        <w:gridCol w:w="109"/>
        <w:gridCol w:w="109"/>
        <w:gridCol w:w="211"/>
        <w:gridCol w:w="1081"/>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Talicia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44,521,431 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37,867,945 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pPr>
      <w:r>
        <w:rPr>
          <w:rFonts w:ascii="Times New Roman;serif" w:hAnsi="Times New Roman;serif"/>
          <w:b/>
          <w:i/>
          <w:color w:val="000000"/>
          <w:sz w:val="20"/>
        </w:rPr>
        <w:t>Other Revenues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and third quarters of 2025, the Company received $3.1 million relating to milestone payments received from our international partners which is included in other revenues.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revenues includes funding from federal grant programs including those secured from the FDA and from those secured by CET through the Small Business Administration. Grant revenue from these federal grant programs totaled approximately $0.4 million for the years ended December 31, 2024. There was no grant revenue for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revenues also includes lease income generated by CET’s Life Sciences Center. It is a research facility that provides scientists with access to flexible lab space and other resources to develop biomedical products. This lease income, as noted in Footnote 15 - Leases, was approximately $0.7 million and $0.6 million and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(5)    Inventories,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net inventories consisted of the following as of December 31:</w:t>
      </w:r>
    </w:p>
    <w:tbl>
      <w:tblPr>
        <w:tblW w:w="6546" w:type="dxa"/>
        <w:jc w:val="left"/>
        <w:tblInd w:w="0" w:type="dxa"/>
        <w:tblLayout w:type="fixed"/>
        <w:tblCellMar>
          <w:top w:w="28" w:type="dxa"/>
          <w:left w:w="28" w:type="dxa"/>
          <w:bottom w:w="28" w:type="dxa"/>
          <w:right w:w="28" w:type="dxa"/>
        </w:tblCellMar>
      </w:tblPr>
      <w:tblGrid>
        <w:gridCol w:w="1141"/>
        <w:gridCol w:w="1001"/>
        <w:gridCol w:w="1008"/>
        <w:gridCol w:w="109"/>
        <w:gridCol w:w="109"/>
        <w:gridCol w:w="109"/>
        <w:gridCol w:w="211"/>
        <w:gridCol w:w="976"/>
        <w:gridCol w:w="109"/>
        <w:gridCol w:w="109"/>
        <w:gridCol w:w="109"/>
        <w:gridCol w:w="109"/>
        <w:gridCol w:w="211"/>
        <w:gridCol w:w="1081"/>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Consigned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net of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non-current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classified as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non-current inventories consisted of the following as of December 31:</w:t>
      </w:r>
    </w:p>
    <w:tbl>
      <w:tblPr>
        <w:tblW w:w="5780" w:type="dxa"/>
        <w:jc w:val="left"/>
        <w:tblInd w:w="0" w:type="dxa"/>
        <w:tblLayout w:type="fixed"/>
        <w:tblCellMar>
          <w:top w:w="28" w:type="dxa"/>
          <w:left w:w="28" w:type="dxa"/>
          <w:bottom w:w="28" w:type="dxa"/>
          <w:right w:w="28" w:type="dxa"/>
        </w:tblCellMar>
      </w:tblPr>
      <w:tblGrid>
        <w:gridCol w:w="864"/>
        <w:gridCol w:w="758"/>
        <w:gridCol w:w="762"/>
        <w:gridCol w:w="109"/>
        <w:gridCol w:w="109"/>
        <w:gridCol w:w="109"/>
        <w:gridCol w:w="211"/>
        <w:gridCol w:w="976"/>
        <w:gridCol w:w="109"/>
        <w:gridCol w:w="109"/>
        <w:gridCol w:w="109"/>
        <w:gridCol w:w="109"/>
        <w:gridCol w:w="211"/>
        <w:gridCol w:w="108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 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 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 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Study drug 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 Consigned inventory represents Authorized Generic inventory stored with Padagis until shipment. </w:t>
      </w:r>
    </w:p>
    <w:p>
      <w:pPr>
        <w:pStyle w:val="TextBody"/>
        <w:bidi w:val="0"/>
        <w:spacing w:lineRule="auto" w:line="288" w:before="20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there were no cumulative obsolescence or discontinuance losses necessary to recognize.</w:t>
      </w:r>
    </w:p>
    <w:p>
      <w:pPr>
        <w:pStyle w:val="TextBody"/>
        <w:bidi w:val="0"/>
        <w:spacing w:before="20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(6)    Property and Equipment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at December 31:</w:t>
      </w:r>
    </w:p>
    <w:tbl>
      <w:tblPr>
        <w:tblW w:w="9133" w:type="dxa"/>
        <w:jc w:val="left"/>
        <w:tblInd w:w="0" w:type="dxa"/>
        <w:tblLayout w:type="fixed"/>
        <w:tblCellMar>
          <w:top w:w="28" w:type="dxa"/>
          <w:left w:w="28" w:type="dxa"/>
          <w:bottom w:w="28" w:type="dxa"/>
          <w:right w:w="28" w:type="dxa"/>
        </w:tblCellMar>
      </w:tblPr>
      <w:tblGrid>
        <w:gridCol w:w="989"/>
        <w:gridCol w:w="867"/>
        <w:gridCol w:w="874"/>
        <w:gridCol w:w="109"/>
        <w:gridCol w:w="109"/>
        <w:gridCol w:w="109"/>
        <w:gridCol w:w="1067"/>
        <w:gridCol w:w="992"/>
        <w:gridCol w:w="1000"/>
        <w:gridCol w:w="109"/>
        <w:gridCol w:w="109"/>
        <w:gridCol w:w="109"/>
        <w:gridCol w:w="213"/>
        <w:gridCol w:w="837"/>
        <w:gridCol w:w="109"/>
        <w:gridCol w:w="109"/>
        <w:gridCol w:w="109"/>
        <w:gridCol w:w="109"/>
        <w:gridCol w:w="213"/>
        <w:gridCol w:w="837"/>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Range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15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15 years, or remaining lease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w:t>
            </w:r>
          </w:p>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(2,502,387)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(2,391,843)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w:t>
            </w:r>
          </w:p>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including amortization expense related to leasehold improvements, is included in general and administrative expense in the consolidated statements of operations. Depreciation expense was as follows for the years ended December 31:</w:t>
      </w:r>
    </w:p>
    <w:tbl>
      <w:tblPr>
        <w:tblW w:w="5084"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211"/>
        <w:gridCol w:w="826"/>
        <w:gridCol w:w="109"/>
        <w:gridCol w:w="109"/>
        <w:gridCol w:w="109"/>
        <w:gridCol w:w="109"/>
        <w:gridCol w:w="211"/>
        <w:gridCol w:w="826"/>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(7)    Intangible Assets and Goodwill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and Goodwill consisted of the following at December 31, 2025 and 2024. </w:t>
      </w:r>
    </w:p>
    <w:tbl>
      <w:tblPr>
        <w:tblW w:w="6201"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211"/>
        <w:gridCol w:w="1081"/>
        <w:gridCol w:w="109"/>
        <w:gridCol w:w="109"/>
        <w:gridCol w:w="109"/>
        <w:gridCol w:w="109"/>
        <w:gridCol w:w="211"/>
        <w:gridCol w:w="108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license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43,250,341 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43,250,341 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(29,846,042)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(26,300,793)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and license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13,404,299 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16,949,548 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 and license rights include assets associated with the Company’s acquired products, including those discussed in Note 3, Vibativ and Sancuso.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and 2024, the Company recorded an additional $0.1 million for each year in intangible assets for patents, trademarks and capitalized patent costs, including amounts incurred in the protection of the Company's intellectual property.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product and license rights, trademarks and patents were as follows for the years ended December 31:</w:t>
      </w:r>
    </w:p>
    <w:tbl>
      <w:tblPr>
        <w:tblW w:w="6734" w:type="dxa"/>
        <w:jc w:val="center"/>
        <w:tblInd w:w="0" w:type="dxa"/>
        <w:tblLayout w:type="fixed"/>
        <w:tblCellMar>
          <w:top w:w="28" w:type="dxa"/>
          <w:left w:w="28" w:type="dxa"/>
          <w:bottom w:w="28" w:type="dxa"/>
          <w:right w:w="28" w:type="dxa"/>
        </w:tblCellMar>
      </w:tblPr>
      <w:tblGrid>
        <w:gridCol w:w="1168"/>
        <w:gridCol w:w="1026"/>
        <w:gridCol w:w="1031"/>
        <w:gridCol w:w="109"/>
        <w:gridCol w:w="109"/>
        <w:gridCol w:w="109"/>
        <w:gridCol w:w="211"/>
        <w:gridCol w:w="976"/>
        <w:gridCol w:w="109"/>
        <w:gridCol w:w="109"/>
        <w:gridCol w:w="109"/>
        <w:gridCol w:w="109"/>
        <w:gridCol w:w="211"/>
        <w:gridCol w:w="976"/>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4,034,657 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4,748,252 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amortization expense for the Company's current balance of intangible assets are as follows:</w:t>
      </w:r>
    </w:p>
    <w:tbl>
      <w:tblPr>
        <w:tblW w:w="4053" w:type="dxa"/>
        <w:jc w:val="center"/>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108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3,399,705 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14,027,921 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(8)    Other Current and Other Long-term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 at December 31:</w:t>
      </w:r>
    </w:p>
    <w:tbl>
      <w:tblPr>
        <w:tblW w:w="8571" w:type="dxa"/>
        <w:jc w:val="left"/>
        <w:tblInd w:w="0" w:type="dxa"/>
        <w:tblLayout w:type="fixed"/>
        <w:tblCellMar>
          <w:top w:w="28" w:type="dxa"/>
          <w:left w:w="28" w:type="dxa"/>
          <w:bottom w:w="28" w:type="dxa"/>
          <w:right w:w="28" w:type="dxa"/>
        </w:tblCellMar>
      </w:tblPr>
      <w:tblGrid>
        <w:gridCol w:w="1838"/>
        <w:gridCol w:w="1613"/>
        <w:gridCol w:w="1619"/>
        <w:gridCol w:w="109"/>
        <w:gridCol w:w="109"/>
        <w:gridCol w:w="109"/>
        <w:gridCol w:w="211"/>
        <w:gridCol w:w="1081"/>
        <w:gridCol w:w="109"/>
        <w:gridCol w:w="109"/>
        <w:gridCol w:w="109"/>
        <w:gridCol w:w="109"/>
        <w:gridCol w:w="211"/>
        <w:gridCol w:w="108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product returns, administrative and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Vibativ accrued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Sancuso accrued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Studies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related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deferred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12,250,955 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consisted of the following at December 31:</w:t>
      </w:r>
    </w:p>
    <w:tbl>
      <w:tblPr>
        <w:tblW w:w="7941" w:type="dxa"/>
        <w:jc w:val="left"/>
        <w:tblInd w:w="0" w:type="dxa"/>
        <w:tblLayout w:type="fixed"/>
        <w:tblCellMar>
          <w:top w:w="28" w:type="dxa"/>
          <w:left w:w="28" w:type="dxa"/>
          <w:bottom w:w="28" w:type="dxa"/>
          <w:right w:w="28" w:type="dxa"/>
        </w:tblCellMar>
      </w:tblPr>
      <w:tblGrid>
        <w:gridCol w:w="1685"/>
        <w:gridCol w:w="1481"/>
        <w:gridCol w:w="1484"/>
        <w:gridCol w:w="109"/>
        <w:gridCol w:w="109"/>
        <w:gridCol w:w="109"/>
        <w:gridCol w:w="211"/>
        <w:gridCol w:w="976"/>
        <w:gridCol w:w="109"/>
        <w:gridCol w:w="109"/>
        <w:gridCol w:w="109"/>
        <w:gridCol w:w="109"/>
        <w:gridCol w:w="211"/>
        <w:gridCol w:w="97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accrued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3,172,483 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5,822,153 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6,299,795 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5, 2023, the Company entered into a new Revolving Credit Loan Agreement with Pinnacle Bank. This facility provides for an aggregate principal funding amount of up to $25 million. The initial revolving line of credit was up to $15 million, with the ability for Cumberland to increase the amount to $25 million, under certain conditions. It had a three year term expiring on October 1, 2026. The interest rate is based on a benchmark (Term SOFR) plus a spread of 2.75%. Cumberland was initially subject to one financial covenant, the maintenance of a Funded Debt Ratio, determined on a quarterly basis. Borrowings under the line of credit are collateralized by substantially all of our assets.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$15 million or (b) the sum of the Company's cash balances and eligible accounts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18, 2025, the Company entered into the First Amendment to the Revolving Credit Note and Second Amendment to the Credit Loan Agreement. The Amendment provides for a principal available for borrowing of up to $15 million. The Company has the right to request an increase of up to an additional $10 million. The aggregate principal funding amount remains unchanged of up to $25 million. The Company is subject to a financial covenant, maintenance of a Minimum Fixed Charge Coverage Ratio determined on a quarterly basis, along with Borrowing Base Requirements, as defined. The Amendment extends the maturity date to October 1, 2027.</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 had $5.2 million and $15.3 million, respectively, in borrowings outstanding under its revolving credit facility. The applicable interest rate under the Pinnacle Agreement was 6.625% and 7.25% at December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erif" w:hAnsi="Times New Roman;serif"/>
          <w:b/>
          <w:color w:val="000000"/>
          <w:sz w:val="20"/>
        </w:rPr>
      </w:pPr>
      <w:r>
        <w:rPr>
          <w:rFonts w:ascii="Times New Roman;serif" w:hAnsi="Times New Roman;serif"/>
          <w:b/>
          <w:color w:val="000000"/>
          <w:sz w:val="20"/>
        </w:rPr>
        <w:t>(10)    Shareholders’ Equity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    Initial Public Offering and Shares Issued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05, 2025, the Company issued 1,000,000 shares of common stock under an At The Market program for an aggregate amount of $5.5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    Preferred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2025 and 2024, there was no preferred stock outstanding.</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(c)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and 2024, the Company issued 62,350 shares and 169,991 shares of common stock, respectively, as a result of restricted shares vesting as well as other common share issuances. In 2025, 600 options were exercised. There were no option exercise transactions during 2024.</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    Share Repurchases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has a share repurchase program available to repurchase up to $10 million of its common stock pursuant to Rule 10b-18 of the Securities Exchange Act of 1934. The Company repurchased 58,947 shares and 339,200 shares of common stock for approximately $0.3 million and $0.6 million during the years ended December 31, 2025 and 2024, respectively. There remains approximately $2.2 million available under the current repurchase program available for share repurchases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(11)    Loss Per Share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the numerator and the denominator used to calculate diluted loss per share for the years ended December 31:</w:t>
      </w:r>
    </w:p>
    <w:tbl>
      <w:tblPr>
        <w:tblW w:w="9463" w:type="dxa"/>
        <w:jc w:val="left"/>
        <w:tblInd w:w="0" w:type="dxa"/>
        <w:tblLayout w:type="fixed"/>
        <w:tblCellMar>
          <w:top w:w="28" w:type="dxa"/>
          <w:left w:w="28" w:type="dxa"/>
          <w:bottom w:w="28" w:type="dxa"/>
          <w:right w:w="28" w:type="dxa"/>
        </w:tblCellMar>
      </w:tblPr>
      <w:tblGrid>
        <w:gridCol w:w="2097"/>
        <w:gridCol w:w="1847"/>
        <w:gridCol w:w="1860"/>
        <w:gridCol w:w="109"/>
        <w:gridCol w:w="109"/>
        <w:gridCol w:w="109"/>
        <w:gridCol w:w="211"/>
        <w:gridCol w:w="1051"/>
        <w:gridCol w:w="109"/>
        <w:gridCol w:w="109"/>
        <w:gridCol w:w="109"/>
        <w:gridCol w:w="109"/>
        <w:gridCol w:w="211"/>
        <w:gridCol w:w="1051"/>
        <w:gridCol w:w="109"/>
        <w:gridCol w:w="109"/>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 subsidiary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(6,479,770)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14,854,619 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14,854,619 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anti-dilutive restricted shares and stock options outstanding were as follows for the years ended December 31:</w:t>
      </w:r>
    </w:p>
    <w:tbl>
      <w:tblPr>
        <w:tblW w:w="5611" w:type="dxa"/>
        <w:jc w:val="left"/>
        <w:tblInd w:w="0" w:type="dxa"/>
        <w:tblLayout w:type="fixed"/>
        <w:tblCellMar>
          <w:top w:w="28" w:type="dxa"/>
          <w:left w:w="28" w:type="dxa"/>
          <w:bottom w:w="28" w:type="dxa"/>
          <w:right w:w="28" w:type="dxa"/>
        </w:tblCellMar>
      </w:tblPr>
      <w:tblGrid>
        <w:gridCol w:w="990"/>
        <w:gridCol w:w="868"/>
        <w:gridCol w:w="872"/>
        <w:gridCol w:w="109"/>
        <w:gridCol w:w="109"/>
        <w:gridCol w:w="109"/>
        <w:gridCol w:w="413"/>
        <w:gridCol w:w="413"/>
        <w:gridCol w:w="156"/>
        <w:gridCol w:w="109"/>
        <w:gridCol w:w="109"/>
        <w:gridCol w:w="109"/>
        <w:gridCol w:w="413"/>
        <w:gridCol w:w="413"/>
        <w:gridCol w:w="156"/>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891,381 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611,353 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hanging="9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60" w:after="283"/>
        <w:ind w:left="0" w:right="0" w:firstLine="360"/>
        <w:jc w:val="both"/>
        <w:rPr/>
      </w:pPr>
      <w:r>
        <w:rPr>
          <w:rFonts w:ascii="Aptos;sans-serif" w:hAnsi="Aptos;sans-serif"/>
          <w:b w:val="false"/>
          <w:color w:val="000000"/>
          <w:sz w:val="24"/>
        </w:rPr>
        <w:t>I</w:t>
      </w:r>
      <w:r>
        <w:rPr>
          <w:rFonts w:ascii="Times New Roman;serif" w:hAnsi="Times New Roman;serif"/>
          <w:b w:val="false"/>
          <w:color w:val="000000"/>
          <w:sz w:val="20"/>
        </w:rPr>
        <w:t>n December 2023, the FASB issued ASU No. 2023-09, Income Taxes (Topic 740): Improvements to Income Tax Disclosures ("Update 2023-09"), which expands income tax disclosure requirements to include additional information related to the rate reconciliation of our effective tax rates to statutory rates as well as additional disaggregation of taxes paid. The amendments in Update 2023-09 also remove disclosures related to certain unrecognized tax benefits and deferred taxes. Update 2023-09 is effective for fiscal years beginning after December 15, 2024, with early adoption permitted. We adopted Update 2023-09 effective for this annual report for the year ended December 31, 2025</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net deferred tax assets at December 31 are as follows (in millions):</w:t>
      </w:r>
    </w:p>
    <w:tbl>
      <w:tblPr>
        <w:tblW w:w="8346" w:type="dxa"/>
        <w:jc w:val="left"/>
        <w:tblInd w:w="0" w:type="dxa"/>
        <w:tblLayout w:type="fixed"/>
        <w:tblCellMar>
          <w:top w:w="28" w:type="dxa"/>
          <w:left w:w="28" w:type="dxa"/>
          <w:bottom w:w="28" w:type="dxa"/>
          <w:right w:w="28" w:type="dxa"/>
        </w:tblCellMar>
      </w:tblPr>
      <w:tblGrid>
        <w:gridCol w:w="2089"/>
        <w:gridCol w:w="1836"/>
        <w:gridCol w:w="1850"/>
        <w:gridCol w:w="109"/>
        <w:gridCol w:w="109"/>
        <w:gridCol w:w="109"/>
        <w:gridCol w:w="211"/>
        <w:gridCol w:w="616"/>
        <w:gridCol w:w="109"/>
        <w:gridCol w:w="109"/>
        <w:gridCol w:w="109"/>
        <w:gridCol w:w="109"/>
        <w:gridCol w:w="211"/>
        <w:gridCol w:w="616"/>
        <w:gridCol w:w="154"/>
      </w:tblGrid>
      <w:tr>
        <w:trPr/>
        <w:tc>
          <w:tcPr>
            <w:tcW w:w="208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and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royalty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expired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interest expense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compensation costs incurred on deductible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before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and year of expiration of the Company's federal and state net operating loss carryforwards as of December 31, 2025 (in millions):</w:t>
      </w:r>
    </w:p>
    <w:tbl>
      <w:tblPr>
        <w:tblW w:w="7115" w:type="dxa"/>
        <w:jc w:val="left"/>
        <w:tblInd w:w="0" w:type="dxa"/>
        <w:tblLayout w:type="fixed"/>
        <w:tblCellMar>
          <w:top w:w="28" w:type="dxa"/>
          <w:left w:w="28" w:type="dxa"/>
          <w:bottom w:w="28" w:type="dxa"/>
          <w:right w:w="28" w:type="dxa"/>
        </w:tblCellMar>
      </w:tblPr>
      <w:tblGrid>
        <w:gridCol w:w="1644"/>
        <w:gridCol w:w="1445"/>
        <w:gridCol w:w="1455"/>
        <w:gridCol w:w="109"/>
        <w:gridCol w:w="109"/>
        <w:gridCol w:w="109"/>
        <w:gridCol w:w="211"/>
        <w:gridCol w:w="616"/>
        <w:gridCol w:w="109"/>
        <w:gridCol w:w="109"/>
        <w:gridCol w:w="109"/>
        <w:gridCol w:w="109"/>
        <w:gridCol w:w="211"/>
        <w:gridCol w:w="616"/>
        <w:gridCol w:w="154"/>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of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w:t>
            </w:r>
          </w:p>
        </w:tc>
      </w:tr>
      <w:tr>
        <w:trPr/>
        <w:tc>
          <w:tcPr>
            <w:tcW w:w="4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federal and state 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(benefit) includes the following components for the years ended December 31 (in millions):</w:t>
      </w:r>
    </w:p>
    <w:tbl>
      <w:tblPr>
        <w:tblW w:w="5991" w:type="dxa"/>
        <w:jc w:val="left"/>
        <w:tblInd w:w="0" w:type="dxa"/>
        <w:tblLayout w:type="fixed"/>
        <w:tblCellMar>
          <w:top w:w="28" w:type="dxa"/>
          <w:left w:w="28" w:type="dxa"/>
          <w:bottom w:w="28" w:type="dxa"/>
          <w:right w:w="28" w:type="dxa"/>
        </w:tblCellMar>
      </w:tblPr>
      <w:tblGrid>
        <w:gridCol w:w="1283"/>
        <w:gridCol w:w="1132"/>
        <w:gridCol w:w="1140"/>
        <w:gridCol w:w="109"/>
        <w:gridCol w:w="109"/>
        <w:gridCol w:w="109"/>
        <w:gridCol w:w="211"/>
        <w:gridCol w:w="511"/>
        <w:gridCol w:w="109"/>
        <w:gridCol w:w="109"/>
        <w:gridCol w:w="109"/>
        <w:gridCol w:w="109"/>
        <w:gridCol w:w="211"/>
        <w:gridCol w:w="58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we adopted ASU 2023-09 on a prospective basis effective January 1, 2025. The following table presents required disclosure pursuant to ASU 2023-09 and reconciles the U.S. federal statutory tax amount and rate to our actual global effective amount and rate for the year ended December 31, 2025 (in millions, except percentages):</w:t>
      </w:r>
    </w:p>
    <w:tbl>
      <w:tblPr>
        <w:tblW w:w="7957" w:type="dxa"/>
        <w:jc w:val="left"/>
        <w:tblInd w:w="0" w:type="dxa"/>
        <w:tblLayout w:type="fixed"/>
        <w:tblCellMar>
          <w:top w:w="28" w:type="dxa"/>
          <w:left w:w="28" w:type="dxa"/>
          <w:bottom w:w="28" w:type="dxa"/>
          <w:right w:w="28" w:type="dxa"/>
        </w:tblCellMar>
      </w:tblPr>
      <w:tblGrid>
        <w:gridCol w:w="1908"/>
        <w:gridCol w:w="1683"/>
        <w:gridCol w:w="1689"/>
        <w:gridCol w:w="109"/>
        <w:gridCol w:w="109"/>
        <w:gridCol w:w="109"/>
        <w:gridCol w:w="211"/>
        <w:gridCol w:w="586"/>
        <w:gridCol w:w="109"/>
        <w:gridCol w:w="109"/>
        <w:gridCol w:w="109"/>
        <w:gridCol w:w="109"/>
        <w:gridCol w:w="344"/>
        <w:gridCol w:w="346"/>
        <w:gridCol w:w="427"/>
      </w:tblGrid>
      <w:tr>
        <w:trPr/>
        <w:tc>
          <w:tcPr>
            <w:tcW w:w="190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Expiring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State and local taxes in Pennsylvania and Texas made up the majority (greater than 50%) of the tax effect in this category.</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for 2024 reconciles with the federal statutory tax rate as follows: </w:t>
      </w:r>
    </w:p>
    <w:tbl>
      <w:tblPr>
        <w:tblW w:w="6117" w:type="dxa"/>
        <w:jc w:val="left"/>
        <w:tblInd w:w="0" w:type="dxa"/>
        <w:tblLayout w:type="fixed"/>
        <w:tblCellMar>
          <w:top w:w="28" w:type="dxa"/>
          <w:left w:w="28" w:type="dxa"/>
          <w:bottom w:w="28" w:type="dxa"/>
          <w:right w:w="28" w:type="dxa"/>
        </w:tblCellMar>
      </w:tblPr>
      <w:tblGrid>
        <w:gridCol w:w="1732"/>
        <w:gridCol w:w="1521"/>
        <w:gridCol w:w="1531"/>
        <w:gridCol w:w="109"/>
        <w:gridCol w:w="109"/>
        <w:gridCol w:w="109"/>
        <w:gridCol w:w="344"/>
        <w:gridCol w:w="346"/>
        <w:gridCol w:w="316"/>
      </w:tblGrid>
      <w:tr>
        <w:trPr/>
        <w:tc>
          <w:tcPr>
            <w:tcW w:w="173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computed at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generated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Expiring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True-ups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believes that it is not more likely than not that its net deferred tax assets will be realized.</w:t>
      </w:r>
      <w:r>
        <w:rPr>
          <w:color w:val="000000"/>
        </w:rPr>
        <w:t xml:space="preserve"> </w:t>
      </w:r>
      <w:r>
        <w:rPr>
          <w:rFonts w:ascii="Times New Roman;serif" w:hAnsi="Times New Roman;serif"/>
          <w:b w:val="false"/>
          <w:color w:val="000000"/>
          <w:sz w:val="20"/>
        </w:rPr>
        <w:t>As such, the net deferred tax assets are fully offset with a valuation allowance as of the periods ended 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general business credit carryforwards of $1.6 million. These credit carryforwards will expire in years 2027 through 2044 (in millions).</w:t>
      </w:r>
    </w:p>
    <w:tbl>
      <w:tblPr>
        <w:tblW w:w="4745" w:type="dxa"/>
        <w:jc w:val="left"/>
        <w:tblInd w:w="0" w:type="dxa"/>
        <w:tblLayout w:type="fixed"/>
        <w:tblCellMar>
          <w:top w:w="28" w:type="dxa"/>
          <w:left w:w="28" w:type="dxa"/>
          <w:bottom w:w="28" w:type="dxa"/>
          <w:right w:w="28" w:type="dxa"/>
        </w:tblCellMar>
      </w:tblPr>
      <w:tblGrid>
        <w:gridCol w:w="1292"/>
        <w:gridCol w:w="1135"/>
        <w:gridCol w:w="1143"/>
        <w:gridCol w:w="109"/>
        <w:gridCol w:w="109"/>
        <w:gridCol w:w="109"/>
        <w:gridCol w:w="255"/>
        <w:gridCol w:w="256"/>
        <w:gridCol w:w="337"/>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of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w:t>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federal and state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it will continue to pay minimal taxes in future periods through the continued utilization of net operating loss carryforwards, as it is able to achieve taxable income through its operations. The Company is no longer subject to U.S. federal tax examinations for tax years before 2021, and with few exceptions, the Company is not subject to examination by state tax authorities for tax years which ended before 2021. Loss carryforwards and credit carryforwards generated or utilized in years earlier than 2021 remain subject to examination and adjustment. During 2012, the 2009 federal tax return was examined by the Internal Revenue Service with no significant findings or adjustments. During 2025, the 2022 federal tax return was selected for examination, again with no significant findings or adjustments. The Company has no unrecognized tax benefits in 2025 and 2024.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adopted ASU 2023-09 on a prospective basis for the year ended December 31, 2025 and have included the following table as a result of our adoption, which presents income taxes paid (net of refunds received) for the year ended December 31, 2025 (in millions):</w:t>
      </w:r>
    </w:p>
    <w:tbl>
      <w:tblPr>
        <w:tblW w:w="4442" w:type="dxa"/>
        <w:jc w:val="left"/>
        <w:tblInd w:w="0" w:type="dxa"/>
        <w:tblLayout w:type="fixed"/>
        <w:tblCellMar>
          <w:top w:w="28" w:type="dxa"/>
          <w:left w:w="28" w:type="dxa"/>
          <w:bottom w:w="28" w:type="dxa"/>
          <w:right w:w="28" w:type="dxa"/>
        </w:tblCellMar>
      </w:tblPr>
      <w:tblGrid>
        <w:gridCol w:w="1172"/>
        <w:gridCol w:w="1028"/>
        <w:gridCol w:w="1039"/>
        <w:gridCol w:w="109"/>
        <w:gridCol w:w="109"/>
        <w:gridCol w:w="109"/>
        <w:gridCol w:w="211"/>
        <w:gridCol w:w="51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amounts refunded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hanging="90"/>
        <w:jc w:val="left"/>
        <w:rPr>
          <w:rFonts w:ascii="Times New Roman;serif" w:hAnsi="Times New Roman;serif"/>
          <w:b/>
          <w:color w:val="000000"/>
          <w:sz w:val="20"/>
        </w:rPr>
      </w:pPr>
      <w:r>
        <w:rPr>
          <w:rFonts w:ascii="Times New Roman;serif" w:hAnsi="Times New Roman;serif"/>
          <w:b/>
          <w:color w:val="000000"/>
          <w:sz w:val="20"/>
        </w:rPr>
        <w:t>(13)    Stock-Based Compensation Plans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grants outstanding under two equity compensation plans. The 2007 Long-Term Incentive Compensation Plan (the "2007 Plan") and the 2007 Directors’ Incentive Plan (the "Directors’ Plan"), which were approved by shareholders, superseded the 1999 Stock Option Plan. Both plans are available for future grants of equity compensation awards to employees, consultants and directors. The 2007 Plan and the Directors’ Plan provide for the issuance of stock options, stock appreciation rights and restricted stock. Vesting is determined on a grant-by-grant basis in accordance with the terms of the plans and the related grant agreements. The Company has reserved 3,150,000 shares of common stock for issuance under the 2007 Plan and 250,000 shares for issuance under the Directors’ Plan. As of December 31, 2025, the Company had 602,994 shares available for future grants under the 2007 Plan and 105,007 shares available under the Directors’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exercise price of stock options is generally 100% of the fair market value of the underlying common stock on the grant date, except for incentive stock options granted to 10% shareholders, which the exercise price is no less than 110% of the fair market value. The maximum contractual term of stock options is ten years from the grant date, except for incentive stock options granted to 10% shareholders, which is no more than five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2011, the Company began issuing shares of restricted stock with no exercise price to employees and directors. Restricted stock issued to employees generally cliff-vests on the fourth anniversary of the grant date. Beginning in 2021, the Company began issuing incentive stock options to employees with the same fourth anniversary cliff-vest. Restricted stock continues to be issued to directors and vests on the one year anniversary of the grant date. Restricted stock issued to advisors generally cliff-vests on the fourth anniversary of the grant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compensation expense is presented as a component of general and administrative expense in the consolidated statements of operations. Stock compensation expense was $0.4 million and $0.3 million for the years ended December 31, 2025 and 2024,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there was approximately $0.7 million of unrecognized compensation cost related to share-based payments, which is expected to be recognized over a weighted-average period of 2 years.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options activity was as follows:</w:t>
      </w:r>
    </w:p>
    <w:tbl>
      <w:tblPr>
        <w:tblW w:w="10106" w:type="dxa"/>
        <w:jc w:val="left"/>
        <w:tblInd w:w="0" w:type="dxa"/>
        <w:tblLayout w:type="fixed"/>
        <w:tblCellMar>
          <w:top w:w="28" w:type="dxa"/>
          <w:left w:w="28" w:type="dxa"/>
          <w:bottom w:w="28" w:type="dxa"/>
          <w:right w:w="28" w:type="dxa"/>
        </w:tblCellMar>
      </w:tblPr>
      <w:tblGrid>
        <w:gridCol w:w="1010"/>
        <w:gridCol w:w="889"/>
        <w:gridCol w:w="891"/>
        <w:gridCol w:w="109"/>
        <w:gridCol w:w="109"/>
        <w:gridCol w:w="109"/>
        <w:gridCol w:w="444"/>
        <w:gridCol w:w="444"/>
        <w:gridCol w:w="446"/>
        <w:gridCol w:w="109"/>
        <w:gridCol w:w="109"/>
        <w:gridCol w:w="109"/>
        <w:gridCol w:w="281"/>
        <w:gridCol w:w="682"/>
        <w:gridCol w:w="146"/>
        <w:gridCol w:w="109"/>
        <w:gridCol w:w="109"/>
        <w:gridCol w:w="109"/>
        <w:gridCol w:w="1209"/>
        <w:gridCol w:w="1209"/>
        <w:gridCol w:w="1211"/>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option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remaining contractual term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487,250 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(36,100)</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641,600 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796,500 </w:t>
            </w:r>
          </w:p>
        </w:tc>
        <w:tc>
          <w:tcPr>
            <w:tcW w:w="4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years 2025 and 2024 was $3.61 and $1.05, respectively. There were 134,050 options that were vested and exercisable at December 31, 2025. The aggregate intrinsic value of options outstanding was $1.0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stock options is calculated using the Black-Scholes (“Black-Scholes-Merton”, or “BSM”) option-pricing model on the grant date. Since 2012, the Company had been issuing Restricted Share Awards where the grant date Fair Value (“FV”) equaled the closing share price. The assumptions used in the Black-Scholes valuation to determine the FV of stock options were as follows at December 31: </w:t>
      </w:r>
    </w:p>
    <w:tbl>
      <w:tblPr>
        <w:tblW w:w="4276" w:type="dxa"/>
        <w:jc w:val="left"/>
        <w:tblInd w:w="0" w:type="dxa"/>
        <w:tblLayout w:type="fixed"/>
        <w:tblCellMar>
          <w:top w:w="28" w:type="dxa"/>
          <w:left w:w="28" w:type="dxa"/>
          <w:bottom w:w="28" w:type="dxa"/>
          <w:right w:w="28" w:type="dxa"/>
        </w:tblCellMar>
      </w:tblPr>
      <w:tblGrid>
        <w:gridCol w:w="772"/>
        <w:gridCol w:w="677"/>
        <w:gridCol w:w="681"/>
        <w:gridCol w:w="308"/>
        <w:gridCol w:w="308"/>
        <w:gridCol w:w="271"/>
        <w:gridCol w:w="109"/>
        <w:gridCol w:w="109"/>
        <w:gridCol w:w="109"/>
        <w:gridCol w:w="308"/>
        <w:gridCol w:w="308"/>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Expected Term - The Company has estimated the expected life of its stock options using the simplified method, whereby the expected life equals the average of the vesting term and the original contractual term of the option.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Expected volatility</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Based on the Company’s historical stock price volatility.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Risk Free rate - The Company bases the risk-free interest rate assumption for equity awards on the rates for U.S. Treasury zero-coupon bonds with maturities similar to those of the expected term of the award being valued.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Expected dividend yield - The Company’s expected dividend yield assumption is zero as it has never paid dividends and has no present intention to do so in the future.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activity was as follows:</w:t>
      </w:r>
    </w:p>
    <w:tbl>
      <w:tblPr>
        <w:tblW w:w="6851" w:type="dxa"/>
        <w:jc w:val="left"/>
        <w:tblInd w:w="0" w:type="dxa"/>
        <w:tblLayout w:type="fixed"/>
        <w:tblCellMar>
          <w:top w:w="28" w:type="dxa"/>
          <w:left w:w="28" w:type="dxa"/>
          <w:bottom w:w="28" w:type="dxa"/>
          <w:right w:w="28" w:type="dxa"/>
        </w:tblCellMar>
      </w:tblPr>
      <w:tblGrid>
        <w:gridCol w:w="961"/>
        <w:gridCol w:w="846"/>
        <w:gridCol w:w="848"/>
        <w:gridCol w:w="494"/>
        <w:gridCol w:w="494"/>
        <w:gridCol w:w="496"/>
        <w:gridCol w:w="109"/>
        <w:gridCol w:w="109"/>
        <w:gridCol w:w="109"/>
        <w:gridCol w:w="698"/>
        <w:gridCol w:w="698"/>
        <w:gridCol w:w="989"/>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Weighted-average grant-date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December 31, 2023</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260,566 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Vested/released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(169,991)</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December 31, 2024</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Vested/released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(62,350)</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December 31, 2025</w:t>
            </w:r>
          </w:p>
        </w:tc>
        <w:tc>
          <w:tcPr>
            <w:tcW w:w="9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112,585 </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9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restricted stock granted was based on the closing market price of the Company’s common stock on the grant date. The fair value of restricted stock awards that vested during the years 2025 and 2024 was $0.3 million for each year. At December 31, 2025, there was approximately $0.2 million of unrecognized compensation costs related to restricted stock awards, which is expected to be recognized over a weighted-average period of less than a year. The restricted stock grants are included in the diluted weighted shares outstanding computation until they cliff-vest. Once vested they are included in the basic weighted shares outstanding computation.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hanging="90"/>
        <w:jc w:val="both"/>
        <w:rPr>
          <w:rFonts w:ascii="Times New Roman;serif" w:hAnsi="Times New Roman;serif"/>
          <w:b/>
          <w:color w:val="000000"/>
          <w:sz w:val="20"/>
        </w:rPr>
      </w:pPr>
      <w:r>
        <w:rPr>
          <w:rFonts w:ascii="Times New Roman;serif" w:hAnsi="Times New Roman;serif"/>
          <w:b/>
          <w:color w:val="000000"/>
          <w:sz w:val="20"/>
        </w:rPr>
        <w:t>(14)    Employee Benefit Plans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2025 and 2024, the Company contributed approximately $0.08 million in each year to the Plan as an employer match of participant contributions.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2012 and 2013, the Company established non-qualified unfunded deferred compensation plans that allow participants to defer receipt of a portion of their compensation. The liability under the plans, reflected in other long term liabilities in the consolidated balance sheets, was $3.4 million and $3.2 million as of December 31, 2025 and 2024, respectively. The Company had assets consisting of company-owned life insurance contracts generally designated to pay benefits of the deferred compensation plans reflected in other assets in the consolidated balance sheet of $2.5 million and $2.3 million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erif" w:hAnsi="Times New Roman;serif"/>
          <w:b/>
          <w:color w:val="000000"/>
          <w:sz w:val="20"/>
        </w:rPr>
      </w:pPr>
      <w:r>
        <w:rPr>
          <w:rFonts w:ascii="Times New Roman;serif" w:hAnsi="Times New Roman;serif"/>
          <w:b/>
          <w:color w:val="000000"/>
          <w:sz w:val="20"/>
        </w:rPr>
        <w:t>(15)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15, 2021, Cumberland entered into a lease, pursuant to which the Company leases approximately 16,903 rentable square feet of space at the new development Broadwest located in Nashville, Tennessee with 1600 West End Avenue Partners, LLC (“Landlord”).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responsible for paying rent to the Landlord under the lease beginning three months after the commencement date. The Company pays a base rent of $33.06 per square foot of rentable space with a gradual rental rate increase of 2.5% for each year period thereafter of the prior year's base rental. In addition to the monthly base rent, the Company is responsible for its percentage share of the operating expenses of the building. The lease also provides for a tenant improvement allowance for the space.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24, 2022, the CET lease with The Gateway to Nashville, LLC provided the notice of exercise to extend the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within the right-of-use assets are startup expenditures related to a new supply agreement with Nephron Pharmaceuticals Corporation (“Nephron”). These expenditures are classified as an embedded lease resulting in a right-of-use asset to be amortized over the life of the Nephron contract. As of December 31, 2025 and 2024, the carrying value of this asset was $0.6 million and $0.8 million,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included within the right-of-use assets are startup expenditures related to a new master services agreement and project agreement with Kindos Pharmaceuticals Co. Ltd. signed in 2025. These expenditures are also classified as an embedded lease resulting in a right-of-use asset to be amortized over the life of the Kindos contract. As of December 31, 2025, the carrying value of the asset was $3.0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Rent expense is recognized over the expected term of the lease on a straight-line basis as a component of general and administrative expense. Rent expense and sublease income were as follows for the years ended December 31:</w:t>
      </w:r>
    </w:p>
    <w:tbl>
      <w:tblPr>
        <w:tblW w:w="4994"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211"/>
        <w:gridCol w:w="976"/>
        <w:gridCol w:w="109"/>
        <w:gridCol w:w="109"/>
        <w:gridCol w:w="109"/>
        <w:gridCol w:w="109"/>
        <w:gridCol w:w="211"/>
        <w:gridCol w:w="976"/>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previously classified as operating leases.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October 25, 2022 and May 1, 2023. Incremental borrowing rates reflect the Company’s estimated interest rates for collateralized borrowings over similar lease terms.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for the Broadwest and Gateway leases is 8.86 years and 10.42 years for the year ended December 31, 2025 and 2024, respectively. The weighted-average incremental borrowing rate used to discount the present value of the remaining lease payments of both leases is 9.36% and 9.40% for the years ended December 31, 2025 and 2024, respectively.</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Lease Position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Company recorded the following on the Consolidated Balance Sheet: </w:t>
      </w:r>
    </w:p>
    <w:tbl>
      <w:tblPr>
        <w:tblW w:w="7027"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81"/>
        <w:gridCol w:w="1299"/>
        <w:gridCol w:w="145"/>
        <w:gridCol w:w="109"/>
        <w:gridCol w:w="109"/>
        <w:gridCol w:w="109"/>
        <w:gridCol w:w="278"/>
        <w:gridCol w:w="1288"/>
        <w:gridCol w:w="2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8,343,832 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6,176,923 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43" w:type="dxa"/>
        <w:jc w:val="left"/>
        <w:tblInd w:w="0" w:type="dxa"/>
        <w:tblLayout w:type="fixed"/>
        <w:tblCellMar>
          <w:top w:w="28" w:type="dxa"/>
          <w:left w:w="28" w:type="dxa"/>
          <w:bottom w:w="28" w:type="dxa"/>
          <w:right w:w="28" w:type="dxa"/>
        </w:tblCellMar>
      </w:tblPr>
      <w:tblGrid>
        <w:gridCol w:w="1158"/>
        <w:gridCol w:w="1015"/>
        <w:gridCol w:w="1022"/>
        <w:gridCol w:w="109"/>
        <w:gridCol w:w="109"/>
        <w:gridCol w:w="109"/>
        <w:gridCol w:w="281"/>
        <w:gridCol w:w="1299"/>
        <w:gridCol w:w="145"/>
        <w:gridCol w:w="109"/>
        <w:gridCol w:w="109"/>
        <w:gridCol w:w="109"/>
        <w:gridCol w:w="278"/>
        <w:gridCol w:w="1288"/>
        <w:gridCol w:w="20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5,296,247 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cumulative future minimum sublease income under non-cancelable operating subleases totals approximately $0.1 million which includes the 90-day notice required for lease termination. Future minimum lease payments under non-cancelable operating leases (with initial or remaining lease terms in excess of one year) are as follows:</w:t>
      </w:r>
    </w:p>
    <w:tbl>
      <w:tblPr>
        <w:tblW w:w="6461" w:type="dxa"/>
        <w:jc w:val="left"/>
        <w:tblInd w:w="0" w:type="dxa"/>
        <w:tblLayout w:type="fixed"/>
        <w:tblCellMar>
          <w:top w:w="28" w:type="dxa"/>
          <w:left w:w="28" w:type="dxa"/>
          <w:bottom w:w="28" w:type="dxa"/>
          <w:right w:w="28" w:type="dxa"/>
        </w:tblCellMar>
      </w:tblPr>
      <w:tblGrid>
        <w:gridCol w:w="1629"/>
        <w:gridCol w:w="1432"/>
        <w:gridCol w:w="1439"/>
        <w:gridCol w:w="109"/>
        <w:gridCol w:w="109"/>
        <w:gridCol w:w="109"/>
        <w:gridCol w:w="257"/>
        <w:gridCol w:w="1190"/>
        <w:gridCol w:w="187"/>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Maturity of Leases Liabilities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909,911 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934,180 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3,529,586 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7,432,283 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(2,492,543)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(16)    Market Concentrations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customers are wholesale pharmaceutical distributors in the U.S.  Total revenues by customer for each customer representing 10% or more of consolidated revenues are summarized below for the years ended December 31: </w:t>
      </w:r>
    </w:p>
    <w:tbl>
      <w:tblPr>
        <w:tblW w:w="2924"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159"/>
        <w:gridCol w:w="159"/>
        <w:gridCol w:w="161"/>
        <w:gridCol w:w="109"/>
        <w:gridCol w:w="109"/>
        <w:gridCol w:w="109"/>
        <w:gridCol w:w="159"/>
        <w:gridCol w:w="159"/>
        <w:gridCol w:w="161"/>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accounts receivable, net of allowances, due from the customers representing 10% or more of consolidated revenue was 63.7% and 63.7%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erif" w:hAnsi="Times New Roman;serif"/>
          <w:b/>
          <w:color w:val="000000"/>
          <w:sz w:val="20"/>
        </w:rPr>
      </w:pPr>
      <w:r>
        <w:rPr>
          <w:rFonts w:ascii="Times New Roman;serif" w:hAnsi="Times New Roman;serif"/>
          <w:b/>
          <w:color w:val="000000"/>
          <w:sz w:val="20"/>
        </w:rPr>
        <w:t>(17)    Manufacturing and Supply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 suppliers could cause a delay in manufacturing or shipment of finished goods and possible loss of sales, which could adversely affect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erif" w:hAnsi="Times New Roman;serif"/>
          <w:b/>
          <w:color w:val="000000"/>
          <w:sz w:val="20"/>
        </w:rPr>
      </w:pPr>
      <w:r>
        <w:rPr>
          <w:rFonts w:ascii="Times New Roman;serif" w:hAnsi="Times New Roman;serif"/>
          <w:b/>
          <w:color w:val="000000"/>
          <w:sz w:val="20"/>
        </w:rPr>
        <w:t>(18)    Employment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agreements with all its full-time employees. Each employment agreement provides for a salary for services performed, a potential annual bonus and, if applicable, a grant of restricted common shares pursuant to a restricted stock and incentive stock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erif" w:hAnsi="Times New Roman;serif"/>
          <w:b/>
          <w:color w:val="000000"/>
          <w:sz w:val="20"/>
        </w:rPr>
      </w:pPr>
      <w:r>
        <w:rPr>
          <w:rFonts w:ascii="Times New Roman;serif" w:hAnsi="Times New Roman;serif"/>
          <w:b/>
          <w:color w:val="000000"/>
          <w:sz w:val="20"/>
        </w:rPr>
        <w:t>(19)    Commitments and Contingencies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licensing agreements for Caldolor, the Company is required to pay royalties based on net sales over the life of the product. Royalty expense is recognized as a component of selling and marketing expense in the period that revenue is recognized.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Sancuso, the Company is required to pay up to $3.5 million in milestones and tiered royalties ranging from 10% to 5% on U.S. net product sales for ten years. </w:t>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2012, Cumberland has continued to vigorously defend and protect its Acetadote product and related intellectual property rights including the use of all its legal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erif" w:hAnsi="Times New Roman;serif"/>
          <w:b/>
          <w:color w:val="000000"/>
          <w:sz w:val="20"/>
        </w:rPr>
      </w:pPr>
      <w:r>
        <w:rPr>
          <w:rFonts w:ascii="Times New Roman;serif" w:hAnsi="Times New Roman;serif"/>
          <w:b/>
          <w:color w:val="000000"/>
          <w:sz w:val="20"/>
        </w:rPr>
        <w:t>(20)    Quarterly Financial Information (Unaudited)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unaudited operating results for each fiscal quarter of 2025 and 2024:</w:t>
      </w:r>
    </w:p>
    <w:tbl>
      <w:tblPr>
        <w:tblW w:w="10205" w:type="dxa"/>
        <w:jc w:val="left"/>
        <w:tblInd w:w="0" w:type="dxa"/>
        <w:tblLayout w:type="fixed"/>
        <w:tblCellMar>
          <w:top w:w="28" w:type="dxa"/>
          <w:left w:w="28" w:type="dxa"/>
          <w:bottom w:w="28" w:type="dxa"/>
          <w:right w:w="28" w:type="dxa"/>
        </w:tblCellMar>
      </w:tblPr>
      <w:tblGrid>
        <w:gridCol w:w="965"/>
        <w:gridCol w:w="656"/>
        <w:gridCol w:w="663"/>
        <w:gridCol w:w="109"/>
        <w:gridCol w:w="109"/>
        <w:gridCol w:w="109"/>
        <w:gridCol w:w="196"/>
        <w:gridCol w:w="961"/>
        <w:gridCol w:w="109"/>
        <w:gridCol w:w="109"/>
        <w:gridCol w:w="109"/>
        <w:gridCol w:w="109"/>
        <w:gridCol w:w="196"/>
        <w:gridCol w:w="961"/>
        <w:gridCol w:w="109"/>
        <w:gridCol w:w="109"/>
        <w:gridCol w:w="109"/>
        <w:gridCol w:w="109"/>
        <w:gridCol w:w="196"/>
        <w:gridCol w:w="871"/>
        <w:gridCol w:w="109"/>
        <w:gridCol w:w="109"/>
        <w:gridCol w:w="109"/>
        <w:gridCol w:w="109"/>
        <w:gridCol w:w="196"/>
        <w:gridCol w:w="961"/>
        <w:gridCol w:w="109"/>
        <w:gridCol w:w="109"/>
        <w:gridCol w:w="109"/>
        <w:gridCol w:w="109"/>
        <w:gridCol w:w="196"/>
        <w:gridCol w:w="961"/>
        <w:gridCol w:w="155"/>
      </w:tblGrid>
      <w:tr>
        <w:trPr/>
        <w:tc>
          <w:tcPr>
            <w:tcW w:w="96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First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Second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Third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Fourth</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44,521,431 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(2,791,993)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(2,864,711)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(2,836,128)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Earnings (loss) per share attributable to common shareholders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37,867,945 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(6,432,409)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(6,443,715)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(6,479,770)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Earnings (loss) per share attributable to common shareholders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Due to the nature of interim earnings per share calculations, the sum of the quarterly earnings (loss) per share amounts may not equal the reported earnings (loss) per share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(21) Segment Reporting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reportable segment which is specialty pharmaceutical products. The Company's chief operating decision maker (“CODM”) is its chief executive officer. The CODM uses consolidated, single segment financial information for purposes of evaluating performance, planning and forecasting future period financial results, and allocating resources. 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selected financial information of the Company’s single operating segment for the years ended December 31:</w:t>
      </w:r>
    </w:p>
    <w:tbl>
      <w:tblPr>
        <w:tblW w:w="9305" w:type="dxa"/>
        <w:jc w:val="left"/>
        <w:tblInd w:w="0" w:type="dxa"/>
        <w:tblLayout w:type="fixed"/>
        <w:tblCellMar>
          <w:top w:w="28" w:type="dxa"/>
          <w:left w:w="28" w:type="dxa"/>
          <w:bottom w:w="28" w:type="dxa"/>
          <w:right w:w="28" w:type="dxa"/>
        </w:tblCellMar>
      </w:tblPr>
      <w:tblGrid>
        <w:gridCol w:w="2098"/>
        <w:gridCol w:w="1849"/>
        <w:gridCol w:w="1857"/>
        <w:gridCol w:w="109"/>
        <w:gridCol w:w="109"/>
        <w:gridCol w:w="109"/>
        <w:gridCol w:w="211"/>
        <w:gridCol w:w="1081"/>
        <w:gridCol w:w="109"/>
        <w:gridCol w:w="109"/>
        <w:gridCol w:w="109"/>
        <w:gridCol w:w="109"/>
        <w:gridCol w:w="211"/>
        <w:gridCol w:w="1081"/>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37,867,945 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17,023,023 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44,300,354 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(6,432,409)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gain on insurance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(6,466,384)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(6,443,715)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 subsidiary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(2,836,128)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(6,479,770)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right"/>
        <w:rPr>
          <w:rFonts w:ascii="Arial;sans-serif" w:hAnsi="Arial;sans-serif"/>
          <w:b/>
          <w:color w:val="000000"/>
          <w:sz w:val="20"/>
        </w:rPr>
      </w:pPr>
      <w:r>
        <w:rPr>
          <w:rFonts w:ascii="Arial;sans-serif" w:hAnsi="Arial;sans-serif"/>
          <w:b/>
          <w:color w:val="000000"/>
          <w:sz w:val="20"/>
        </w:rPr>
        <w:t>Schedule II</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Valuation and Qualifying Accounts</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Years ended December 31, 2025 and 2024.</w:t>
      </w:r>
    </w:p>
    <w:tbl>
      <w:tblPr>
        <w:tblW w:w="10205" w:type="dxa"/>
        <w:jc w:val="left"/>
        <w:tblInd w:w="0" w:type="dxa"/>
        <w:tblLayout w:type="fixed"/>
        <w:tblCellMar>
          <w:top w:w="28" w:type="dxa"/>
          <w:left w:w="28" w:type="dxa"/>
          <w:bottom w:w="28" w:type="dxa"/>
          <w:right w:w="28" w:type="dxa"/>
        </w:tblCellMar>
      </w:tblPr>
      <w:tblGrid>
        <w:gridCol w:w="668"/>
        <w:gridCol w:w="588"/>
        <w:gridCol w:w="593"/>
        <w:gridCol w:w="109"/>
        <w:gridCol w:w="109"/>
        <w:gridCol w:w="109"/>
        <w:gridCol w:w="540"/>
        <w:gridCol w:w="541"/>
        <w:gridCol w:w="356"/>
        <w:gridCol w:w="109"/>
        <w:gridCol w:w="109"/>
        <w:gridCol w:w="109"/>
        <w:gridCol w:w="488"/>
        <w:gridCol w:w="488"/>
        <w:gridCol w:w="266"/>
        <w:gridCol w:w="109"/>
        <w:gridCol w:w="109"/>
        <w:gridCol w:w="109"/>
        <w:gridCol w:w="413"/>
        <w:gridCol w:w="413"/>
        <w:gridCol w:w="326"/>
        <w:gridCol w:w="109"/>
        <w:gridCol w:w="109"/>
        <w:gridCol w:w="109"/>
        <w:gridCol w:w="497"/>
        <w:gridCol w:w="498"/>
        <w:gridCol w:w="326"/>
        <w:gridCol w:w="109"/>
        <w:gridCol w:w="109"/>
        <w:gridCol w:w="109"/>
        <w:gridCol w:w="540"/>
        <w:gridCol w:w="541"/>
        <w:gridCol w:w="488"/>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beginning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Charged to</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costs and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Charged to</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end of period</w:t>
            </w:r>
          </w:p>
        </w:tc>
      </w:tr>
      <w:tr>
        <w:trPr/>
        <w:tc>
          <w:tcPr>
            <w:tcW w:w="1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amounts, cash discounts, chargebacks, and credits issued for damaged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w:t>
            </w:r>
          </w:p>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579,562 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5,734,792 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(5,381,391)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1,036,963 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1,036,963 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6,081,022 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(5,938,517)</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1,190,068 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w:t>
            </w:r>
          </w:p>
          <w:p>
            <w:pPr>
              <w:pStyle w:val="TableContents"/>
              <w:bidi w:val="0"/>
              <w:spacing w:lineRule="auto" w:line="240"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21,869,328 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21,949,338 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21,949,338 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128,879 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22,078,217 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Composed of actual returns and credits for chargebacks and cash discounts.</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January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A.J. Kazimi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1600 West End Avenue, Suite 1300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Nashville, TN 37203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 xml:space="preserve">Re:    Employment of A.J. Kazimi, </w:t>
      </w:r>
      <w:r>
        <w:rPr>
          <w:rFonts w:ascii="Times New Roman;serif" w:hAnsi="Times New Roman;serif"/>
          <w:b w:val="false"/>
          <w:i/>
          <w:color w:val="000000"/>
          <w:sz w:val="22"/>
        </w:rPr>
        <w:t>Chief Executive Officer</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Dear A.J.,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Effective January 1, 2026, this agreement (the “Agreement”) will evidence the terms and conditions under which you will be employed by Cumberland Pharmaceuticals Inc. (the “Company”). In consideration of your appointment as </w:t>
      </w:r>
      <w:r>
        <w:rPr>
          <w:rFonts w:ascii="Times New Roman;serif" w:hAnsi="Times New Roman;serif"/>
          <w:b w:val="false"/>
          <w:i/>
          <w:color w:val="000000"/>
          <w:sz w:val="22"/>
        </w:rPr>
        <w:t>Chief Executive Officer</w:t>
      </w:r>
      <w:r>
        <w:rPr>
          <w:color w:val="000000"/>
        </w:rPr>
        <w:t xml:space="preserve"> </w:t>
      </w:r>
      <w:r>
        <w:rPr>
          <w:rFonts w:ascii="Times New Roman;serif" w:hAnsi="Times New Roman;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Compensation/Benefits.</w:t>
      </w:r>
      <w:r>
        <w:rPr>
          <w:color w:val="000000"/>
        </w:rPr>
        <w:t xml:space="preserve"> </w:t>
      </w:r>
      <w:r>
        <w:rPr>
          <w:rFonts w:ascii="Times New Roman;serif" w:hAnsi="Times New Roman;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The Company will pay you an annual salary for services performed of seven hundred sixty five thousand dollars ($765,000), in accordance with the Company’s payroll practices. Currently, employees are paid in equal monthly installments payable in arrears on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Place of Employment</w:t>
      </w:r>
      <w:r>
        <w:rPr>
          <w:rFonts w:ascii="Times New Roman;serif" w:hAnsi="Times New Roman;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Duties and Conflicts of Interest</w:t>
      </w:r>
      <w:r>
        <w:rPr>
          <w:rFonts w:ascii="Times New Roman;serif" w:hAnsi="Times New Roman;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Employment at Will</w:t>
      </w:r>
      <w:r>
        <w:rPr>
          <w:rFonts w:ascii="Times New Roman;serif" w:hAnsi="Times New Roman;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2"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Discoveries and Improvements</w:t>
      </w:r>
      <w:r>
        <w:rPr>
          <w:rFonts w:ascii="Times New Roman;serif" w:hAnsi="Times New Roman;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Publication</w:t>
      </w:r>
      <w:r>
        <w:rPr>
          <w:rFonts w:ascii="Times New Roman;serif" w:hAnsi="Times New Roman;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Board of Directors.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Litigation and Regulatory Cooperation</w:t>
      </w:r>
      <w:r>
        <w:rPr>
          <w:rFonts w:ascii="Times New Roman;serif" w:hAnsi="Times New Roman;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Competition</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Board of Directors, is similar to a trademark, product or process on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3"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    The restrictions in this Section 10 shall not apply if you have disclosed to the Company in writing all the known facts relating to such work or activity and have received a release in writing from the Board of Directors allowing you to engage in such work or activity. The Company’s Board of Directors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Solicitation</w:t>
      </w:r>
      <w:r>
        <w:rPr>
          <w:rFonts w:ascii="Times New Roman;serif" w:hAnsi="Times New Roman;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Conflicting Contracts</w:t>
      </w:r>
      <w:r>
        <w:rPr>
          <w:rFonts w:ascii="Times New Roman;serif" w:hAnsi="Times New Roman;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4"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Return of Documents</w:t>
      </w:r>
      <w:r>
        <w:rPr>
          <w:rFonts w:ascii="Times New Roman;serif" w:hAnsi="Times New Roman;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Remedies</w:t>
      </w:r>
      <w:r>
        <w:rPr>
          <w:rFonts w:ascii="Times New Roman;serif" w:hAnsi="Times New Roman;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Debarment</w:t>
      </w:r>
      <w:r>
        <w:rPr>
          <w:rFonts w:ascii="Times New Roman;serif" w:hAnsi="Times New Roman;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Notice</w:t>
      </w:r>
      <w:r>
        <w:rPr>
          <w:rFonts w:ascii="Times New Roman;serif" w:hAnsi="Times New Roman;serif"/>
          <w:b w:val="false"/>
          <w:color w:val="000000"/>
          <w:sz w:val="22"/>
        </w:rPr>
        <w:t>. Any notice required or permitted to be given under this Agreement shall be sent in writing by registered or certified mail to your residence or to the Company at the address on this letterhead, Attention: Board of Directors.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Waiver/Entire Agreement/Amendments</w:t>
      </w:r>
      <w:r>
        <w:rPr>
          <w:rFonts w:ascii="Times New Roman;serif" w:hAnsi="Times New Roman;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Governance</w:t>
      </w:r>
      <w:r>
        <w:rPr>
          <w:rFonts w:ascii="Times New Roman;serif" w:hAnsi="Times New Roman;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Survival</w:t>
      </w:r>
      <w:r>
        <w:rPr>
          <w:rFonts w:ascii="Times New Roman;serif" w:hAnsi="Times New Roman;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5"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Sincerely yours,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By:_______________________________________    Todd Anthony, VP, Organizational Development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Accepted as to all terms and conditions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the ______ of ______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6"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January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James “Jim” Herman</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720 Craighead St. Apt. 491</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Nashville, TN 37204</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Re:    Employment of James Herman,</w:t>
      </w:r>
      <w:r>
        <w:rPr>
          <w:color w:val="000000"/>
        </w:rPr>
        <w:t xml:space="preserve"> </w:t>
      </w:r>
      <w:r>
        <w:rPr>
          <w:rFonts w:ascii="Times New Roman;serif" w:hAnsi="Times New Roman;serif"/>
          <w:b w:val="false"/>
          <w:i/>
          <w:color w:val="000000"/>
          <w:sz w:val="22"/>
        </w:rPr>
        <w:t>Vice President Trade &amp; Distribution, Chief Compliance Officer</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Dear Jim,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Effective January 1, 2026, this agreement (the “Agreement”) will evidence the terms and conditions under which you will be employed by Cumberland Pharmaceuticals Inc. (the “Company”). In consideration of your appointment as</w:t>
      </w:r>
      <w:r>
        <w:rPr>
          <w:color w:val="000000"/>
        </w:rPr>
        <w:t xml:space="preserve"> </w:t>
      </w:r>
      <w:r>
        <w:rPr>
          <w:rFonts w:ascii="Times New Roman;serif" w:hAnsi="Times New Roman;serif"/>
          <w:b w:val="false"/>
          <w:i/>
          <w:color w:val="000000"/>
          <w:sz w:val="22"/>
        </w:rPr>
        <w:t>Vice President Trade &amp; Distribution, Chief Compliance Officer</w:t>
      </w:r>
      <w:r>
        <w:rPr>
          <w:color w:val="000000"/>
        </w:rPr>
        <w:t xml:space="preserve"> </w:t>
      </w:r>
      <w:r>
        <w:rPr>
          <w:rFonts w:ascii="Times New Roman;serif" w:hAnsi="Times New Roman;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Compensation/Benefits.</w:t>
      </w:r>
      <w:r>
        <w:rPr>
          <w:color w:val="000000"/>
        </w:rPr>
        <w:t xml:space="preserve"> </w:t>
      </w:r>
      <w:r>
        <w:rPr>
          <w:rFonts w:ascii="Times New Roman;serif" w:hAnsi="Times New Roman;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The Company will pay you an annual salary for services performed of two hundred thousand seven dollars ($207,000), in accordance with the Company’s payroll practices. Currently, employees are paid in equal monthly installments payable in arrears on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You will no longer be eligible to continue your participation in the CPI Summit Plan. However, you may continue to make payroll contributions and your vested balance of company contributions is limited to those balances vested as of 12/31/2024. All unvested company contributions were forfeit as of that date.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Place of Employment</w:t>
      </w:r>
      <w:r>
        <w:rPr>
          <w:rFonts w:ascii="Times New Roman;serif" w:hAnsi="Times New Roman;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Duties and Conflicts of Interest</w:t>
      </w:r>
      <w:r>
        <w:rPr>
          <w:rFonts w:ascii="Times New Roman;serif" w:hAnsi="Times New Roman;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Employment at Will</w:t>
      </w:r>
      <w:r>
        <w:rPr>
          <w:rFonts w:ascii="Times New Roman;serif" w:hAnsi="Times New Roman;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8"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Discoveries and Improvements</w:t>
      </w:r>
      <w:r>
        <w:rPr>
          <w:rFonts w:ascii="Times New Roman;serif" w:hAnsi="Times New Roman;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Publication</w:t>
      </w:r>
      <w:r>
        <w:rPr>
          <w:rFonts w:ascii="Times New Roman;serif" w:hAnsi="Times New Roman;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9"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Litigation and Regulatory Cooperation</w:t>
      </w:r>
      <w:r>
        <w:rPr>
          <w:rFonts w:ascii="Times New Roman;serif" w:hAnsi="Times New Roman;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Competition</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7665"/>
                <wp:effectExtent l="0" t="0" r="0" b="0"/>
                <wp:wrapNone/>
                <wp:docPr id="140" name="Frame1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Solicitation</w:t>
      </w:r>
      <w:r>
        <w:rPr>
          <w:rFonts w:ascii="Times New Roman;serif" w:hAnsi="Times New Roman;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Conflicting Contracts</w:t>
      </w:r>
      <w:r>
        <w:rPr>
          <w:rFonts w:ascii="Times New Roman;serif" w:hAnsi="Times New Roman;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Return of Documents</w:t>
      </w:r>
      <w:r>
        <w:rPr>
          <w:rFonts w:ascii="Times New Roman;serif" w:hAnsi="Times New Roman;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Remedies</w:t>
      </w:r>
      <w:r>
        <w:rPr>
          <w:rFonts w:ascii="Times New Roman;serif" w:hAnsi="Times New Roman;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Debarment</w:t>
      </w:r>
      <w:r>
        <w:rPr>
          <w:rFonts w:ascii="Times New Roman;serif" w:hAnsi="Times New Roman;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Notice</w:t>
      </w:r>
      <w:r>
        <w:rPr>
          <w:rFonts w:ascii="Times New Roman;serif" w:hAnsi="Times New Roman;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Waiver/Entire Agreement/Amendments</w:t>
      </w:r>
      <w:r>
        <w:rPr>
          <w:rFonts w:ascii="Times New Roman;serif" w:hAnsi="Times New Roman;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41" name="Frame1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Governance</w:t>
      </w:r>
      <w:r>
        <w:rPr>
          <w:rFonts w:ascii="Times New Roman;serif" w:hAnsi="Times New Roman;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Survival</w:t>
      </w:r>
      <w:r>
        <w:rPr>
          <w:rFonts w:ascii="Times New Roman;serif" w:hAnsi="Times New Roman;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Sincerely yours,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CUMBERLAND PHARMACEUTICALS INC.</w:t>
      </w:r>
    </w:p>
    <w:p>
      <w:pPr>
        <w:pStyle w:val="TextBody"/>
        <w:bidi w:val="0"/>
        <w:spacing w:before="0" w:after="0"/>
        <w:ind w:left="0" w:right="0" w:firstLine="810"/>
        <w:jc w:val="both"/>
        <w:rPr/>
      </w:pPr>
      <w:r>
        <w:rPr/>
      </w:r>
    </w:p>
    <w:p>
      <w:pPr>
        <w:pStyle w:val="TextBody"/>
        <w:bidi w:val="0"/>
        <w:spacing w:before="0" w:after="0"/>
        <w:ind w:left="0" w:right="0" w:firstLine="810"/>
        <w:jc w:val="both"/>
        <w:rPr/>
      </w:pPr>
      <w:r>
        <w:rPr/>
      </w:r>
    </w:p>
    <w:p>
      <w:pPr>
        <w:pStyle w:val="TextBody"/>
        <w:bidi w:val="0"/>
        <w:spacing w:lineRule="auto" w:line="288" w:before="0" w:after="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By:___________________________________        </w:t>
      </w:r>
    </w:p>
    <w:p>
      <w:pPr>
        <w:pStyle w:val="TextBody"/>
        <w:bidi w:val="0"/>
        <w:spacing w:lineRule="auto" w:line="288" w:before="0" w:after="0"/>
        <w:ind w:left="0" w:right="0" w:firstLine="90"/>
        <w:jc w:val="both"/>
        <w:rPr>
          <w:rFonts w:ascii="Times New Roman;serif" w:hAnsi="Times New Roman;serif"/>
          <w:b w:val="false"/>
          <w:color w:val="000000"/>
          <w:sz w:val="22"/>
        </w:rPr>
      </w:pPr>
      <w:r>
        <w:rPr>
          <w:rFonts w:ascii="Times New Roman;serif" w:hAnsi="Times New Roman;serif"/>
          <w:b w:val="false"/>
          <w:color w:val="000000"/>
          <w:sz w:val="22"/>
        </w:rPr>
        <w:t>A.J. Kazimi, Chief Executive Officer</w:t>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lineRule="auto" w:line="288" w:before="0" w:after="0"/>
        <w:ind w:left="0" w:right="0" w:firstLine="90"/>
        <w:jc w:val="both"/>
        <w:rPr>
          <w:rFonts w:ascii="Times New Roman;serif" w:hAnsi="Times New Roman;serif"/>
          <w:b w:val="false"/>
          <w:color w:val="000000"/>
          <w:sz w:val="22"/>
        </w:rPr>
      </w:pPr>
      <w:r>
        <w:rPr>
          <w:rFonts w:ascii="Times New Roman;serif" w:hAnsi="Times New Roman;serif"/>
          <w:b w:val="false"/>
          <w:color w:val="000000"/>
          <w:sz w:val="22"/>
        </w:rPr>
        <w:t>Accepted as to all terms and conditions</w:t>
      </w:r>
    </w:p>
    <w:p>
      <w:pPr>
        <w:pStyle w:val="TextBody"/>
        <w:bidi w:val="0"/>
        <w:spacing w:lineRule="auto" w:line="288" w:before="0" w:after="0"/>
        <w:ind w:left="0" w:right="0" w:firstLine="90"/>
        <w:jc w:val="both"/>
        <w:rPr>
          <w:rFonts w:ascii="Times New Roman;serif" w:hAnsi="Times New Roman;serif"/>
          <w:b w:val="false"/>
          <w:color w:val="000000"/>
          <w:sz w:val="22"/>
        </w:rPr>
      </w:pPr>
      <w:r>
        <w:rPr>
          <w:rFonts w:ascii="Times New Roman;serif" w:hAnsi="Times New Roman;serif"/>
          <w:b w:val="false"/>
          <w:color w:val="000000"/>
          <w:sz w:val="22"/>
        </w:rPr>
        <w:t>as of the ______ of ______ 2026:</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 here:________________________________________</w:t>
      </w:r>
    </w:p>
    <w:p>
      <w:pPr>
        <w:pStyle w:val="TextBody"/>
        <w:bidi w:val="0"/>
        <w:spacing w:before="0" w:after="0"/>
        <w:ind w:left="0" w:right="0" w:firstLine="90"/>
        <w:jc w:val="both"/>
        <w:rPr/>
      </w:pPr>
      <w:r>
        <w:rPr/>
      </w:r>
    </w:p>
    <w:p>
      <w:pPr>
        <w:pStyle w:val="TextBody"/>
        <w:bidi w:val="0"/>
        <w:spacing w:lineRule="auto" w:line="288" w:before="0" w:after="0"/>
        <w:ind w:left="0" w:right="0" w:firstLine="90"/>
        <w:jc w:val="both"/>
        <w:rPr>
          <w:rFonts w:ascii="Times New Roman;serif" w:hAnsi="Times New Roman;serif"/>
          <w:b w:val="false"/>
          <w:color w:val="000000"/>
          <w:sz w:val="22"/>
        </w:rPr>
      </w:pPr>
      <w:r>
        <w:rPr>
          <w:rFonts w:ascii="Times New Roman;serif" w:hAnsi="Times New Roman;serif"/>
          <w:b w:val="false"/>
          <w:color w:val="000000"/>
          <w:sz w:val="22"/>
        </w:rPr>
        <w:t>Print name: _______________________________________</w:t>
      </w:r>
    </w:p>
    <w:p>
      <w:pPr>
        <w:pStyle w:val="TextBody"/>
        <w:bidi w:val="0"/>
        <w:ind w:left="0" w:right="0" w:firstLine="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42" name="Frame1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January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Todd Anthony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702 Meeting Street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Franklin, TN 37064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 xml:space="preserve">Re:    Employment of Todd Anthony, </w:t>
      </w:r>
      <w:r>
        <w:rPr>
          <w:rFonts w:ascii="Times New Roman;serif" w:hAnsi="Times New Roman;serif"/>
          <w:b w:val="false"/>
          <w:i/>
          <w:color w:val="000000"/>
          <w:sz w:val="22"/>
        </w:rPr>
        <w:t>Vice President Organizational Development</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Dear Todd,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Effective January 1, 2026, this agreement (the “Agreement”) will evidence the terms and conditions under which you will be employed by Cumberland Pharmaceuticals Inc. (the “Company”). In consideration of your appointment as </w:t>
      </w:r>
      <w:r>
        <w:rPr>
          <w:rFonts w:ascii="Times New Roman;serif" w:hAnsi="Times New Roman;serif"/>
          <w:b w:val="false"/>
          <w:i/>
          <w:color w:val="000000"/>
          <w:sz w:val="22"/>
        </w:rPr>
        <w:t>Vice President Organizational Development</w:t>
      </w:r>
      <w:r>
        <w:rPr>
          <w:color w:val="000000"/>
        </w:rPr>
        <w:t xml:space="preserve"> </w:t>
      </w:r>
      <w:r>
        <w:rPr>
          <w:rFonts w:ascii="Times New Roman;serif" w:hAnsi="Times New Roman;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Compensation/Benefits.</w:t>
      </w:r>
      <w:r>
        <w:rPr>
          <w:color w:val="000000"/>
        </w:rPr>
        <w:t xml:space="preserve"> </w:t>
      </w:r>
      <w:r>
        <w:rPr>
          <w:rFonts w:ascii="Times New Roman;serif" w:hAnsi="Times New Roman;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The Company will pay you an annual salary for services performed of three hundred eleven thousand dollars ($311,000), in accordance with the Company’s payroll practices. Currently, employees are paid in equal monthly installments payable in arrears on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 xml:space="preserve">Place of Employment </w:t>
      </w:r>
      <w:r>
        <w:rPr>
          <w:rFonts w:ascii="Times New Roman;serif" w:hAnsi="Times New Roman;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Duties and Conflicts of Interest</w:t>
      </w:r>
      <w:r>
        <w:rPr>
          <w:rFonts w:ascii="Times New Roman;serif" w:hAnsi="Times New Roman;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Employment at Will</w:t>
      </w:r>
      <w:r>
        <w:rPr>
          <w:rFonts w:ascii="Times New Roman;serif" w:hAnsi="Times New Roman;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7665"/>
                <wp:effectExtent l="0" t="0" r="0" b="0"/>
                <wp:wrapNone/>
                <wp:docPr id="144" name="Frame1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Discoveries and Improvements</w:t>
      </w:r>
      <w:r>
        <w:rPr>
          <w:rFonts w:ascii="Times New Roman;serif" w:hAnsi="Times New Roman;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Publication</w:t>
      </w:r>
      <w:r>
        <w:rPr>
          <w:rFonts w:ascii="Times New Roman;serif" w:hAnsi="Times New Roman;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Litigation and Regulatory Cooperation</w:t>
      </w:r>
      <w:r>
        <w:rPr>
          <w:rFonts w:ascii="Times New Roman;serif" w:hAnsi="Times New Roman;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Competition</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7665"/>
                <wp:effectExtent l="0" t="0" r="0" b="0"/>
                <wp:wrapNone/>
                <wp:docPr id="145" name="Frame1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Solicitation</w:t>
      </w:r>
      <w:r>
        <w:rPr>
          <w:rFonts w:ascii="Times New Roman;serif" w:hAnsi="Times New Roman;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Conflicting Contracts</w:t>
      </w:r>
      <w:r>
        <w:rPr>
          <w:rFonts w:ascii="Times New Roman;serif" w:hAnsi="Times New Roman;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Return of Documents</w:t>
      </w:r>
      <w:r>
        <w:rPr>
          <w:rFonts w:ascii="Times New Roman;serif" w:hAnsi="Times New Roman;serif"/>
          <w:b w:val="false"/>
          <w:color w:val="000000"/>
          <w:sz w:val="22"/>
        </w:rPr>
        <w:t xml:space="preserve">.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7665"/>
                <wp:effectExtent l="0" t="0" r="0" b="0"/>
                <wp:wrapNone/>
                <wp:docPr id="146"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Remedies</w:t>
      </w:r>
      <w:r>
        <w:rPr>
          <w:rFonts w:ascii="Times New Roman;serif" w:hAnsi="Times New Roman;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Debarment</w:t>
      </w:r>
      <w:r>
        <w:rPr>
          <w:rFonts w:ascii="Times New Roman;serif" w:hAnsi="Times New Roman;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Notice</w:t>
      </w:r>
      <w:r>
        <w:rPr>
          <w:rFonts w:ascii="Times New Roman;serif" w:hAnsi="Times New Roman;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Waiver/Entire Agreement/Amendments</w:t>
      </w:r>
      <w:r>
        <w:rPr>
          <w:rFonts w:ascii="Times New Roman;serif" w:hAnsi="Times New Roman;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Governance</w:t>
      </w:r>
      <w:r>
        <w:rPr>
          <w:rFonts w:ascii="Times New Roman;serif" w:hAnsi="Times New Roman;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Survival</w:t>
      </w:r>
      <w:r>
        <w:rPr>
          <w:rFonts w:ascii="Times New Roman;serif" w:hAnsi="Times New Roman;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47" name="Frame1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Sincerely yours,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By:_______________________________________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Accepted as to all terms and conditions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the ______ of ______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48" name="Frame1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January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Chris Bitterman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605 Press Place, Apt. 107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Nashville, TN 37208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 xml:space="preserve">Re:    Employment of Chris Bitterman, </w:t>
      </w:r>
      <w:r>
        <w:rPr>
          <w:rFonts w:ascii="Times New Roman;serif" w:hAnsi="Times New Roman;serif"/>
          <w:b w:val="false"/>
          <w:i/>
          <w:color w:val="000000"/>
          <w:sz w:val="22"/>
        </w:rPr>
        <w:t>Vice President Sales &amp; Marketing</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Dear Chris,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Effective January 1, 2026, this agreement (the “Agreement”) will evidence the terms and conditions under which you will be employed by Cumberland Pharmaceuticals Inc. (the “Company”). In consideration of your appointment as </w:t>
      </w:r>
      <w:r>
        <w:rPr>
          <w:rFonts w:ascii="Times New Roman;serif" w:hAnsi="Times New Roman;serif"/>
          <w:b w:val="false"/>
          <w:i/>
          <w:color w:val="000000"/>
          <w:sz w:val="22"/>
        </w:rPr>
        <w:t>Vice President Sales &amp; Marketing</w:t>
      </w:r>
      <w:r>
        <w:rPr>
          <w:color w:val="000000"/>
        </w:rPr>
        <w:t xml:space="preserve"> </w:t>
      </w:r>
      <w:r>
        <w:rPr>
          <w:rFonts w:ascii="Times New Roman;serif" w:hAnsi="Times New Roman;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Compensation/Benefits.</w:t>
      </w:r>
      <w:r>
        <w:rPr>
          <w:color w:val="000000"/>
        </w:rPr>
        <w:t xml:space="preserve"> </w:t>
      </w:r>
      <w:r>
        <w:rPr>
          <w:rFonts w:ascii="Times New Roman;serif" w:hAnsi="Times New Roman;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The Company will pay you an annual salary for services performed of two hundred eighty thousand dollars ($280,000), in accordance with the Company’s payroll practices. You will continue to receive a housing stipend as outlined in your 2024 Performance Review. Currently, employees are paid in equal monthly installments payable in arrears on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 xml:space="preserve">Place of Employment </w:t>
      </w:r>
      <w:r>
        <w:rPr>
          <w:rFonts w:ascii="Times New Roman;serif" w:hAnsi="Times New Roman;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Duties and Conflicts of Interest</w:t>
      </w:r>
      <w:r>
        <w:rPr>
          <w:rFonts w:ascii="Times New Roman;serif" w:hAnsi="Times New Roman;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Employment at Will</w:t>
      </w:r>
      <w:r>
        <w:rPr>
          <w:rFonts w:ascii="Times New Roman;serif" w:hAnsi="Times New Roman;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67665"/>
                <wp:effectExtent l="0" t="0" r="0" b="0"/>
                <wp:wrapNone/>
                <wp:docPr id="150" name="Frame1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Discoveries and Improvements</w:t>
      </w:r>
      <w:r>
        <w:rPr>
          <w:rFonts w:ascii="Times New Roman;serif" w:hAnsi="Times New Roman;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Publication</w:t>
      </w:r>
      <w:r>
        <w:rPr>
          <w:rFonts w:ascii="Times New Roman;serif" w:hAnsi="Times New Roman;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7665"/>
                <wp:effectExtent l="0" t="0" r="0" b="0"/>
                <wp:wrapNone/>
                <wp:docPr id="151" name="Frame1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Litigation and Regulatory Cooperation</w:t>
      </w:r>
      <w:r>
        <w:rPr>
          <w:rFonts w:ascii="Times New Roman;serif" w:hAnsi="Times New Roman;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Competition</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7665"/>
                <wp:effectExtent l="0" t="0" r="0" b="0"/>
                <wp:wrapNone/>
                <wp:docPr id="152" name="Frame1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Solicitation</w:t>
      </w:r>
      <w:r>
        <w:rPr>
          <w:rFonts w:ascii="Times New Roman;serif" w:hAnsi="Times New Roman;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Conflicting Contracts</w:t>
      </w:r>
      <w:r>
        <w:rPr>
          <w:rFonts w:ascii="Times New Roman;serif" w:hAnsi="Times New Roman;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Return of Documents</w:t>
      </w:r>
      <w:r>
        <w:rPr>
          <w:rFonts w:ascii="Times New Roman;serif" w:hAnsi="Times New Roman;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Remedies</w:t>
      </w:r>
      <w:r>
        <w:rPr>
          <w:rFonts w:ascii="Times New Roman;serif" w:hAnsi="Times New Roman;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Debarment</w:t>
      </w:r>
      <w:r>
        <w:rPr>
          <w:rFonts w:ascii="Times New Roman;serif" w:hAnsi="Times New Roman;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Notice</w:t>
      </w:r>
      <w:r>
        <w:rPr>
          <w:rFonts w:ascii="Times New Roman;serif" w:hAnsi="Times New Roman;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Waiver/Entire Agreement/Amendments</w:t>
      </w:r>
      <w:r>
        <w:rPr>
          <w:rFonts w:ascii="Times New Roman;serif" w:hAnsi="Times New Roman;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7665"/>
                <wp:effectExtent l="0" t="0" r="0" b="0"/>
                <wp:wrapNone/>
                <wp:docPr id="153" name="Frame1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Governance</w:t>
      </w:r>
      <w:r>
        <w:rPr>
          <w:rFonts w:ascii="Times New Roman;serif" w:hAnsi="Times New Roman;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Survival</w:t>
      </w:r>
      <w:r>
        <w:rPr>
          <w:rFonts w:ascii="Times New Roman;serif" w:hAnsi="Times New Roman;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Sincerely yours,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By:_______________________________________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Accepted as to all terms and conditions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the ______ of ______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7665"/>
                <wp:effectExtent l="0" t="0" r="0" b="0"/>
                <wp:wrapNone/>
                <wp:docPr id="154" name="Frame1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January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John Hamm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1659 Kirkwood Place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Brentwood, TN 37207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Re:    Employment of John Hamm,</w:t>
      </w:r>
      <w:r>
        <w:rPr>
          <w:color w:val="000000"/>
        </w:rPr>
        <w:t xml:space="preserve"> </w:t>
      </w:r>
      <w:r>
        <w:rPr>
          <w:rFonts w:ascii="Times New Roman;serif" w:hAnsi="Times New Roman;serif"/>
          <w:b w:val="false"/>
          <w:i/>
          <w:color w:val="000000"/>
          <w:sz w:val="22"/>
        </w:rPr>
        <w:t>Vice President, Chief Financial Officer</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Dear John,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Effective January 1, 2026, this agreement (the “Agreement”) will evidence the terms and conditions under which you will be employed by Cumberland Pharmaceuticals Inc. (the “Company”). In consideration of your appointment as </w:t>
      </w:r>
      <w:r>
        <w:rPr>
          <w:rFonts w:ascii="Times New Roman;serif" w:hAnsi="Times New Roman;serif"/>
          <w:b w:val="false"/>
          <w:i/>
          <w:color w:val="000000"/>
          <w:sz w:val="22"/>
        </w:rPr>
        <w:t>Vice President, Chief Financial Officer</w:t>
      </w:r>
      <w:r>
        <w:rPr>
          <w:color w:val="000000"/>
        </w:rPr>
        <w:t xml:space="preserve"> </w:t>
      </w:r>
      <w:r>
        <w:rPr>
          <w:rFonts w:ascii="Times New Roman;serif" w:hAnsi="Times New Roman;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Compensation/Benefits.</w:t>
      </w:r>
      <w:r>
        <w:rPr>
          <w:color w:val="000000"/>
        </w:rPr>
        <w:t xml:space="preserve"> </w:t>
      </w:r>
      <w:r>
        <w:rPr>
          <w:rFonts w:ascii="Times New Roman;serif" w:hAnsi="Times New Roman;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The Company will pay you an annual salary for services performed of two hundred sixty-seven thousand six hundred dollars ($267,600), in accordance with the Company’s payroll practices. Currently, employees are paid in equal monthly installments payable in arrears on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 xml:space="preserve">Place of Employment </w:t>
      </w:r>
      <w:r>
        <w:rPr>
          <w:rFonts w:ascii="Times New Roman;serif" w:hAnsi="Times New Roman;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Duties and Conflicts of Interest</w:t>
      </w:r>
      <w:r>
        <w:rPr>
          <w:rFonts w:ascii="Times New Roman;serif" w:hAnsi="Times New Roman;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Employment at Will</w:t>
      </w:r>
      <w:r>
        <w:rPr>
          <w:rFonts w:ascii="Times New Roman;serif" w:hAnsi="Times New Roman;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67665"/>
                <wp:effectExtent l="0" t="0" r="0" b="0"/>
                <wp:wrapNone/>
                <wp:docPr id="156" name="Frame1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Discoveries and Improvements</w:t>
      </w:r>
      <w:r>
        <w:rPr>
          <w:rFonts w:ascii="Times New Roman;serif" w:hAnsi="Times New Roman;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Publication</w:t>
      </w:r>
      <w:r>
        <w:rPr>
          <w:rFonts w:ascii="Times New Roman;serif" w:hAnsi="Times New Roman;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Litigation and Regulatory Cooperation</w:t>
      </w:r>
      <w:r>
        <w:rPr>
          <w:rFonts w:ascii="Times New Roman;serif" w:hAnsi="Times New Roman;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Competition</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67665"/>
                <wp:effectExtent l="0" t="0" r="0" b="0"/>
                <wp:wrapNone/>
                <wp:docPr id="157" name="Frame1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Solicitation</w:t>
      </w:r>
      <w:r>
        <w:rPr>
          <w:rFonts w:ascii="Times New Roman;serif" w:hAnsi="Times New Roman;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Conflicting Contracts</w:t>
      </w:r>
      <w:r>
        <w:rPr>
          <w:rFonts w:ascii="Times New Roman;serif" w:hAnsi="Times New Roman;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7665"/>
                <wp:effectExtent l="0" t="0" r="0" b="0"/>
                <wp:wrapNone/>
                <wp:docPr id="158" name="Frame1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Return of Documents</w:t>
      </w:r>
      <w:r>
        <w:rPr>
          <w:rFonts w:ascii="Times New Roman;serif" w:hAnsi="Times New Roman;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Remedies</w:t>
      </w:r>
      <w:r>
        <w:rPr>
          <w:rFonts w:ascii="Times New Roman;serif" w:hAnsi="Times New Roman;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Debarment</w:t>
      </w:r>
      <w:r>
        <w:rPr>
          <w:rFonts w:ascii="Times New Roman;serif" w:hAnsi="Times New Roman;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Notice</w:t>
      </w:r>
      <w:r>
        <w:rPr>
          <w:rFonts w:ascii="Times New Roman;serif" w:hAnsi="Times New Roman;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Waiver/Entire Agreement/Amendments</w:t>
      </w:r>
      <w:r>
        <w:rPr>
          <w:rFonts w:ascii="Times New Roman;serif" w:hAnsi="Times New Roman;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Governance</w:t>
      </w:r>
      <w:r>
        <w:rPr>
          <w:rFonts w:ascii="Times New Roman;serif" w:hAnsi="Times New Roman;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Survival</w:t>
      </w:r>
      <w:r>
        <w:rPr>
          <w:rFonts w:ascii="Times New Roman;serif" w:hAnsi="Times New Roman;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7665"/>
                <wp:effectExtent l="0" t="0" r="0" b="0"/>
                <wp:wrapNone/>
                <wp:docPr id="159" name="Frame1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Sincerely yours,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By:_______________________________________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Accepted as to all terms and conditions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the ______ of ______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67665"/>
                <wp:effectExtent l="0" t="0" r="0" b="0"/>
                <wp:wrapNone/>
                <wp:docPr id="160" name="Frame1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23.1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of Cumberland Pharmaceuticals Inc. (the “Company”) on Form S-3 (No. 333-276052) and Forms S-8 (No. 333-164376 and 333-271978) of our report dated March 6, 2026, with respect to the consolidated financial statements of the Company, included in this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Carr, Riggs &amp; Ingram, LLC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Nashville, Tennessee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 A.J. Kazimi,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10-K of Cumberland Pharmaceuticals Inc.;</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a.Any fraud, whether or not material, that involves management or other employees who have a significant role in the registrant’s internal control over financial reporting.</w:t>
      </w:r>
    </w:p>
    <w:tbl>
      <w:tblPr>
        <w:tblW w:w="5087"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09"/>
        <w:gridCol w:w="109"/>
        <w:gridCol w:w="109"/>
        <w:gridCol w:w="109"/>
        <w:gridCol w:w="109"/>
        <w:gridCol w:w="109"/>
        <w:gridCol w:w="134"/>
        <w:gridCol w:w="134"/>
        <w:gridCol w:w="136"/>
        <w:gridCol w:w="109"/>
        <w:gridCol w:w="109"/>
        <w:gridCol w:w="109"/>
        <w:gridCol w:w="604"/>
        <w:gridCol w:w="604"/>
        <w:gridCol w:w="862"/>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A.J. Kazimi</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 John M. Hamm,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10-K of Cumberland Pharmaceuticals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587"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09"/>
        <w:gridCol w:w="109"/>
        <w:gridCol w:w="109"/>
        <w:gridCol w:w="109"/>
        <w:gridCol w:w="109"/>
        <w:gridCol w:w="109"/>
        <w:gridCol w:w="134"/>
        <w:gridCol w:w="134"/>
        <w:gridCol w:w="136"/>
        <w:gridCol w:w="109"/>
        <w:gridCol w:w="109"/>
        <w:gridCol w:w="109"/>
        <w:gridCol w:w="1045"/>
        <w:gridCol w:w="1045"/>
        <w:gridCol w:w="1480"/>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 Hamm</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Hamm</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Cumberland Pharmaceuticals Inc. (the “Company”) on Form 10-K for the fiscal year ended December 31, 2025, as filed with the Securities and Exchange Commission on the date hereof (the “Report”), I, A.J. Kazimi, Chief Executive Officer, and John M. Hamm, Vice President and Chief Financial Officer, of the Company, certify, pursuant to Section 906 of the Sarbanes-Oxley Act of 2002 (18 U.S.C. section 1350), that, based on my knowledge: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737"/>
        <w:gridCol w:w="649"/>
        <w:gridCol w:w="653"/>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A.J. Kazimi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912" w:type="dxa"/>
        <w:jc w:val="left"/>
        <w:tblInd w:w="0" w:type="dxa"/>
        <w:tblLayout w:type="fixed"/>
        <w:tblCellMar>
          <w:top w:w="28" w:type="dxa"/>
          <w:left w:w="28" w:type="dxa"/>
          <w:bottom w:w="28" w:type="dxa"/>
          <w:right w:w="28" w:type="dxa"/>
        </w:tblCellMar>
      </w:tblPr>
      <w:tblGrid>
        <w:gridCol w:w="1279"/>
        <w:gridCol w:w="1128"/>
        <w:gridCol w:w="1133"/>
        <w:gridCol w:w="109"/>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M. Hamm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Hamm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87294/000162828022000440/finalforexecutionkkuscipde.htm" TargetMode="External"/><Relationship Id="rId4" Type="http://schemas.openxmlformats.org/officeDocument/2006/relationships/hyperlink" Target="https://www.sec.gov/Archives/edgar/data/1087294/000162828025011366/ex31forthamendedcharter.htm" TargetMode="External"/><Relationship Id="rId5" Type="http://schemas.openxmlformats.org/officeDocument/2006/relationships/hyperlink" Target="https://www.sec.gov/Archives/edgar/data/1087294/000095012309023228/c0628619exv3w2.htm" TargetMode="External"/><Relationship Id="rId6" Type="http://schemas.openxmlformats.org/officeDocument/2006/relationships/hyperlink" Target="https://www.sec.gov/Archives/edgar/data/1087294/000095014407007248/g06286a5exv4w1.htm" TargetMode="External"/><Relationship Id="rId7" Type="http://schemas.openxmlformats.org/officeDocument/2006/relationships/hyperlink" Target="https://www.sec.gov/Archives/edgar/data/1087294/000119312517372414/d489256dex42.htm" TargetMode="External"/><Relationship Id="rId8" Type="http://schemas.openxmlformats.org/officeDocument/2006/relationships/hyperlink" Target="https://www.sec.gov/Archives/edgar/data/1087294/000119312517335943/d489256dex42.htm" TargetMode="External"/><Relationship Id="rId9" Type="http://schemas.openxmlformats.org/officeDocument/2006/relationships/hyperlink" Target="https://www.sec.gov/Archives/edgar/data/1087294/000119312517335943/d489256dex43.htm" TargetMode="External"/><Relationship Id="rId10" Type="http://schemas.openxmlformats.org/officeDocument/2006/relationships/hyperlink" Target="https://www.sec.gov/Archives/edgar/data/1087294/000095014407004069/g06286exv4w5.htm" TargetMode="External"/><Relationship Id="rId11" Type="http://schemas.openxmlformats.org/officeDocument/2006/relationships/hyperlink" Target="https://www.sec.gov/Archives/edgar/data/1087294/000144530513000573/cpixexhibit461.htm" TargetMode="External"/><Relationship Id="rId12" Type="http://schemas.openxmlformats.org/officeDocument/2006/relationships/hyperlink" Target="https://www.sec.gov/Archives/edgar/data/1087294/000144530513000573/cpixexhibit462.htm" TargetMode="External"/><Relationship Id="rId13" Type="http://schemas.openxmlformats.org/officeDocument/2006/relationships/hyperlink" Target="https://www.sec.gov/Archives/edgar/data/1087294/000144530513000573/cpixexhibit47.htm" TargetMode="External"/><Relationship Id="rId14" Type="http://schemas.openxmlformats.org/officeDocument/2006/relationships/hyperlink" Target="https://www.sec.gov/Archives/edgar/data/1087294/000119312517335943/d489256dex42.htm" TargetMode="External"/><Relationship Id="rId15" Type="http://schemas.openxmlformats.org/officeDocument/2006/relationships/hyperlink" Target="https://www.sec.gov/Archives/edgar/data/1087294/000119312517335943/d489256dex43.htm" TargetMode="External"/><Relationship Id="rId16" Type="http://schemas.openxmlformats.org/officeDocument/2006/relationships/hyperlink" Target="https://www.sec.gov/Archives/edgar/data/1087294/000162828024010725/a2023q4exhibit411.htm" TargetMode="External"/><Relationship Id="rId17" Type="http://schemas.openxmlformats.org/officeDocument/2006/relationships/hyperlink" Target="https://www.sec.gov/Archives/edgar/data/1087294/000129993310003084/exhibit1.htm" TargetMode="External"/><Relationship Id="rId18" Type="http://schemas.openxmlformats.org/officeDocument/2006/relationships/hyperlink" Target="https://www.sec.gov/Archives/edgar/data/1087294/000108729413000004/exhibit1071amendmenttoexcl.htm" TargetMode="External"/><Relationship Id="rId19" Type="http://schemas.openxmlformats.org/officeDocument/2006/relationships/hyperlink" Target="https://www.sec.gov/Archives/edgar/data/1087294/000095014407006504/g06286a3exv10w10.htm" TargetMode="External"/><Relationship Id="rId20" Type="http://schemas.openxmlformats.org/officeDocument/2006/relationships/hyperlink" Target="https://www.sec.gov/Archives/edgar/data/1087294/000095014407004069/g06286exv10w17.htm" TargetMode="External"/><Relationship Id="rId21" Type="http://schemas.openxmlformats.org/officeDocument/2006/relationships/hyperlink" Target="https://www.sec.gov/Archives/edgar/data/1087294/000119312512107956/d293470ddef14a.htm" TargetMode="External"/><Relationship Id="rId22" Type="http://schemas.openxmlformats.org/officeDocument/2006/relationships/hyperlink" Target="https://www.sec.gov/Archives/edgar/data/1087294/000119312512107956/d293470ddef14a.htm" TargetMode="External"/><Relationship Id="rId23" Type="http://schemas.openxmlformats.org/officeDocument/2006/relationships/hyperlink" Target="https://www.sec.gov/Archives/edgar/data/1087294/000095014407004069/g06286exv10w20.htm" TargetMode="External"/><Relationship Id="rId24" Type="http://schemas.openxmlformats.org/officeDocument/2006/relationships/hyperlink" Target="https://www.sec.gov/Archives/edgar/data/1087294/000095014407004069/g06286exv10w23.htm" TargetMode="External"/><Relationship Id="rId25" Type="http://schemas.openxmlformats.org/officeDocument/2006/relationships/hyperlink" Target="https://www.sec.gov/Archives/edgar/data/1087294/000095014407004069/g06286exv10w24.htm" TargetMode="External"/><Relationship Id="rId26" Type="http://schemas.openxmlformats.org/officeDocument/2006/relationships/hyperlink" Target="https://www.sec.gov/Archives/edgar/data/1087294/000095014408004306/g06286b1exv10w24w1.htm" TargetMode="External"/><Relationship Id="rId27" Type="http://schemas.openxmlformats.org/officeDocument/2006/relationships/hyperlink" Target="https://www.sec.gov/Archives/edgar/data/1087294/000119312512347942/d334181dex10241.htm" TargetMode="External"/><Relationship Id="rId28" Type="http://schemas.openxmlformats.org/officeDocument/2006/relationships/hyperlink" Target="https://www.sec.gov/Archives/edgar/data/1087294/000129993311003397/exhibit1.htm" TargetMode="External"/><Relationship Id="rId29" Type="http://schemas.openxmlformats.org/officeDocument/2006/relationships/hyperlink" Target="https://www.sec.gov/Archives/edgar/data/1087294/000119312512247355/d358671dex1030.htm" TargetMode="External"/><Relationship Id="rId30" Type="http://schemas.openxmlformats.org/officeDocument/2006/relationships/hyperlink" Target="https://www.sec.gov/Archives/edgar/data/1087294/000144530513000573/cpixexhibit1031-perrigoxpa.htm" TargetMode="External"/><Relationship Id="rId31" Type="http://schemas.openxmlformats.org/officeDocument/2006/relationships/hyperlink" Target="https://www.sec.gov/Archives/edgar/data/1087294/000144530513000573/cpixexhibit1032-perrigoxpa.htm" TargetMode="External"/><Relationship Id="rId32" Type="http://schemas.openxmlformats.org/officeDocument/2006/relationships/hyperlink" Target="https://www.sec.gov/Archives/edgar/data/1087294/000162828020012738/exhibit101-amendment2l.htm" TargetMode="External"/><Relationship Id="rId33" Type="http://schemas.openxmlformats.org/officeDocument/2006/relationships/hyperlink" Target="https://www.sec.gov/Archives/edgar/data/1087294/000162828020012738/exhibit102-amendment2d.htm" TargetMode="External"/><Relationship Id="rId34" Type="http://schemas.openxmlformats.org/officeDocument/2006/relationships/hyperlink" Target="https://www.sec.gov/Archives/edgar/data/1087294/000162828022005942/a1600westendavepartnersl.htm" TargetMode="External"/><Relationship Id="rId35" Type="http://schemas.openxmlformats.org/officeDocument/2006/relationships/hyperlink" Target="https://www.sec.gov/Archives/edgar/data/1087294/000162828023029112/amendmentno3totheamendedan.htm" TargetMode="External"/><Relationship Id="rId36" Type="http://schemas.openxmlformats.org/officeDocument/2006/relationships/hyperlink" Target="https://www.sec.gov/Archives/edgar/data/1087294/000162828024012261/exhibit11salesagreement.htm" TargetMode="External"/><Relationship Id="rId37" Type="http://schemas.openxmlformats.org/officeDocument/2006/relationships/hyperlink" Target="https://www.sec.gov/Archives/edgar/data/1087294/000162828023031458/cumberlandpharm-arloanagre.htm" TargetMode="External"/><Relationship Id="rId38" Type="http://schemas.openxmlformats.org/officeDocument/2006/relationships/hyperlink" Target="https://www.sec.gov/Archives/edgar/data/1087294/000162828024022658/a2024q1-exhibit106.htm" TargetMode="External"/><Relationship Id="rId39" Type="http://schemas.openxmlformats.org/officeDocument/2006/relationships/hyperlink" Target="https://www.sec.gov/Archives/edgar/data/1087294/000108729425000023/cumberlandpharm-1stamdtoar.htm" TargetMode="External"/><Relationship Id="rId40" Type="http://schemas.openxmlformats.org/officeDocument/2006/relationships/hyperlink" Target="https://www.sec.gov/Archives/edgar/data/1087294/000162828025011366/ex19-insidertradingpolicy.htm" TargetMode="External"/><Relationship Id="rId41" Type="http://schemas.openxmlformats.org/officeDocument/2006/relationships/hyperlink" Target="https://www.sec.gov/Archives/edgar/data/1087294/000095014407004069/g06286exv21.htm" TargetMode="External"/><Relationship Id="rId42" Type="http://schemas.openxmlformats.org/officeDocument/2006/relationships/hyperlink" Target="https://www.sec.gov/Archives/edgar/data/1087294/000162828024010725/a2023-xex971compensationre.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75167</Words>
  <Characters>425041</Characters>
  <CharactersWithSpaces>498072</CharactersWithSpaces>
  <Paragraphs>3779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