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50"/>
          <w:szCs w:val="50"/>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t>Unique Medicines, Quality Care, Better Lives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spacing w:after="0"/>
        <w:rPr>
          <w:sz w:val="20"/>
          <w:szCs w:val="20"/>
          <w:color w:val="auto"/>
        </w:rPr>
      </w:pPr>
      <w:r>
        <w:rPr>
          <w:rFonts w:ascii="Arial" w:cs="Arial" w:eastAsia="Arial" w:hAnsi="Arial"/>
          <w:sz w:val="38"/>
          <w:szCs w:val="38"/>
          <w:color w:val="FFFFFF"/>
        </w:rPr>
        <w:t>2024 Annual Report</w:t>
      </w:r>
    </w:p>
    <w:p>
      <w:pPr>
        <w:sectPr>
          <w:pgSz w:w="12240" w:h="15840" w:orient="portrait"/>
          <w:cols w:equalWidth="0" w:num="1">
            <w:col w:w="10780"/>
          </w:cols>
          <w:pgMar w:left="720" w:top="1354" w:right="740" w:bottom="382" w:gutter="0" w:footer="0" w:header="0"/>
        </w:sectPr>
      </w:pPr>
    </w:p>
    <w:bookmarkStart w:id="1" w:name="page2"/>
    <w:bookmarkEnd w:id="1"/>
    <w:p>
      <w:pPr>
        <w:ind w:left="6872"/>
        <w:spacing w:after="0"/>
        <w:rPr>
          <w:sz w:val="20"/>
          <w:szCs w:val="20"/>
          <w:color w:val="auto"/>
        </w:rPr>
      </w:pPr>
      <w:r>
        <w:rPr>
          <w:rFonts w:ascii="Arial" w:cs="Arial" w:eastAsia="Arial" w:hAnsi="Arial"/>
          <w:sz w:val="36"/>
          <w:szCs w:val="36"/>
          <w:b w:val="1"/>
          <w:bCs w:val="1"/>
          <w:color w:val="FFFF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7772400" cy="1958975"/>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72400" cy="1958975"/>
                        </a:xfrm>
                        <a:prstGeom prst="rect">
                          <a:avLst/>
                        </a:prstGeom>
                        <a:solidFill>
                          <a:srgbClr val="00004D"/>
                        </a:solidFill>
                      </wps:spPr>
                      <wps:bodyPr/>
                    </wps:wsp>
                  </a:graphicData>
                </a:graphic>
              </wp:anchor>
            </w:drawing>
          </mc:Choice>
          <mc:Fallback>
            <w:pict>
              <v:rect id="Shape 2" o:spid="_x0000_s1027" style="position:absolute;margin-left:0pt;margin-top:0pt;width:612pt;height:154.2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00004D" stroked="f">
                <w10:wrap anchorx="page" anchory="page"/>
              </v:rect>
            </w:pict>
          </mc:Fallback>
        </mc:AlternateContent>
        <w:t>Advancing Our</w:t>
      </w:r>
    </w:p>
    <w:p>
      <w:pPr>
        <w:ind w:left="6872"/>
        <w:spacing w:after="0"/>
        <w:rPr>
          <w:sz w:val="20"/>
          <w:szCs w:val="20"/>
          <w:color w:val="auto"/>
        </w:rPr>
      </w:pPr>
      <w:r>
        <w:rPr>
          <w:rFonts w:ascii="Arial" w:cs="Arial" w:eastAsia="Arial" w:hAnsi="Arial"/>
          <w:sz w:val="34"/>
          <w:szCs w:val="34"/>
          <w:b w:val="1"/>
          <w:bCs w:val="1"/>
          <w:color w:val="FFFFFF"/>
        </w:rPr>
        <w:t>Portfolio and Pipeline</w:t>
      </w:r>
    </w:p>
    <w:p>
      <w:pPr>
        <w:spacing w:after="0" w:line="340" w:lineRule="exact"/>
        <w:rPr>
          <w:sz w:val="20"/>
          <w:szCs w:val="20"/>
          <w:color w:val="auto"/>
        </w:rPr>
      </w:pPr>
    </w:p>
    <w:p>
      <w:pPr>
        <w:ind w:left="232"/>
        <w:spacing w:after="0"/>
        <w:rPr>
          <w:sz w:val="20"/>
          <w:szCs w:val="20"/>
          <w:color w:val="auto"/>
        </w:rPr>
      </w:pPr>
      <w:r>
        <w:rPr>
          <w:rFonts w:ascii="Arial" w:cs="Arial" w:eastAsia="Arial" w:hAnsi="Arial"/>
          <w:sz w:val="89"/>
          <w:szCs w:val="89"/>
          <w:color w:val="FFFFFF"/>
        </w:rPr>
        <w:t xml:space="preserve">2024 </w:t>
      </w:r>
      <w:r>
        <w:rPr>
          <w:rFonts w:ascii="Arial" w:cs="Arial" w:eastAsia="Arial" w:hAnsi="Arial"/>
          <w:sz w:val="54"/>
          <w:szCs w:val="54"/>
          <w:color w:val="FFFFFF"/>
        </w:rPr>
        <w:t>HIGHLIGHTS</w:t>
      </w:r>
    </w:p>
    <w:p>
      <w:pPr>
        <w:sectPr>
          <w:pgSz w:w="12240" w:h="15840" w:orient="portrait"/>
          <w:cols w:equalWidth="0" w:num="1">
            <w:col w:w="10792"/>
          </w:cols>
          <w:pgMar w:left="808" w:top="787" w:right="640" w:bottom="6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9160"/>
        </w:trPr>
        <w:tc>
          <w:tcPr>
            <w:tcW w:w="506" w:type="dxa"/>
            <w:vAlign w:val="bottom"/>
            <w:textDirection w:val="btLr"/>
          </w:tcPr>
          <w:p>
            <w:pPr>
              <w:spacing w:after="0"/>
              <w:rPr>
                <w:sz w:val="20"/>
                <w:szCs w:val="20"/>
                <w:color w:val="auto"/>
              </w:rPr>
            </w:pPr>
            <w:r>
              <w:rPr>
                <w:rFonts w:ascii="Arial" w:cs="Arial" w:eastAsia="Arial" w:hAnsi="Arial"/>
                <w:sz w:val="44"/>
                <w:szCs w:val="44"/>
                <w:color w:val="377FA7"/>
              </w:rPr>
              <w:t>December     November      November</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480060</wp:posOffset>
                </wp:positionH>
                <wp:positionV relativeFrom="paragraph">
                  <wp:posOffset>-1384935</wp:posOffset>
                </wp:positionV>
                <wp:extent cx="0" cy="2011045"/>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11045"/>
                        </a:xfrm>
                        <a:prstGeom prst="line">
                          <a:avLst/>
                        </a:prstGeom>
                        <a:solidFill>
                          <a:srgbClr val="FFFFFF"/>
                        </a:solidFill>
                        <a:ln w="6350">
                          <a:solidFill>
                            <a:srgbClr val="377FA7"/>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8pt,-109.0499pt" to="37.8pt,49.3pt" o:allowincell="f" strokecolor="#377FA7" strokeweight="0.5pt"/>
            </w:pict>
          </mc:Fallback>
        </mc:AlternateContent>
        <mc:AlternateContent>
          <mc:Choice Requires="wps">
            <w:drawing>
              <wp:anchor simplePos="0" relativeHeight="251657728" behindDoc="1" locked="0" layoutInCell="0" allowOverlap="1">
                <wp:simplePos x="0" y="0"/>
                <wp:positionH relativeFrom="column">
                  <wp:posOffset>480060</wp:posOffset>
                </wp:positionH>
                <wp:positionV relativeFrom="paragraph">
                  <wp:posOffset>-3543300</wp:posOffset>
                </wp:positionV>
                <wp:extent cx="0" cy="141732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17320"/>
                        </a:xfrm>
                        <a:prstGeom prst="line">
                          <a:avLst/>
                        </a:prstGeom>
                        <a:solidFill>
                          <a:srgbClr val="FFFFFF"/>
                        </a:solidFill>
                        <a:ln w="6350">
                          <a:solidFill>
                            <a:srgbClr val="377FA7"/>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8pt,-279pt" to="37.8pt,-167.3999pt" o:allowincell="f" strokecolor="#377FA7" strokeweight="0.5pt"/>
            </w:pict>
          </mc:Fallback>
        </mc:AlternateContent>
        <mc:AlternateContent>
          <mc:Choice Requires="wps">
            <w:drawing>
              <wp:anchor simplePos="0" relativeHeight="251657728" behindDoc="1" locked="0" layoutInCell="0" allowOverlap="1">
                <wp:simplePos x="0" y="0"/>
                <wp:positionH relativeFrom="column">
                  <wp:posOffset>480060</wp:posOffset>
                </wp:positionH>
                <wp:positionV relativeFrom="paragraph">
                  <wp:posOffset>-5810885</wp:posOffset>
                </wp:positionV>
                <wp:extent cx="0" cy="1581785"/>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785"/>
                        </a:xfrm>
                        <a:prstGeom prst="line">
                          <a:avLst/>
                        </a:prstGeom>
                        <a:solidFill>
                          <a:srgbClr val="FFFFFF"/>
                        </a:solidFill>
                        <a:ln w="6350">
                          <a:solidFill>
                            <a:srgbClr val="377FA7"/>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8pt,-457.5499pt" to="37.8pt,-333pt" o:allowincell="f" strokecolor="#377FA7" strokeweight="0.5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32"/>
          <w:szCs w:val="32"/>
          <w:b w:val="1"/>
          <w:bCs w:val="1"/>
          <w:color w:val="00004D"/>
        </w:rPr>
        <w:t>New Study Compared Caldolor</w:t>
      </w:r>
      <w:r>
        <w:rPr>
          <w:rFonts w:ascii="Arial" w:cs="Arial" w:eastAsia="Arial" w:hAnsi="Arial"/>
          <w:sz w:val="18"/>
          <w:szCs w:val="18"/>
          <w:b w:val="1"/>
          <w:bCs w:val="1"/>
          <w:color w:val="00004D"/>
        </w:rPr>
        <w:t>®</w:t>
      </w:r>
      <w:r>
        <w:rPr>
          <w:rFonts w:ascii="Arial" w:cs="Arial" w:eastAsia="Arial" w:hAnsi="Arial"/>
          <w:sz w:val="32"/>
          <w:szCs w:val="32"/>
          <w:b w:val="1"/>
          <w:bCs w:val="1"/>
          <w:color w:val="00004D"/>
        </w:rPr>
        <w:t xml:space="preserve"> to Ketorolac</w:t>
      </w:r>
    </w:p>
    <w:p>
      <w:pPr>
        <w:spacing w:after="0" w:line="224" w:lineRule="exact"/>
        <w:rPr>
          <w:sz w:val="20"/>
          <w:szCs w:val="20"/>
          <w:color w:val="auto"/>
        </w:rPr>
      </w:pPr>
    </w:p>
    <w:p>
      <w:pPr>
        <w:spacing w:after="0" w:line="292" w:lineRule="auto"/>
        <w:rPr>
          <w:sz w:val="20"/>
          <w:szCs w:val="20"/>
          <w:color w:val="auto"/>
        </w:rPr>
      </w:pPr>
      <w:r>
        <w:rPr>
          <w:rFonts w:ascii="Arial" w:cs="Arial" w:eastAsia="Arial" w:hAnsi="Arial"/>
          <w:sz w:val="22"/>
          <w:szCs w:val="22"/>
          <w:color w:val="auto"/>
        </w:rPr>
        <w:t xml:space="preserve">A study published in </w:t>
      </w:r>
      <w:r>
        <w:rPr>
          <w:rFonts w:ascii="Arial" w:cs="Arial" w:eastAsia="Arial" w:hAnsi="Arial"/>
          <w:sz w:val="22"/>
          <w:szCs w:val="22"/>
          <w:i w:val="1"/>
          <w:iCs w:val="1"/>
          <w:color w:val="auto"/>
        </w:rPr>
        <w:t>Frontiers of Pain Research</w:t>
      </w:r>
      <w:r>
        <w:rPr>
          <w:rFonts w:ascii="Arial" w:cs="Arial" w:eastAsia="Arial" w:hAnsi="Arial"/>
          <w:sz w:val="22"/>
          <w:szCs w:val="22"/>
          <w:color w:val="auto"/>
        </w:rPr>
        <w:t xml:space="preserve"> provided compelling evidence that our Caldolor product, an intravenously delivered formulation of ibuprofen, is associated with a significantly reduced incidence of adverse drug reactions when compared to its key competitor, ketorolac. Notably, patients experienced fewer gastrointestinal complications as well as reduced headaches, nausea and abdominal pain. Additionally, Caldolor demonstrated a positive impact on health care resource utilization when compared to ketorolac, with decreased emergency room and outpatient visits, as well as a shortened hospital length of stay for both adults and children..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32"/>
          <w:szCs w:val="32"/>
          <w:b w:val="1"/>
          <w:bCs w:val="1"/>
          <w:color w:val="00004D"/>
        </w:rPr>
        <w:t>FDA Granted Orphan Drug Designations for lfetroban</w:t>
      </w:r>
    </w:p>
    <w:p>
      <w:pPr>
        <w:spacing w:after="0" w:line="224" w:lineRule="exact"/>
        <w:rPr>
          <w:sz w:val="20"/>
          <w:szCs w:val="20"/>
          <w:color w:val="auto"/>
        </w:rPr>
      </w:pPr>
    </w:p>
    <w:p>
      <w:pPr>
        <w:ind w:right="20"/>
        <w:spacing w:after="0" w:line="293" w:lineRule="auto"/>
        <w:rPr>
          <w:sz w:val="20"/>
          <w:szCs w:val="20"/>
          <w:color w:val="auto"/>
        </w:rPr>
      </w:pPr>
      <w:r>
        <w:rPr>
          <w:rFonts w:ascii="Arial" w:cs="Arial" w:eastAsia="Arial" w:hAnsi="Arial"/>
          <w:sz w:val="22"/>
          <w:szCs w:val="22"/>
          <w:color w:val="auto"/>
        </w:rPr>
        <w:t>Our ifetroban product candidate received FDA Orphan Drug and Rare Pediatric Disease designations for the treatment of cardiomyopathy in Duchenne muscular dystrophy (DMD), a devastating genetic disorder affecting young boys. These designations recognize the urgent need for effective treatments and also provide vital support to accelerate research and development. They represent hope for families and a pathway to bring transformative medicines to a vulnerable patient population more quickly and efficiently.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32"/>
          <w:szCs w:val="32"/>
          <w:b w:val="1"/>
          <w:bCs w:val="1"/>
          <w:color w:val="00004D"/>
        </w:rPr>
        <w:t>FDA Approved New, Simplified Dosing Regimen for Acetadote</w:t>
      </w:r>
      <w:r>
        <w:rPr>
          <w:rFonts w:ascii="Arial" w:cs="Arial" w:eastAsia="Arial" w:hAnsi="Arial"/>
          <w:sz w:val="18"/>
          <w:szCs w:val="18"/>
          <w:b w:val="1"/>
          <w:bCs w:val="1"/>
          <w:color w:val="00004D"/>
        </w:rPr>
        <w:t>®</w:t>
      </w:r>
    </w:p>
    <w:p>
      <w:pPr>
        <w:spacing w:after="0" w:line="224" w:lineRule="exact"/>
        <w:rPr>
          <w:sz w:val="20"/>
          <w:szCs w:val="20"/>
          <w:color w:val="auto"/>
        </w:rPr>
      </w:pPr>
    </w:p>
    <w:p>
      <w:pPr>
        <w:ind w:right="580"/>
        <w:spacing w:after="0" w:line="296" w:lineRule="auto"/>
        <w:rPr>
          <w:sz w:val="20"/>
          <w:szCs w:val="20"/>
          <w:color w:val="auto"/>
        </w:rPr>
      </w:pPr>
      <w:r>
        <w:rPr>
          <w:rFonts w:ascii="Arial" w:cs="Arial" w:eastAsia="Arial" w:hAnsi="Arial"/>
          <w:sz w:val="22"/>
          <w:szCs w:val="22"/>
          <w:color w:val="auto"/>
        </w:rPr>
        <w:t>The FDA approved a supplemental New Drug Application for our Acetadote product, an intravenous formulation of N-acetylcysteine indicated to prevent or lessen liver injury after ingestion of potentially toxic quantities of acetaminophen. A common over-the-counter pain reliever and fever reducer, acetaminophen is the leading cause of acute liver failure in the United States.</w:t>
      </w:r>
    </w:p>
    <w:p>
      <w:pPr>
        <w:spacing w:after="0" w:line="30" w:lineRule="exact"/>
        <w:rPr>
          <w:sz w:val="20"/>
          <w:szCs w:val="20"/>
          <w:color w:val="auto"/>
        </w:rPr>
      </w:pPr>
    </w:p>
    <w:p>
      <w:pPr>
        <w:ind w:right="80"/>
        <w:spacing w:after="0" w:line="299" w:lineRule="auto"/>
        <w:rPr>
          <w:sz w:val="20"/>
          <w:szCs w:val="20"/>
          <w:color w:val="auto"/>
        </w:rPr>
      </w:pPr>
      <w:r>
        <w:rPr>
          <w:rFonts w:ascii="Arial" w:cs="Arial" w:eastAsia="Arial" w:hAnsi="Arial"/>
          <w:sz w:val="22"/>
          <w:szCs w:val="22"/>
          <w:color w:val="auto"/>
        </w:rPr>
        <w:t>The new, streamlined approach is designed to reduce the frequency of medication errors and potentially serious non-allergic anaphylactoid reactions, without compromising the effectiveness of Acetadote. By simplifying the dosing regimen, health care providers can administer the life-saving treatment more efficiently, potentially improving patient outcomes.</w:t>
      </w:r>
    </w:p>
    <w:p>
      <w:pPr>
        <w:sectPr>
          <w:pgSz w:w="12240" w:h="15840" w:orient="portrait"/>
          <w:cols w:equalWidth="0" w:num="2">
            <w:col w:w="506" w:space="506"/>
            <w:col w:w="9780"/>
          </w:cols>
          <w:pgMar w:left="808" w:top="787" w:right="640" w:bottom="666" w:gutter="0" w:footer="0" w:header="0"/>
          <w:type w:val="continuous"/>
        </w:sectPr>
      </w:pPr>
    </w:p>
    <w:bookmarkStart w:id="2" w:name="page3"/>
    <w:bookmarkEnd w:id="2"/>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ind w:left="3720" w:right="1860"/>
        <w:spacing w:after="0" w:line="287" w:lineRule="auto"/>
        <w:rPr>
          <w:sz w:val="20"/>
          <w:szCs w:val="20"/>
          <w:color w:val="auto"/>
        </w:rPr>
      </w:pPr>
      <w:r>
        <w:rPr>
          <w:rFonts w:ascii="Arial" w:cs="Arial" w:eastAsia="Arial" w:hAnsi="Arial"/>
          <w:sz w:val="53"/>
          <w:szCs w:val="53"/>
          <w:color w:val="00004D"/>
        </w:rPr>
        <w:t>To Our Shareholders, Employees &amp; Partners:</w:t>
      </w:r>
    </w:p>
    <w:p>
      <w:pPr>
        <w:sectPr>
          <w:pgSz w:w="12240" w:h="15840" w:orient="portrait"/>
          <w:cols w:equalWidth="0" w:num="1">
            <w:col w:w="11100"/>
          </w:cols>
          <w:pgMar w:left="720" w:top="1440"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220"/>
        <w:spacing w:after="0" w:line="238" w:lineRule="auto"/>
        <w:rPr>
          <w:sz w:val="20"/>
          <w:szCs w:val="20"/>
          <w:color w:val="auto"/>
        </w:rPr>
      </w:pPr>
      <w:r>
        <w:rPr>
          <w:rFonts w:ascii="Arial" w:cs="Arial" w:eastAsia="Arial" w:hAnsi="Arial"/>
          <w:sz w:val="20"/>
          <w:szCs w:val="20"/>
          <w:color w:val="auto"/>
        </w:rPr>
        <w:t>Cumberland’s business strategy has been to establish two key core competencies – the development of new medicines and our own capabilities to commercialize them. We have also been building a network of international partners to bring our medicines to patients in their countries.</w:t>
      </w:r>
    </w:p>
    <w:p>
      <w:pPr>
        <w:spacing w:after="0" w:line="132" w:lineRule="exact"/>
        <w:rPr>
          <w:sz w:val="20"/>
          <w:szCs w:val="20"/>
          <w:color w:val="auto"/>
        </w:rPr>
      </w:pPr>
    </w:p>
    <w:p>
      <w:pPr>
        <w:jc w:val="both"/>
        <w:ind w:right="480"/>
        <w:spacing w:after="0" w:line="244" w:lineRule="auto"/>
        <w:rPr>
          <w:sz w:val="20"/>
          <w:szCs w:val="20"/>
          <w:color w:val="auto"/>
        </w:rPr>
      </w:pPr>
      <w:r>
        <w:rPr>
          <w:rFonts w:ascii="Arial" w:cs="Arial" w:eastAsia="Arial" w:hAnsi="Arial"/>
          <w:sz w:val="20"/>
          <w:szCs w:val="20"/>
          <w:color w:val="auto"/>
        </w:rPr>
        <w:t>I am pleased to share a number of key developments during 2024 that enabled us to advance in our newly refined mission – working together to provide unique products that improve the quality of patient care.</w:t>
      </w:r>
    </w:p>
    <w:p>
      <w:pPr>
        <w:spacing w:after="0" w:line="125" w:lineRule="exact"/>
        <w:rPr>
          <w:sz w:val="20"/>
          <w:szCs w:val="20"/>
          <w:color w:val="auto"/>
        </w:rPr>
      </w:pPr>
    </w:p>
    <w:p>
      <w:pPr>
        <w:spacing w:after="0" w:line="235" w:lineRule="auto"/>
        <w:rPr>
          <w:sz w:val="20"/>
          <w:szCs w:val="20"/>
          <w:color w:val="auto"/>
        </w:rPr>
      </w:pPr>
      <w:r>
        <w:rPr>
          <w:rFonts w:ascii="Arial" w:cs="Arial" w:eastAsia="Arial" w:hAnsi="Arial"/>
          <w:sz w:val="20"/>
          <w:szCs w:val="20"/>
          <w:color w:val="auto"/>
        </w:rPr>
        <w:t>We announced the publication of new real-world outcomes research in 150,000 patients comparing our Caldolor</w:t>
      </w:r>
      <w:r>
        <w:rPr>
          <w:rFonts w:ascii="Arial" w:cs="Arial" w:eastAsia="Arial" w:hAnsi="Arial"/>
          <w:sz w:val="11"/>
          <w:szCs w:val="11"/>
          <w:color w:val="auto"/>
        </w:rPr>
        <w:t>®</w:t>
      </w:r>
      <w:r>
        <w:rPr>
          <w:rFonts w:ascii="Arial" w:cs="Arial" w:eastAsia="Arial" w:hAnsi="Arial"/>
          <w:sz w:val="20"/>
          <w:szCs w:val="20"/>
          <w:color w:val="auto"/>
        </w:rPr>
        <w:t xml:space="preserve"> product to its key competitor, ketorolac. The results provided compelling evidence that Caldolor offers a better safety profile, as a result of its significantly reduced incidence of adverse drug reactions. Caldolor also provides a potential significant cost savings to the health care facility, based on the findings that it improves their resource utilization.</w:t>
      </w:r>
    </w:p>
    <w:p>
      <w:pPr>
        <w:spacing w:after="0" w:line="133"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color w:val="auto"/>
        </w:rPr>
        <w:t xml:space="preserve">Additionally, a </w:t>
      </w:r>
      <w:r>
        <w:rPr>
          <w:rFonts w:ascii="Arial" w:cs="Arial" w:eastAsia="Arial" w:hAnsi="Arial"/>
          <w:sz w:val="20"/>
          <w:szCs w:val="20"/>
          <w:i w:val="1"/>
          <w:iCs w:val="1"/>
          <w:color w:val="auto"/>
        </w:rPr>
        <w:t>Caldolor Special Report</w:t>
      </w:r>
      <w:r>
        <w:rPr>
          <w:rFonts w:ascii="Arial" w:cs="Arial" w:eastAsia="Arial" w:hAnsi="Arial"/>
          <w:sz w:val="20"/>
          <w:szCs w:val="20"/>
          <w:color w:val="auto"/>
        </w:rPr>
        <w:t xml:space="preserve"> was published that presented the growing amount of data supporting the product’s use as a standard of care for the treatment of pain and fever. The report presented the studies demonstrating that Caldolor is a safe and effective treatment for pain and fever in adults, children and infants.</w:t>
      </w:r>
    </w:p>
    <w:p>
      <w:pPr>
        <w:spacing w:after="0" w:line="126" w:lineRule="exact"/>
        <w:rPr>
          <w:sz w:val="20"/>
          <w:szCs w:val="20"/>
          <w:color w:val="auto"/>
        </w:rPr>
      </w:pPr>
    </w:p>
    <w:p>
      <w:pPr>
        <w:ind w:right="60"/>
        <w:spacing w:after="0" w:line="235" w:lineRule="auto"/>
        <w:rPr>
          <w:sz w:val="20"/>
          <w:szCs w:val="20"/>
          <w:color w:val="auto"/>
        </w:rPr>
      </w:pPr>
      <w:r>
        <w:rPr>
          <w:rFonts w:ascii="Arial" w:cs="Arial" w:eastAsia="Arial" w:hAnsi="Arial"/>
          <w:sz w:val="20"/>
          <w:szCs w:val="20"/>
          <w:color w:val="auto"/>
        </w:rPr>
        <w:t>Meanwhile, we announced the FDA approval of expanded labeling for Acetadote</w:t>
      </w:r>
      <w:r>
        <w:rPr>
          <w:rFonts w:ascii="Arial" w:cs="Arial" w:eastAsia="Arial" w:hAnsi="Arial"/>
          <w:sz w:val="11"/>
          <w:szCs w:val="11"/>
          <w:color w:val="auto"/>
        </w:rPr>
        <w:t>®</w:t>
      </w:r>
      <w:r>
        <w:rPr>
          <w:rFonts w:ascii="Arial" w:cs="Arial" w:eastAsia="Arial" w:hAnsi="Arial"/>
          <w:sz w:val="20"/>
          <w:szCs w:val="20"/>
          <w:color w:val="auto"/>
        </w:rPr>
        <w:t>, our treatment for the liver injury associated with acetaminophen toxicity. The newly approved dosing regimen simplifies the administration of Acetadote by combining the first two bags of the standard regimen into a single, slower infusion. The new approach allows health care providers to administer the life-saving treatment more efficiently in order to improve patient outcomes.</w:t>
      </w:r>
    </w:p>
    <w:p>
      <w:pPr>
        <w:spacing w:after="0" w:line="133"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We also made significant progress in advancing the Phase II clinical trials evaluating our ifetroban product candidate. We closed our study in patients with Duchenne muscular dystrophy (DMD), approached the conclusion of enrollment in our systemic sclerosis study and significantly progressed our study in patients suffering from pulmonary fibrosis. These programs are designed to address unmet medical needs in large potential markets.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420"/>
        <w:spacing w:after="0" w:line="241" w:lineRule="auto"/>
        <w:rPr>
          <w:sz w:val="20"/>
          <w:szCs w:val="20"/>
          <w:color w:val="auto"/>
        </w:rPr>
      </w:pPr>
      <w:r>
        <w:rPr>
          <w:rFonts w:ascii="Arial" w:cs="Arial" w:eastAsia="Arial" w:hAnsi="Arial"/>
          <w:sz w:val="20"/>
          <w:szCs w:val="20"/>
          <w:color w:val="auto"/>
        </w:rPr>
        <w:t>We were delighted to receive both Orphan Drug Designation and Rare Pediatric Disease Designation from the FDA for the use of ifetroban for the treatment of DMD heart disease, reflecting its potential significance in treating this devastating condition.</w:t>
      </w:r>
    </w:p>
    <w:p>
      <w:pPr>
        <w:spacing w:after="0" w:line="125" w:lineRule="exact"/>
        <w:rPr>
          <w:sz w:val="20"/>
          <w:szCs w:val="20"/>
          <w:color w:val="auto"/>
        </w:rPr>
      </w:pPr>
    </w:p>
    <w:p>
      <w:pPr>
        <w:ind w:right="320"/>
        <w:spacing w:after="0" w:line="229" w:lineRule="auto"/>
        <w:rPr>
          <w:sz w:val="20"/>
          <w:szCs w:val="20"/>
          <w:color w:val="auto"/>
        </w:rPr>
      </w:pPr>
      <w:r>
        <w:rPr>
          <w:rFonts w:ascii="Arial" w:cs="Arial" w:eastAsia="Arial" w:hAnsi="Arial"/>
          <w:sz w:val="20"/>
          <w:szCs w:val="20"/>
          <w:color w:val="auto"/>
        </w:rPr>
        <w:t>At Cumberland Emerging Technologies (CET) we announced favorable top-line results from an investigator-led Phase II study evaluating our new treatment for delirium in critically ill patients. CET also entered into</w:t>
      </w:r>
    </w:p>
    <w:p>
      <w:pPr>
        <w:spacing w:after="0" w:line="2" w:lineRule="exact"/>
        <w:rPr>
          <w:sz w:val="20"/>
          <w:szCs w:val="20"/>
          <w:color w:val="auto"/>
        </w:rPr>
      </w:pPr>
    </w:p>
    <w:p>
      <w:pPr>
        <w:ind w:right="680"/>
        <w:spacing w:after="0" w:line="241" w:lineRule="auto"/>
        <w:rPr>
          <w:sz w:val="20"/>
          <w:szCs w:val="20"/>
          <w:color w:val="auto"/>
        </w:rPr>
      </w:pPr>
      <w:r>
        <w:rPr>
          <w:rFonts w:ascii="Arial" w:cs="Arial" w:eastAsia="Arial" w:hAnsi="Arial"/>
          <w:sz w:val="20"/>
          <w:szCs w:val="20"/>
          <w:color w:val="auto"/>
        </w:rPr>
        <w:t>a development agreement with a corporate partner to fund a new product designed to locate sites of internal bleeding. We are building a long-term pipeline of innovative biopharmaceutical products at CET in collaboration with academic research groups.</w:t>
      </w:r>
    </w:p>
    <w:p>
      <w:pPr>
        <w:spacing w:after="0" w:line="125" w:lineRule="exact"/>
        <w:rPr>
          <w:sz w:val="20"/>
          <w:szCs w:val="20"/>
          <w:color w:val="auto"/>
        </w:rPr>
      </w:pPr>
    </w:p>
    <w:p>
      <w:pPr>
        <w:ind w:right="380"/>
        <w:spacing w:after="0" w:line="244" w:lineRule="auto"/>
        <w:rPr>
          <w:sz w:val="20"/>
          <w:szCs w:val="20"/>
          <w:color w:val="auto"/>
        </w:rPr>
      </w:pPr>
      <w:r>
        <w:rPr>
          <w:rFonts w:ascii="Arial" w:cs="Arial" w:eastAsia="Arial" w:hAnsi="Arial"/>
          <w:sz w:val="20"/>
          <w:szCs w:val="20"/>
          <w:color w:val="auto"/>
        </w:rPr>
        <w:t>Turning to our commercial operations, we continued to be encouraged to see the positive impact on our business as more states provided favorable Medicaid coverage for Kristalose</w:t>
      </w:r>
      <w:r>
        <w:rPr>
          <w:rFonts w:ascii="Arial" w:cs="Arial" w:eastAsia="Arial" w:hAnsi="Arial"/>
          <w:sz w:val="11"/>
          <w:szCs w:val="11"/>
          <w:color w:val="auto"/>
        </w:rPr>
        <w:t>®</w:t>
      </w:r>
      <w:r>
        <w:rPr>
          <w:rFonts w:ascii="Arial" w:cs="Arial" w:eastAsia="Arial" w:hAnsi="Arial"/>
          <w:sz w:val="20"/>
          <w:szCs w:val="20"/>
          <w:color w:val="auto"/>
        </w:rPr>
        <w:t>, our prescription-strength laxative.</w:t>
      </w:r>
    </w:p>
    <w:p>
      <w:pPr>
        <w:spacing w:after="0" w:line="125" w:lineRule="exact"/>
        <w:rPr>
          <w:sz w:val="20"/>
          <w:szCs w:val="20"/>
          <w:color w:val="auto"/>
        </w:rPr>
      </w:pPr>
    </w:p>
    <w:p>
      <w:pPr>
        <w:ind w:right="300"/>
        <w:spacing w:after="0" w:line="241" w:lineRule="auto"/>
        <w:rPr>
          <w:sz w:val="20"/>
          <w:szCs w:val="20"/>
          <w:color w:val="auto"/>
        </w:rPr>
      </w:pPr>
      <w:r>
        <w:rPr>
          <w:rFonts w:ascii="Arial" w:cs="Arial" w:eastAsia="Arial" w:hAnsi="Arial"/>
          <w:sz w:val="20"/>
          <w:szCs w:val="20"/>
          <w:color w:val="auto"/>
        </w:rPr>
        <w:t>Manufacturing for our oncology support medication Sancuso</w:t>
      </w:r>
      <w:r>
        <w:rPr>
          <w:rFonts w:ascii="Arial" w:cs="Arial" w:eastAsia="Arial" w:hAnsi="Arial"/>
          <w:sz w:val="11"/>
          <w:szCs w:val="11"/>
          <w:color w:val="auto"/>
        </w:rPr>
        <w:t>®</w:t>
      </w:r>
      <w:r>
        <w:rPr>
          <w:rFonts w:ascii="Arial" w:cs="Arial" w:eastAsia="Arial" w:hAnsi="Arial"/>
          <w:sz w:val="20"/>
          <w:szCs w:val="20"/>
          <w:color w:val="auto"/>
        </w:rPr>
        <w:t xml:space="preserve"> was transferred to a new facility that received FDA approval. We then introduced our newly Cumberland-packaged product, supported by an expanded oncology sales division.</w:t>
      </w:r>
    </w:p>
    <w:p>
      <w:pPr>
        <w:spacing w:after="0" w:line="125" w:lineRule="exact"/>
        <w:rPr>
          <w:sz w:val="20"/>
          <w:szCs w:val="20"/>
          <w:color w:val="auto"/>
        </w:rPr>
      </w:pPr>
    </w:p>
    <w:p>
      <w:pPr>
        <w:ind w:right="500"/>
        <w:spacing w:after="0" w:line="244" w:lineRule="auto"/>
        <w:rPr>
          <w:sz w:val="20"/>
          <w:szCs w:val="20"/>
          <w:color w:val="auto"/>
        </w:rPr>
      </w:pPr>
      <w:r>
        <w:rPr>
          <w:rFonts w:ascii="Arial" w:cs="Arial" w:eastAsia="Arial" w:hAnsi="Arial"/>
          <w:sz w:val="20"/>
          <w:szCs w:val="20"/>
          <w:color w:val="auto"/>
        </w:rPr>
        <w:t>On the international front, we began shipping Vibativ</w:t>
      </w:r>
      <w:r>
        <w:rPr>
          <w:rFonts w:ascii="Arial" w:cs="Arial" w:eastAsia="Arial" w:hAnsi="Arial"/>
          <w:sz w:val="11"/>
          <w:szCs w:val="11"/>
          <w:color w:val="auto"/>
        </w:rPr>
        <w:t>®</w:t>
      </w:r>
      <w:r>
        <w:rPr>
          <w:rFonts w:ascii="Arial" w:cs="Arial" w:eastAsia="Arial" w:hAnsi="Arial"/>
          <w:sz w:val="20"/>
          <w:szCs w:val="20"/>
          <w:color w:val="auto"/>
        </w:rPr>
        <w:t>, our potent antibiotic, to Saudi Arabia. Our partner for the product in China progressed approval in their country – the world’s second largest pharmaceutical market.</w:t>
      </w:r>
    </w:p>
    <w:p>
      <w:pPr>
        <w:spacing w:after="0" w:line="125" w:lineRule="exact"/>
        <w:rPr>
          <w:sz w:val="20"/>
          <w:szCs w:val="20"/>
          <w:color w:val="auto"/>
        </w:rPr>
      </w:pPr>
    </w:p>
    <w:p>
      <w:pPr>
        <w:ind w:right="360"/>
        <w:spacing w:after="0" w:line="244" w:lineRule="auto"/>
        <w:rPr>
          <w:sz w:val="20"/>
          <w:szCs w:val="20"/>
          <w:color w:val="auto"/>
        </w:rPr>
      </w:pPr>
      <w:r>
        <w:rPr>
          <w:rFonts w:ascii="Arial" w:cs="Arial" w:eastAsia="Arial" w:hAnsi="Arial"/>
          <w:sz w:val="20"/>
          <w:szCs w:val="20"/>
          <w:color w:val="auto"/>
        </w:rPr>
        <w:t>Looking ahead, we remain focused on our mission and will continue to build our specialty pharmaceutical business by maximizing the potential of our commercial brands, progressing our pipeline and pursuing select acquisitions.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We are entering an exciting time for our Company!</w:t>
      </w:r>
    </w:p>
    <w:p>
      <w:pPr>
        <w:spacing w:after="0" w:line="170" w:lineRule="exact"/>
        <w:rPr>
          <w:sz w:val="20"/>
          <w:szCs w:val="20"/>
          <w:color w:val="auto"/>
        </w:rPr>
      </w:pPr>
    </w:p>
    <w:p>
      <w:pPr>
        <w:ind w:right="320"/>
        <w:spacing w:after="0" w:line="252" w:lineRule="auto"/>
        <w:rPr>
          <w:sz w:val="20"/>
          <w:szCs w:val="20"/>
          <w:color w:val="auto"/>
        </w:rPr>
      </w:pPr>
      <w:r>
        <w:rPr>
          <w:rFonts w:ascii="Arial" w:cs="Arial" w:eastAsia="Arial" w:hAnsi="Arial"/>
          <w:sz w:val="20"/>
          <w:szCs w:val="20"/>
          <w:color w:val="auto"/>
        </w:rPr>
        <w:t>I’d like to extend a special thanks to the entire Cumberland team for their dedicated efforts and many contributions that enable us to build value and help many patients.</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All the best,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color w:val="auto"/>
        </w:rPr>
        <w:t>A.J. Kazimi</w:t>
      </w:r>
    </w:p>
    <w:p>
      <w:pPr>
        <w:spacing w:after="0"/>
        <w:rPr>
          <w:sz w:val="20"/>
          <w:szCs w:val="20"/>
          <w:color w:val="auto"/>
        </w:rPr>
      </w:pPr>
      <w:r>
        <w:rPr>
          <w:rFonts w:ascii="Arial" w:cs="Arial" w:eastAsia="Arial" w:hAnsi="Arial"/>
          <w:sz w:val="20"/>
          <w:szCs w:val="20"/>
          <w:color w:val="auto"/>
        </w:rPr>
        <w:t>Chairman and Chief Executive Officer</w:t>
      </w:r>
    </w:p>
    <w:p>
      <w:pPr>
        <w:spacing w:after="0" w:line="140" w:lineRule="exact"/>
        <w:rPr>
          <w:sz w:val="20"/>
          <w:szCs w:val="20"/>
          <w:color w:val="auto"/>
        </w:rPr>
      </w:pPr>
    </w:p>
    <w:p>
      <w:pPr>
        <w:sectPr>
          <w:pgSz w:w="12240" w:h="15840" w:orient="portrait"/>
          <w:cols w:equalWidth="0" w:num="2">
            <w:col w:w="5320" w:space="160"/>
            <w:col w:w="5620"/>
          </w:cols>
          <w:pgMar w:left="720" w:top="1440" w:right="420" w:bottom="0" w:gutter="0" w:footer="0" w:header="0"/>
          <w:type w:val="continuous"/>
        </w:sectPr>
      </w:pPr>
    </w:p>
    <w:p>
      <w:pPr>
        <w:ind w:left="9240"/>
        <w:spacing w:after="0"/>
        <w:tabs>
          <w:tab w:leader="none" w:pos="11020" w:val="left"/>
        </w:tabs>
        <w:rPr>
          <w:sz w:val="20"/>
          <w:szCs w:val="20"/>
          <w:color w:val="auto"/>
        </w:rPr>
      </w:pPr>
      <w:r>
        <w:rPr>
          <w:rFonts w:ascii="Arial" w:cs="Arial" w:eastAsia="Arial" w:hAnsi="Arial"/>
          <w:sz w:val="16"/>
          <w:szCs w:val="16"/>
          <w:color w:val="00004D"/>
        </w:rPr>
        <w:t>2024 Annual Report</w:t>
      </w:r>
      <w:r>
        <w:rPr>
          <w:sz w:val="20"/>
          <w:szCs w:val="20"/>
          <w:color w:val="auto"/>
        </w:rPr>
        <w:tab/>
      </w:r>
      <w:r>
        <w:rPr>
          <w:rFonts w:ascii="Arial" w:cs="Arial" w:eastAsia="Arial" w:hAnsi="Arial"/>
          <w:sz w:val="10"/>
          <w:szCs w:val="10"/>
          <w:b w:val="1"/>
          <w:bCs w:val="1"/>
          <w:color w:val="FFFFFF"/>
        </w:rPr>
        <w:t>1</w:t>
      </w:r>
    </w:p>
    <w:p>
      <w:pPr>
        <w:sectPr>
          <w:pgSz w:w="12240" w:h="15840" w:orient="portrait"/>
          <w:cols w:equalWidth="0" w:num="1">
            <w:col w:w="11100"/>
          </w:cols>
          <w:pgMar w:left="720" w:top="1440" w:right="420" w:bottom="0" w:gutter="0" w:footer="0" w:header="0"/>
          <w:type w:val="continuous"/>
        </w:sectPr>
      </w:pPr>
    </w:p>
    <w:bookmarkStart w:id="3" w:name="page4"/>
    <w:bookmarkEnd w:id="3"/>
    <w:p>
      <w:pPr>
        <w:ind w:left="4080" w:right="400"/>
        <w:spacing w:after="0" w:line="238" w:lineRule="auto"/>
        <w:rPr>
          <w:sz w:val="20"/>
          <w:szCs w:val="20"/>
          <w:color w:val="auto"/>
        </w:rPr>
      </w:pPr>
      <w:r>
        <w:rPr>
          <w:rFonts w:ascii="Arial" w:cs="Arial" w:eastAsia="Arial" w:hAnsi="Arial"/>
          <w:sz w:val="62"/>
          <w:szCs w:val="62"/>
          <w:color w:val="377FA7"/>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t>Differentiated Brands, Unique Profiles, Patient-Focused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32"/>
          <w:szCs w:val="32"/>
          <w:b w:val="1"/>
          <w:bCs w:val="1"/>
          <w:color w:val="00004D"/>
        </w:rPr>
        <w:t>Advancing specialty care with innovative medicines</w:t>
      </w:r>
    </w:p>
    <w:p>
      <w:pPr>
        <w:spacing w:after="0" w:line="204" w:lineRule="exact"/>
        <w:rPr>
          <w:sz w:val="20"/>
          <w:szCs w:val="20"/>
          <w:color w:val="auto"/>
        </w:rPr>
      </w:pPr>
    </w:p>
    <w:p>
      <w:pPr>
        <w:ind w:right="40"/>
        <w:spacing w:after="0" w:line="280" w:lineRule="auto"/>
        <w:rPr>
          <w:sz w:val="20"/>
          <w:szCs w:val="20"/>
          <w:color w:val="auto"/>
        </w:rPr>
      </w:pPr>
      <w:r>
        <w:rPr>
          <w:rFonts w:ascii="Arial" w:cs="Arial" w:eastAsia="Arial" w:hAnsi="Arial"/>
          <w:sz w:val="22"/>
          <w:szCs w:val="22"/>
          <w:color w:val="auto"/>
        </w:rPr>
        <w:t>We are dedicated to our mission of working together to provide unique products that improve the quality of patient care. We develop, acquire and commercialize brands for select medical specialties, including hospital acute care, gastroenterology and oncology. Cumberland’s products are tailored for underserved, specialty markets and are designed to offer distinct advantages over prior treatments.</w:t>
      </w:r>
    </w:p>
    <w:p>
      <w:pPr>
        <w:spacing w:after="0" w:line="120" w:lineRule="exact"/>
        <w:rPr>
          <w:sz w:val="20"/>
          <w:szCs w:val="20"/>
          <w:color w:val="auto"/>
        </w:rPr>
      </w:pPr>
    </w:p>
    <w:p>
      <w:pPr>
        <w:spacing w:after="0" w:line="310" w:lineRule="auto"/>
        <w:rPr>
          <w:sz w:val="20"/>
          <w:szCs w:val="20"/>
          <w:color w:val="auto"/>
        </w:rPr>
      </w:pPr>
      <w:r>
        <w:rPr>
          <w:rFonts w:ascii="Arial" w:cs="Arial" w:eastAsia="Arial" w:hAnsi="Arial"/>
          <w:sz w:val="22"/>
          <w:szCs w:val="22"/>
          <w:color w:val="auto"/>
        </w:rPr>
        <w:t>Our innovative product portfolio of FDA-approved brands is supported by our dedicated hospital, field and oncology sales divisions, as well as our national accounts and field-based medical teams across the country.</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color w:val="auto"/>
        </w:rPr>
        <w:t>Our commercial product line includes the brands shown to the right.</w:t>
      </w:r>
    </w:p>
    <w:p>
      <w:pPr>
        <w:sectPr>
          <w:pgSz w:w="12240" w:h="15840" w:orient="portrait"/>
          <w:cols w:equalWidth="0" w:num="1">
            <w:col w:w="10740"/>
          </w:cols>
          <w:pgMar w:left="720" w:top="707" w:right="780" w:bottom="638" w:gutter="0" w:footer="0" w:header="0"/>
        </w:sectPr>
      </w:pPr>
    </w:p>
    <w:bookmarkStart w:id="4" w:name="page5"/>
    <w:bookmarkEnd w:id="4"/>
    <w:p>
      <w:pPr>
        <w:spacing w:after="0" w:line="3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307340</wp:posOffset>
            </wp:positionH>
            <wp:positionV relativeFrom="page">
              <wp:posOffset>344805</wp:posOffset>
            </wp:positionV>
            <wp:extent cx="6947535" cy="2650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extLst>
                    </a:blip>
                    <a:srcRect/>
                    <a:stretch>
                      <a:fillRect/>
                    </a:stretch>
                  </pic:blipFill>
                  <pic:spPr bwMode="auto">
                    <a:xfrm>
                      <a:off x="0" y="0"/>
                      <a:ext cx="6947535" cy="265049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28"/>
          <w:szCs w:val="28"/>
          <w:b w:val="1"/>
          <w:bCs w:val="1"/>
          <w:color w:val="377FA7"/>
        </w:rPr>
        <w:t>(acetylcysteine)</w:t>
      </w:r>
    </w:p>
    <w:p>
      <w:pPr>
        <w:spacing w:after="0" w:line="25" w:lineRule="exact"/>
        <w:rPr>
          <w:sz w:val="20"/>
          <w:szCs w:val="20"/>
          <w:color w:val="auto"/>
        </w:rPr>
      </w:pPr>
    </w:p>
    <w:p>
      <w:pPr>
        <w:ind w:left="1120" w:right="2620"/>
        <w:spacing w:after="0" w:line="277" w:lineRule="auto"/>
        <w:rPr>
          <w:sz w:val="20"/>
          <w:szCs w:val="20"/>
          <w:color w:val="auto"/>
        </w:rPr>
      </w:pPr>
      <w:r>
        <w:rPr>
          <w:rFonts w:ascii="Arial" w:cs="Arial" w:eastAsia="Arial" w:hAnsi="Arial"/>
          <w:sz w:val="22"/>
          <w:szCs w:val="22"/>
          <w:color w:val="00004D"/>
        </w:rPr>
        <w:t>An injection used for the treatment of acetaminophen poisoning, which is the leading cause of drug toxicity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966470</wp:posOffset>
            </wp:positionV>
            <wp:extent cx="7254875" cy="26504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extLst>
                    </a:blip>
                    <a:srcRect/>
                    <a:stretch>
                      <a:fillRect/>
                    </a:stretch>
                  </pic:blipFill>
                  <pic:spPr bwMode="auto">
                    <a:xfrm>
                      <a:off x="0" y="0"/>
                      <a:ext cx="7254875" cy="265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40"/>
        <w:spacing w:after="0"/>
        <w:rPr>
          <w:sz w:val="20"/>
          <w:szCs w:val="20"/>
          <w:color w:val="auto"/>
        </w:rPr>
      </w:pPr>
      <w:r>
        <w:rPr>
          <w:rFonts w:ascii="Arial" w:cs="Arial" w:eastAsia="Arial" w:hAnsi="Arial"/>
          <w:sz w:val="28"/>
          <w:szCs w:val="28"/>
          <w:b w:val="1"/>
          <w:bCs w:val="1"/>
          <w:color w:val="377FA7"/>
        </w:rPr>
        <w:t>(conivaptan)</w:t>
      </w:r>
    </w:p>
    <w:p>
      <w:pPr>
        <w:spacing w:after="0" w:line="25" w:lineRule="exact"/>
        <w:rPr>
          <w:sz w:val="20"/>
          <w:szCs w:val="20"/>
          <w:color w:val="auto"/>
        </w:rPr>
      </w:pPr>
    </w:p>
    <w:p>
      <w:pPr>
        <w:ind w:left="640" w:right="2920"/>
        <w:spacing w:after="0" w:line="272" w:lineRule="auto"/>
        <w:rPr>
          <w:sz w:val="20"/>
          <w:szCs w:val="20"/>
          <w:color w:val="auto"/>
        </w:rPr>
      </w:pPr>
      <w:r>
        <w:rPr>
          <w:rFonts w:ascii="Arial" w:cs="Arial" w:eastAsia="Arial" w:hAnsi="Arial"/>
          <w:sz w:val="22"/>
          <w:szCs w:val="22"/>
          <w:color w:val="00004D"/>
        </w:rPr>
        <w:t>The only intravenously administered vasopressin receptor antagonist, which is used to raise serum sodium levels in hospitalized patients with euvolemic and hypervolemic hyponatremia (salt imbalances)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595630</wp:posOffset>
            </wp:positionV>
            <wp:extent cx="3542665" cy="2650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extLst>
                    </a:blip>
                    <a:srcRect/>
                    <a:stretch>
                      <a:fillRect/>
                    </a:stretch>
                  </pic:blipFill>
                  <pic:spPr bwMode="auto">
                    <a:xfrm>
                      <a:off x="0" y="0"/>
                      <a:ext cx="3542665" cy="26504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8"/>
          <w:szCs w:val="28"/>
          <w:b w:val="1"/>
          <w:bCs w:val="1"/>
          <w:color w:val="377FA7"/>
        </w:rPr>
        <w:t>(granisetron)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00004D"/>
        </w:rPr>
        <w:t>An innovative</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00004D"/>
        </w:rPr>
        <w:t>prescription patch</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00004D"/>
        </w:rPr>
        <w:t>designed to prevent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00004D"/>
        </w:rPr>
        <w:t>nausea and vomiting</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00004D"/>
        </w:rPr>
        <w:t>in patients receiving</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00004D"/>
        </w:rPr>
        <w:t>certain types of</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00004D"/>
        </w:rPr>
        <w:t>chemotherapy</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00004D"/>
        </w:rPr>
        <w:t>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80"/>
        <w:spacing w:after="0"/>
        <w:rPr>
          <w:sz w:val="20"/>
          <w:szCs w:val="20"/>
          <w:color w:val="auto"/>
        </w:rPr>
      </w:pPr>
      <w:r>
        <w:rPr>
          <w:rFonts w:ascii="Arial" w:cs="Arial" w:eastAsia="Arial" w:hAnsi="Arial"/>
          <w:sz w:val="28"/>
          <w:szCs w:val="28"/>
          <w:b w:val="1"/>
          <w:bCs w:val="1"/>
          <w:color w:val="377FA7"/>
        </w:rPr>
        <w:t>(lactulose)</w:t>
      </w:r>
    </w:p>
    <w:p>
      <w:pPr>
        <w:spacing w:after="0" w:line="25" w:lineRule="exact"/>
        <w:rPr>
          <w:sz w:val="20"/>
          <w:szCs w:val="20"/>
          <w:color w:val="auto"/>
        </w:rPr>
      </w:pPr>
    </w:p>
    <w:p>
      <w:pPr>
        <w:ind w:left="280"/>
        <w:spacing w:after="0"/>
        <w:rPr>
          <w:sz w:val="20"/>
          <w:szCs w:val="20"/>
          <w:color w:val="auto"/>
        </w:rPr>
      </w:pPr>
      <w:r>
        <w:rPr>
          <w:rFonts w:ascii="Arial" w:cs="Arial" w:eastAsia="Arial" w:hAnsi="Arial"/>
          <w:sz w:val="22"/>
          <w:szCs w:val="22"/>
          <w:color w:val="00004D"/>
        </w:rPr>
        <w:t>The only branded</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22"/>
          <w:szCs w:val="22"/>
          <w:color w:val="00004D"/>
        </w:rPr>
        <w:t>prescription laxative</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22"/>
          <w:szCs w:val="22"/>
          <w:color w:val="00004D"/>
        </w:rPr>
        <w:t>product that combines</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22"/>
          <w:szCs w:val="22"/>
          <w:color w:val="00004D"/>
        </w:rPr>
        <w:t>the established</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22"/>
          <w:szCs w:val="22"/>
          <w:color w:val="00004D"/>
        </w:rPr>
        <w:t>safety and efficacy</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22"/>
          <w:szCs w:val="22"/>
          <w:color w:val="00004D"/>
        </w:rPr>
        <w:t>of lactulose with</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22"/>
          <w:szCs w:val="22"/>
          <w:color w:val="00004D"/>
        </w:rPr>
        <w:t>the convenience</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22"/>
          <w:szCs w:val="22"/>
          <w:color w:val="00004D"/>
        </w:rPr>
        <w:t>and portability of</w:t>
      </w:r>
    </w:p>
    <w:p>
      <w:pPr>
        <w:spacing w:after="0" w:line="27" w:lineRule="exact"/>
        <w:rPr>
          <w:sz w:val="20"/>
          <w:szCs w:val="20"/>
          <w:color w:val="auto"/>
        </w:rPr>
      </w:pPr>
    </w:p>
    <w:p>
      <w:pPr>
        <w:ind w:left="280" w:right="1200" w:firstLine="3"/>
        <w:spacing w:after="0" w:line="310" w:lineRule="auto"/>
        <w:tabs>
          <w:tab w:leader="none" w:pos="451" w:val="left"/>
        </w:tabs>
        <w:numPr>
          <w:ilvl w:val="0"/>
          <w:numId w:val="1"/>
        </w:numPr>
        <w:rPr>
          <w:rFonts w:ascii="Arial" w:cs="Arial" w:eastAsia="Arial" w:hAnsi="Arial"/>
          <w:sz w:val="22"/>
          <w:szCs w:val="22"/>
          <w:color w:val="00004D"/>
        </w:rPr>
      </w:pPr>
      <w:r>
        <w:rPr>
          <w:rFonts w:ascii="Arial" w:cs="Arial" w:eastAsia="Arial" w:hAnsi="Arial"/>
          <w:sz w:val="22"/>
          <w:szCs w:val="22"/>
          <w:color w:val="00004D"/>
        </w:rPr>
        <w:t>crystalline, pre-measured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429260</wp:posOffset>
            </wp:positionV>
            <wp:extent cx="3439795" cy="26504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extLst>
                    </a:blip>
                    <a:srcRect/>
                    <a:stretch>
                      <a:fillRect/>
                    </a:stretch>
                  </pic:blipFill>
                  <pic:spPr bwMode="auto">
                    <a:xfrm>
                      <a:off x="0" y="0"/>
                      <a:ext cx="3439795" cy="265049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6460" w:space="720"/>
            <w:col w:w="3240"/>
          </w:cols>
          <w:pgMar w:left="1440" w:top="1440"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380"/>
        <w:spacing w:after="0"/>
        <w:rPr>
          <w:sz w:val="20"/>
          <w:szCs w:val="20"/>
          <w:color w:val="auto"/>
        </w:rPr>
      </w:pPr>
      <w:r>
        <w:rPr>
          <w:rFonts w:ascii="Arial" w:cs="Arial" w:eastAsia="Arial" w:hAnsi="Arial"/>
          <w:sz w:val="28"/>
          <w:szCs w:val="28"/>
          <w:b w:val="1"/>
          <w:bCs w:val="1"/>
          <w:color w:val="377FA7"/>
        </w:rPr>
        <w:t>(ibuprofen)</w:t>
      </w:r>
    </w:p>
    <w:p>
      <w:pPr>
        <w:spacing w:after="0" w:line="25" w:lineRule="exact"/>
        <w:rPr>
          <w:sz w:val="20"/>
          <w:szCs w:val="20"/>
          <w:color w:val="auto"/>
        </w:rPr>
      </w:pPr>
    </w:p>
    <w:p>
      <w:pPr>
        <w:ind w:left="1380" w:right="1660"/>
        <w:spacing w:after="0" w:line="277" w:lineRule="auto"/>
        <w:rPr>
          <w:sz w:val="20"/>
          <w:szCs w:val="20"/>
          <w:color w:val="auto"/>
        </w:rPr>
      </w:pPr>
      <w:r>
        <w:rPr>
          <w:rFonts w:ascii="Arial" w:cs="Arial" w:eastAsia="Arial" w:hAnsi="Arial"/>
          <w:sz w:val="22"/>
          <w:szCs w:val="22"/>
          <w:color w:val="00004D"/>
        </w:rPr>
        <w:t>An injectable therapy that reduces pain, fever and inflammation for patients, including those undergoing surgeries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750570</wp:posOffset>
            </wp:positionV>
            <wp:extent cx="852170" cy="654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extLst>
                    </a:blip>
                    <a:srcRect/>
                    <a:stretch>
                      <a:fillRect/>
                    </a:stretch>
                  </pic:blipFill>
                  <pic:spPr bwMode="auto">
                    <a:xfrm>
                      <a:off x="0" y="0"/>
                      <a:ext cx="852170" cy="654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8"/>
          <w:szCs w:val="28"/>
          <w:b w:val="1"/>
          <w:bCs w:val="1"/>
          <w:color w:val="377FA7"/>
        </w:rPr>
        <w:t>(telavancin)</w:t>
      </w:r>
    </w:p>
    <w:p>
      <w:pPr>
        <w:spacing w:after="0" w:line="25" w:lineRule="exact"/>
        <w:rPr>
          <w:sz w:val="20"/>
          <w:szCs w:val="20"/>
          <w:color w:val="auto"/>
        </w:rPr>
      </w:pPr>
    </w:p>
    <w:p>
      <w:pPr>
        <w:ind w:right="720"/>
        <w:spacing w:after="0" w:line="272" w:lineRule="auto"/>
        <w:rPr>
          <w:sz w:val="20"/>
          <w:szCs w:val="20"/>
          <w:color w:val="auto"/>
        </w:rPr>
      </w:pPr>
      <w:r>
        <w:rPr>
          <w:rFonts w:ascii="Arial" w:cs="Arial" w:eastAsia="Arial" w:hAnsi="Arial"/>
          <w:sz w:val="22"/>
          <w:szCs w:val="22"/>
          <w:color w:val="00004D"/>
        </w:rPr>
        <w:t>A potent antibiotic delivered through injection for the treatment of certain serious bacterial infections, including hospital-acquired and ventilator-associated bacterial pneumonia, as well as complicated skin and skin structure infections</w:t>
      </w:r>
    </w:p>
    <w:p>
      <w:pPr>
        <w:spacing w:after="0" w:line="200" w:lineRule="exact"/>
        <w:rPr>
          <w:sz w:val="20"/>
          <w:szCs w:val="20"/>
          <w:color w:val="auto"/>
        </w:rPr>
      </w:pPr>
    </w:p>
    <w:p>
      <w:pPr>
        <w:sectPr>
          <w:pgSz w:w="12240" w:h="15840" w:orient="portrait"/>
          <w:cols w:equalWidth="0" w:num="2">
            <w:col w:w="5540" w:space="720"/>
            <w:col w:w="4160"/>
          </w:cols>
          <w:pgMar w:left="1440" w:top="1440" w:right="3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80" w:right="940"/>
        <w:spacing w:after="0" w:line="289" w:lineRule="auto"/>
        <w:rPr>
          <w:sz w:val="20"/>
          <w:szCs w:val="20"/>
          <w:color w:val="auto"/>
        </w:rPr>
      </w:pPr>
      <w:r>
        <w:rPr>
          <w:rFonts w:ascii="Arial" w:cs="Arial" w:eastAsia="Arial" w:hAnsi="Arial"/>
          <w:sz w:val="22"/>
          <w:szCs w:val="22"/>
          <w:color w:val="00004D"/>
        </w:rPr>
        <w:t xml:space="preserve">For more information on Cumberland’s approved products, including safety and full prescribing information, please visit links to the individual product websites, which can be found on our corporate website, </w:t>
      </w:r>
      <w:r>
        <w:rPr>
          <w:rFonts w:ascii="Arial" w:cs="Arial" w:eastAsia="Arial" w:hAnsi="Arial"/>
          <w:sz w:val="22"/>
          <w:szCs w:val="22"/>
          <w:b w:val="1"/>
          <w:bCs w:val="1"/>
          <w:color w:val="00004D"/>
        </w:rPr>
        <w:t>www.cumberlandpharma.com.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6475095</wp:posOffset>
                </wp:positionH>
                <wp:positionV relativeFrom="paragraph">
                  <wp:posOffset>3175</wp:posOffset>
                </wp:positionV>
                <wp:extent cx="382905" cy="19177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2905" cy="191770"/>
                        </a:xfrm>
                        <a:prstGeom prst="rect">
                          <a:avLst/>
                        </a:prstGeom>
                        <a:solidFill>
                          <a:srgbClr val="00065C"/>
                        </a:solidFill>
                      </wps:spPr>
                      <wps:bodyPr/>
                    </wps:wsp>
                  </a:graphicData>
                </a:graphic>
              </wp:anchor>
            </w:drawing>
          </mc:Choice>
          <mc:Fallback>
            <w:pict>
              <v:rect id="Shape 13" o:spid="_x0000_s1038" style="position:absolute;margin-left:509.85pt;margin-top:0.25pt;width:30.15pt;height:15.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65C" stroked="f"/>
            </w:pict>
          </mc:Fallback>
        </mc:AlternateContent>
      </w:r>
    </w:p>
    <w:p>
      <w:pPr>
        <w:jc w:val="right"/>
        <w:spacing w:after="0"/>
        <w:tabs>
          <w:tab w:leader="none" w:pos="80" w:val="left"/>
        </w:tabs>
        <w:rPr>
          <w:sz w:val="20"/>
          <w:szCs w:val="20"/>
          <w:color w:val="auto"/>
        </w:rPr>
      </w:pPr>
      <w:r>
        <w:rPr>
          <w:rFonts w:ascii="Arial" w:cs="Arial" w:eastAsia="Arial" w:hAnsi="Arial"/>
          <w:sz w:val="16"/>
          <w:szCs w:val="16"/>
          <w:color w:val="00004D"/>
        </w:rPr>
        <w:t>2024 Annual Report</w:t>
      </w:r>
      <w:r>
        <w:rPr>
          <w:sz w:val="20"/>
          <w:szCs w:val="20"/>
          <w:color w:val="auto"/>
        </w:rPr>
        <w:tab/>
      </w:r>
      <w:r>
        <w:rPr>
          <w:rFonts w:ascii="Arial" w:cs="Arial" w:eastAsia="Arial" w:hAnsi="Arial"/>
          <w:sz w:val="16"/>
          <w:szCs w:val="16"/>
          <w:b w:val="1"/>
          <w:bCs w:val="1"/>
          <w:color w:val="FFFFFF"/>
        </w:rPr>
        <w:t>3</w:t>
      </w:r>
    </w:p>
    <w:p>
      <w:pPr>
        <w:sectPr>
          <w:pgSz w:w="12240" w:h="15840" w:orient="portrait"/>
          <w:cols w:equalWidth="0" w:num="1">
            <w:col w:w="10420"/>
          </w:cols>
          <w:pgMar w:left="1440" w:top="1440" w:right="380" w:bottom="0" w:gutter="0" w:footer="0" w:header="0"/>
          <w:type w:val="continuous"/>
        </w:sectPr>
      </w:pPr>
    </w:p>
    <w:bookmarkStart w:id="5" w:name="page6"/>
    <w:bookmarkEnd w:id="5"/>
    <w:p>
      <w:pPr>
        <w:ind w:left="340" w:right="2660"/>
        <w:spacing w:after="0" w:line="267" w:lineRule="auto"/>
        <w:rPr>
          <w:sz w:val="20"/>
          <w:szCs w:val="20"/>
          <w:color w:val="auto"/>
        </w:rPr>
      </w:pPr>
      <w:r>
        <w:rPr>
          <w:rFonts w:ascii="Arial" w:cs="Arial" w:eastAsia="Arial" w:hAnsi="Arial"/>
          <w:sz w:val="54"/>
          <w:szCs w:val="54"/>
          <w:color w:val="FFFF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7772400" cy="2395855"/>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72400" cy="2395855"/>
                        </a:xfrm>
                        <a:prstGeom prst="rect">
                          <a:avLst/>
                        </a:prstGeom>
                        <a:solidFill>
                          <a:srgbClr val="00004D"/>
                        </a:solidFill>
                      </wps:spPr>
                      <wps:bodyPr/>
                    </wps:wsp>
                  </a:graphicData>
                </a:graphic>
              </wp:anchor>
            </w:drawing>
          </mc:Choice>
          <mc:Fallback>
            <w:pict>
              <v:rect id="Shape 14" o:spid="_x0000_s1039" style="position:absolute;margin-left:0pt;margin-top:0pt;width:612pt;height:188.6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00004D" stroked="f">
                <w10:wrap anchorx="page" anchory="page"/>
              </v:rect>
            </w:pict>
          </mc:Fallback>
        </mc:AlternateContent>
        <w:t>Developing a Pipeline to Address Unmet Medical Needs</w:t>
      </w:r>
    </w:p>
    <w:p>
      <w:pPr>
        <w:spacing w:after="0" w:line="1" w:lineRule="exact"/>
        <w:rPr>
          <w:sz w:val="20"/>
          <w:szCs w:val="20"/>
          <w:color w:val="auto"/>
        </w:rPr>
      </w:pPr>
    </w:p>
    <w:p>
      <w:pPr>
        <w:ind w:left="360"/>
        <w:spacing w:after="0" w:line="310" w:lineRule="auto"/>
        <w:rPr>
          <w:sz w:val="20"/>
          <w:szCs w:val="20"/>
          <w:color w:val="auto"/>
        </w:rPr>
      </w:pPr>
      <w:r>
        <w:rPr>
          <w:rFonts w:ascii="Arial" w:cs="Arial" w:eastAsia="Arial" w:hAnsi="Arial"/>
          <w:sz w:val="22"/>
          <w:szCs w:val="22"/>
          <w:color w:val="FFFFFF"/>
        </w:rPr>
        <w:t>We are developing an innovative new chemical entity – ifetroban – with the potential to help patients with conditions for which there are no satisfactory approved treatments.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40"/>
        <w:spacing w:after="0"/>
        <w:rPr>
          <w:sz w:val="20"/>
          <w:szCs w:val="20"/>
          <w:color w:val="auto"/>
        </w:rPr>
      </w:pPr>
      <w:r>
        <w:rPr>
          <w:rFonts w:ascii="Arial" w:cs="Arial" w:eastAsia="Arial" w:hAnsi="Arial"/>
          <w:sz w:val="30"/>
          <w:szCs w:val="30"/>
          <w:b w:val="1"/>
          <w:bCs w:val="1"/>
          <w:color w:val="00004D"/>
        </w:rPr>
        <w:t>Our development programs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151765</wp:posOffset>
            </wp:positionV>
            <wp:extent cx="7302500" cy="5485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extLst>
                    </a:blip>
                    <a:srcRect/>
                    <a:stretch>
                      <a:fillRect/>
                    </a:stretch>
                  </pic:blipFill>
                  <pic:spPr bwMode="auto">
                    <a:xfrm>
                      <a:off x="0" y="0"/>
                      <a:ext cx="7302500" cy="548576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264"/>
        </w:trPr>
        <w:tc>
          <w:tcPr>
            <w:tcW w:w="1580" w:type="dxa"/>
            <w:vAlign w:val="bottom"/>
          </w:tcPr>
          <w:p>
            <w:pPr>
              <w:spacing w:after="0"/>
              <w:rPr>
                <w:sz w:val="20"/>
                <w:szCs w:val="20"/>
                <w:color w:val="auto"/>
              </w:rPr>
            </w:pPr>
            <w:r>
              <w:rPr>
                <w:rFonts w:ascii="Arial" w:cs="Arial" w:eastAsia="Arial" w:hAnsi="Arial"/>
                <w:sz w:val="19"/>
                <w:szCs w:val="19"/>
                <w:b w:val="1"/>
                <w:bCs w:val="1"/>
                <w:color w:val="00004D"/>
              </w:rPr>
              <w:t>Preclinical</w:t>
            </w:r>
          </w:p>
        </w:tc>
        <w:tc>
          <w:tcPr>
            <w:tcW w:w="1640" w:type="dxa"/>
            <w:vAlign w:val="bottom"/>
          </w:tcPr>
          <w:p>
            <w:pPr>
              <w:ind w:left="600"/>
              <w:spacing w:after="0"/>
              <w:rPr>
                <w:sz w:val="20"/>
                <w:szCs w:val="20"/>
                <w:color w:val="auto"/>
              </w:rPr>
            </w:pPr>
            <w:r>
              <w:rPr>
                <w:rFonts w:ascii="Arial" w:cs="Arial" w:eastAsia="Arial" w:hAnsi="Arial"/>
                <w:sz w:val="19"/>
                <w:szCs w:val="19"/>
                <w:b w:val="1"/>
                <w:bCs w:val="1"/>
                <w:color w:val="00004D"/>
              </w:rPr>
              <w:t>IND</w:t>
            </w:r>
          </w:p>
        </w:tc>
        <w:tc>
          <w:tcPr>
            <w:tcW w:w="1920" w:type="dxa"/>
            <w:vAlign w:val="bottom"/>
          </w:tcPr>
          <w:p>
            <w:pPr>
              <w:ind w:left="680"/>
              <w:spacing w:after="0"/>
              <w:rPr>
                <w:sz w:val="20"/>
                <w:szCs w:val="20"/>
                <w:color w:val="auto"/>
              </w:rPr>
            </w:pPr>
            <w:r>
              <w:rPr>
                <w:rFonts w:ascii="Arial" w:cs="Arial" w:eastAsia="Arial" w:hAnsi="Arial"/>
                <w:sz w:val="19"/>
                <w:szCs w:val="19"/>
                <w:b w:val="1"/>
                <w:bCs w:val="1"/>
                <w:color w:val="00004D"/>
              </w:rPr>
              <w:t>Phase I</w:t>
            </w:r>
          </w:p>
        </w:tc>
        <w:tc>
          <w:tcPr>
            <w:tcW w:w="1880" w:type="dxa"/>
            <w:vAlign w:val="bottom"/>
          </w:tcPr>
          <w:p>
            <w:pPr>
              <w:ind w:left="580"/>
              <w:spacing w:after="0"/>
              <w:rPr>
                <w:sz w:val="20"/>
                <w:szCs w:val="20"/>
                <w:color w:val="auto"/>
              </w:rPr>
            </w:pPr>
            <w:r>
              <w:rPr>
                <w:rFonts w:ascii="Arial" w:cs="Arial" w:eastAsia="Arial" w:hAnsi="Arial"/>
                <w:sz w:val="19"/>
                <w:szCs w:val="19"/>
                <w:b w:val="1"/>
                <w:bCs w:val="1"/>
                <w:color w:val="00004D"/>
              </w:rPr>
              <w:t>Phase II</w:t>
            </w:r>
          </w:p>
        </w:tc>
        <w:tc>
          <w:tcPr>
            <w:tcW w:w="1960" w:type="dxa"/>
            <w:vAlign w:val="bottom"/>
          </w:tcPr>
          <w:p>
            <w:pPr>
              <w:ind w:left="540"/>
              <w:spacing w:after="0"/>
              <w:rPr>
                <w:sz w:val="20"/>
                <w:szCs w:val="20"/>
                <w:color w:val="auto"/>
              </w:rPr>
            </w:pPr>
            <w:r>
              <w:rPr>
                <w:rFonts w:ascii="Arial" w:cs="Arial" w:eastAsia="Arial" w:hAnsi="Arial"/>
                <w:sz w:val="19"/>
                <w:szCs w:val="19"/>
                <w:b w:val="1"/>
                <w:bCs w:val="1"/>
                <w:color w:val="00004D"/>
              </w:rPr>
              <w:t>Phase III</w:t>
            </w:r>
          </w:p>
        </w:tc>
        <w:tc>
          <w:tcPr>
            <w:tcW w:w="1060" w:type="dxa"/>
            <w:vAlign w:val="bottom"/>
          </w:tcPr>
          <w:p>
            <w:pPr>
              <w:ind w:left="640"/>
              <w:spacing w:after="0"/>
              <w:rPr>
                <w:sz w:val="20"/>
                <w:szCs w:val="20"/>
                <w:color w:val="auto"/>
              </w:rPr>
            </w:pPr>
            <w:r>
              <w:rPr>
                <w:rFonts w:ascii="Arial" w:cs="Arial" w:eastAsia="Arial" w:hAnsi="Arial"/>
                <w:sz w:val="19"/>
                <w:szCs w:val="19"/>
                <w:b w:val="1"/>
                <w:bCs w:val="1"/>
                <w:color w:val="00004D"/>
                <w:w w:val="97"/>
              </w:rPr>
              <w:t>NDA</w:t>
            </w:r>
          </w:p>
        </w:tc>
      </w:tr>
    </w:tbl>
    <w:p>
      <w:pPr>
        <w:spacing w:after="0" w:line="393" w:lineRule="exact"/>
        <w:rPr>
          <w:sz w:val="20"/>
          <w:szCs w:val="20"/>
          <w:color w:val="auto"/>
        </w:rPr>
      </w:pPr>
    </w:p>
    <w:p>
      <w:pPr>
        <w:ind w:left="680"/>
        <w:spacing w:after="0"/>
        <w:rPr>
          <w:sz w:val="20"/>
          <w:szCs w:val="20"/>
          <w:color w:val="auto"/>
        </w:rPr>
      </w:pPr>
      <w:r>
        <w:rPr>
          <w:rFonts w:ascii="Arial" w:cs="Arial" w:eastAsia="Arial" w:hAnsi="Arial"/>
          <w:sz w:val="30"/>
          <w:szCs w:val="30"/>
          <w:b w:val="1"/>
          <w:bCs w:val="1"/>
          <w:color w:val="00004D"/>
        </w:rPr>
        <w:t>Dyscorban</w:t>
      </w:r>
      <w:r>
        <w:rPr>
          <w:rFonts w:ascii="Arial" w:cs="Arial" w:eastAsia="Arial" w:hAnsi="Arial"/>
          <w:sz w:val="17"/>
          <w:szCs w:val="17"/>
          <w:b w:val="1"/>
          <w:bCs w:val="1"/>
          <w:color w:val="00004D"/>
        </w:rPr>
        <w:t>®</w:t>
      </w:r>
    </w:p>
    <w:p>
      <w:pPr>
        <w:ind w:left="680" w:right="3700"/>
        <w:spacing w:after="0" w:line="275" w:lineRule="auto"/>
        <w:rPr>
          <w:sz w:val="20"/>
          <w:szCs w:val="20"/>
          <w:color w:val="auto"/>
        </w:rPr>
      </w:pPr>
      <w:r>
        <w:rPr>
          <w:rFonts w:ascii="Arial" w:cs="Arial" w:eastAsia="Arial" w:hAnsi="Arial"/>
          <w:sz w:val="20"/>
          <w:szCs w:val="20"/>
          <w:i w:val="1"/>
          <w:iCs w:val="1"/>
          <w:color w:val="auto"/>
        </w:rPr>
        <w:t>An oral capsule to treat cardiomyopathy associated with Duchenne muscular dystrophy, a fatal, genetic neuromuscular disease</w:t>
      </w:r>
    </w:p>
    <w:p>
      <w:pPr>
        <w:spacing w:after="0" w:line="93" w:lineRule="exact"/>
        <w:rPr>
          <w:sz w:val="20"/>
          <w:szCs w:val="20"/>
          <w:color w:val="auto"/>
        </w:rPr>
      </w:pPr>
    </w:p>
    <w:p>
      <w:pPr>
        <w:jc w:val="both"/>
        <w:ind w:left="680" w:right="4140"/>
        <w:spacing w:after="0" w:line="244" w:lineRule="auto"/>
        <w:rPr>
          <w:sz w:val="20"/>
          <w:szCs w:val="20"/>
          <w:color w:val="auto"/>
        </w:rPr>
      </w:pPr>
      <w:r>
        <w:rPr>
          <w:rFonts w:ascii="Arial" w:cs="Arial" w:eastAsia="Arial" w:hAnsi="Arial"/>
          <w:sz w:val="20"/>
          <w:szCs w:val="20"/>
          <w:color w:val="auto"/>
        </w:rPr>
        <w:t>Following a Phase II study, completion of data analysis and a full study report are underway in preparation for a meeting with the FDA to determine next steps for the product’s development and commercialization.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80"/>
        <w:spacing w:after="0"/>
        <w:rPr>
          <w:sz w:val="20"/>
          <w:szCs w:val="20"/>
          <w:color w:val="auto"/>
        </w:rPr>
      </w:pPr>
      <w:r>
        <w:rPr>
          <w:rFonts w:ascii="Arial" w:cs="Arial" w:eastAsia="Arial" w:hAnsi="Arial"/>
          <w:sz w:val="30"/>
          <w:szCs w:val="30"/>
          <w:b w:val="1"/>
          <w:bCs w:val="1"/>
          <w:color w:val="00004D"/>
        </w:rPr>
        <w:t>Vasculan</w:t>
      </w:r>
      <w:r>
        <w:rPr>
          <w:rFonts w:ascii="Arial" w:cs="Arial" w:eastAsia="Arial" w:hAnsi="Arial"/>
          <w:sz w:val="17"/>
          <w:szCs w:val="17"/>
          <w:b w:val="1"/>
          <w:bCs w:val="1"/>
          <w:color w:val="00004D"/>
        </w:rPr>
        <w:t>®</w:t>
      </w:r>
    </w:p>
    <w:p>
      <w:pPr>
        <w:ind w:left="680" w:right="4260"/>
        <w:spacing w:after="0" w:line="252" w:lineRule="auto"/>
        <w:rPr>
          <w:sz w:val="20"/>
          <w:szCs w:val="20"/>
          <w:color w:val="auto"/>
        </w:rPr>
      </w:pPr>
      <w:r>
        <w:rPr>
          <w:rFonts w:ascii="Arial" w:cs="Arial" w:eastAsia="Arial" w:hAnsi="Arial"/>
          <w:sz w:val="20"/>
          <w:szCs w:val="20"/>
          <w:i w:val="1"/>
          <w:iCs w:val="1"/>
          <w:color w:val="auto"/>
        </w:rPr>
        <w:t>An oral capsule to treat systemic sclerosis (SSc), also known as scleroderma, a rare, debilitating autoimmune disorder that results in a thickening of the skin and internal organs</w:t>
      </w:r>
    </w:p>
    <w:p>
      <w:pPr>
        <w:spacing w:after="0" w:line="156" w:lineRule="exact"/>
        <w:rPr>
          <w:sz w:val="20"/>
          <w:szCs w:val="20"/>
          <w:color w:val="auto"/>
        </w:rPr>
      </w:pPr>
    </w:p>
    <w:p>
      <w:pPr>
        <w:ind w:left="680" w:right="4080"/>
        <w:spacing w:after="0" w:line="275" w:lineRule="auto"/>
        <w:rPr>
          <w:sz w:val="20"/>
          <w:szCs w:val="20"/>
          <w:color w:val="auto"/>
        </w:rPr>
      </w:pPr>
      <w:r>
        <w:rPr>
          <w:rFonts w:ascii="Arial" w:cs="Arial" w:eastAsia="Arial" w:hAnsi="Arial"/>
          <w:sz w:val="20"/>
          <w:szCs w:val="20"/>
          <w:color w:val="auto"/>
        </w:rPr>
        <w:t>With FDA clearance of our IND, this Phase II study in SSc patients is nearing completion.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80"/>
        <w:spacing w:after="0"/>
        <w:rPr>
          <w:sz w:val="20"/>
          <w:szCs w:val="20"/>
          <w:color w:val="auto"/>
        </w:rPr>
      </w:pPr>
      <w:r>
        <w:rPr>
          <w:rFonts w:ascii="Arial" w:cs="Arial" w:eastAsia="Arial" w:hAnsi="Arial"/>
          <w:sz w:val="30"/>
          <w:szCs w:val="30"/>
          <w:b w:val="1"/>
          <w:bCs w:val="1"/>
          <w:color w:val="00004D"/>
        </w:rPr>
        <w:t>Ifetroban</w:t>
      </w:r>
    </w:p>
    <w:p>
      <w:pPr>
        <w:ind w:left="680"/>
        <w:spacing w:after="0" w:line="229" w:lineRule="auto"/>
        <w:rPr>
          <w:sz w:val="20"/>
          <w:szCs w:val="20"/>
          <w:color w:val="auto"/>
        </w:rPr>
      </w:pPr>
      <w:r>
        <w:rPr>
          <w:rFonts w:ascii="Arial" w:cs="Arial" w:eastAsia="Arial" w:hAnsi="Arial"/>
          <w:sz w:val="20"/>
          <w:szCs w:val="20"/>
          <w:i w:val="1"/>
          <w:iCs w:val="1"/>
          <w:color w:val="auto"/>
        </w:rPr>
        <w:t>We are developing an oral capsule to treat idiopathic</w:t>
      </w:r>
    </w:p>
    <w:p>
      <w:pPr>
        <w:ind w:left="680"/>
        <w:spacing w:after="0" w:line="230" w:lineRule="auto"/>
        <w:rPr>
          <w:sz w:val="20"/>
          <w:szCs w:val="20"/>
          <w:color w:val="auto"/>
        </w:rPr>
      </w:pPr>
      <w:r>
        <w:rPr>
          <w:rFonts w:ascii="Arial" w:cs="Arial" w:eastAsia="Arial" w:hAnsi="Arial"/>
          <w:sz w:val="20"/>
          <w:szCs w:val="20"/>
          <w:i w:val="1"/>
          <w:iCs w:val="1"/>
          <w:color w:val="auto"/>
        </w:rPr>
        <w:t>pulmonary fibrosis (IPF), the most common form of</w:t>
      </w:r>
    </w:p>
    <w:p>
      <w:pPr>
        <w:ind w:left="680"/>
        <w:spacing w:after="0"/>
        <w:rPr>
          <w:sz w:val="20"/>
          <w:szCs w:val="20"/>
          <w:color w:val="auto"/>
        </w:rPr>
      </w:pPr>
      <w:r>
        <w:rPr>
          <w:rFonts w:ascii="Arial" w:cs="Arial" w:eastAsia="Arial" w:hAnsi="Arial"/>
          <w:sz w:val="20"/>
          <w:szCs w:val="20"/>
          <w:i w:val="1"/>
          <w:iCs w:val="1"/>
          <w:color w:val="auto"/>
        </w:rPr>
        <w:t>progressive fibrosing interstitial lung disease.</w:t>
      </w:r>
    </w:p>
    <w:p>
      <w:pPr>
        <w:spacing w:after="0" w:line="200" w:lineRule="exact"/>
        <w:rPr>
          <w:sz w:val="20"/>
          <w:szCs w:val="20"/>
          <w:color w:val="auto"/>
        </w:rPr>
      </w:pPr>
    </w:p>
    <w:p>
      <w:pPr>
        <w:ind w:left="680"/>
        <w:spacing w:after="0"/>
        <w:rPr>
          <w:sz w:val="20"/>
          <w:szCs w:val="20"/>
          <w:color w:val="auto"/>
        </w:rPr>
      </w:pPr>
      <w:r>
        <w:rPr>
          <w:rFonts w:ascii="Arial" w:cs="Arial" w:eastAsia="Arial" w:hAnsi="Arial"/>
          <w:sz w:val="20"/>
          <w:szCs w:val="20"/>
          <w:color w:val="auto"/>
        </w:rPr>
        <w:t>Following FDA clearance of our IND, a Phase II</w:t>
      </w:r>
    </w:p>
    <w:p>
      <w:pPr>
        <w:ind w:left="680"/>
        <w:spacing w:after="0" w:line="229" w:lineRule="auto"/>
        <w:rPr>
          <w:sz w:val="20"/>
          <w:szCs w:val="20"/>
          <w:color w:val="auto"/>
        </w:rPr>
      </w:pPr>
      <w:r>
        <w:rPr>
          <w:rFonts w:ascii="Arial" w:cs="Arial" w:eastAsia="Arial" w:hAnsi="Arial"/>
          <w:sz w:val="20"/>
          <w:szCs w:val="20"/>
          <w:color w:val="auto"/>
        </w:rPr>
        <w:t>clinical study is underway in IPF patients in centers of</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20"/>
          <w:szCs w:val="20"/>
          <w:color w:val="auto"/>
        </w:rPr>
        <w:t>excellence across the U.S.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-240665</wp:posOffset>
                </wp:positionH>
                <wp:positionV relativeFrom="paragraph">
                  <wp:posOffset>869950</wp:posOffset>
                </wp:positionV>
                <wp:extent cx="381635" cy="191135"/>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635" cy="191135"/>
                        </a:xfrm>
                        <a:prstGeom prst="rect">
                          <a:avLst/>
                        </a:prstGeom>
                        <a:solidFill>
                          <a:srgbClr val="00065C"/>
                        </a:solidFill>
                      </wps:spPr>
                      <wps:bodyPr/>
                    </wps:wsp>
                  </a:graphicData>
                </a:graphic>
              </wp:anchor>
            </w:drawing>
          </mc:Choice>
          <mc:Fallback>
            <w:pict>
              <v:rect id="Shape 16" o:spid="_x0000_s1041" style="position:absolute;margin-left:-18.9499pt;margin-top:68.5pt;width:30.05pt;height:15.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65C" stroked="f"/>
            </w:pict>
          </mc:Fallback>
        </mc:AlternateContent>
      </w:r>
    </w:p>
    <w:p>
      <w:pPr>
        <w:sectPr>
          <w:pgSz w:w="12240" w:h="15840" w:orient="portrait"/>
          <w:cols w:equalWidth="0" w:num="1">
            <w:col w:w="10640"/>
          </w:cols>
          <w:pgMar w:left="380" w:top="1249"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00" w:hanging="300"/>
        <w:spacing w:after="0"/>
        <w:tabs>
          <w:tab w:leader="none" w:pos="300" w:val="left"/>
        </w:tabs>
        <w:numPr>
          <w:ilvl w:val="0"/>
          <w:numId w:val="2"/>
        </w:numPr>
        <w:rPr>
          <w:rFonts w:ascii="Arial" w:cs="Arial" w:eastAsia="Arial" w:hAnsi="Arial"/>
          <w:sz w:val="16"/>
          <w:szCs w:val="16"/>
          <w:b w:val="1"/>
          <w:bCs w:val="1"/>
          <w:color w:val="FFFFFF"/>
        </w:rPr>
      </w:pPr>
      <w:r>
        <w:rPr>
          <w:rFonts w:ascii="Arial" w:cs="Arial" w:eastAsia="Arial" w:hAnsi="Arial"/>
          <w:sz w:val="16"/>
          <w:szCs w:val="16"/>
          <w:color w:val="00004D"/>
        </w:rPr>
        <w:t>Cumberland Pharmaceuticals</w:t>
      </w:r>
    </w:p>
    <w:p>
      <w:pPr>
        <w:sectPr>
          <w:pgSz w:w="12240" w:h="15840" w:orient="portrait"/>
          <w:cols w:equalWidth="0" w:num="1">
            <w:col w:w="10640"/>
          </w:cols>
          <w:pgMar w:left="380" w:top="1249" w:right="1220" w:bottom="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54"/>
          <w:szCs w:val="54"/>
          <w:color w:val="FFFFFF"/>
        </w:rPr>
        <w:t>Cumberland Emerging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1320"/>
        <w:spacing w:after="0" w:line="256" w:lineRule="auto"/>
        <w:rPr>
          <w:sz w:val="20"/>
          <w:szCs w:val="20"/>
          <w:color w:val="auto"/>
        </w:rPr>
      </w:pPr>
      <w:r>
        <w:rPr>
          <w:rFonts w:ascii="Arial" w:cs="Arial" w:eastAsia="Arial" w:hAnsi="Arial"/>
          <w:sz w:val="36"/>
          <w:szCs w:val="36"/>
          <w:b w:val="1"/>
          <w:bCs w:val="1"/>
          <w:color w:val="00004D"/>
        </w:rPr>
        <w:t>Fostering collaboration, developing biomedical products, advancing innovation</w:t>
      </w:r>
    </w:p>
    <w:p>
      <w:pPr>
        <w:sectPr>
          <w:pgSz w:w="12240" w:h="15840" w:orient="portrait"/>
          <w:cols w:equalWidth="0" w:num="1">
            <w:col w:w="10780"/>
          </w:cols>
          <w:pgMar w:left="1080" w:top="1440" w:right="380" w:bottom="0" w:gutter="0" w:footer="0" w:header="0"/>
        </w:sectPr>
      </w:pP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22"/>
          <w:szCs w:val="22"/>
          <w:color w:val="auto"/>
        </w:rPr>
        <w:t>The U.S. is a global leader in biomedical innovation, driving the discovery of new medicines. To foster our long-term product development and strengthen the local biomedical industry, we established Cumberland Emerging Technologies (CET). A majority-owned subsidiary of Cumberland Pharmaceuticals, CET supports inventor-scientists and life science companies in advancing health care solutions toward commercialization.</w:t>
      </w:r>
    </w:p>
    <w:p>
      <w:pPr>
        <w:spacing w:after="0" w:line="315" w:lineRule="exact"/>
        <w:rPr>
          <w:sz w:val="20"/>
          <w:szCs w:val="20"/>
          <w:color w:val="auto"/>
        </w:rPr>
      </w:pPr>
    </w:p>
    <w:p>
      <w:pPr>
        <w:ind w:right="20"/>
        <w:spacing w:after="0" w:line="265" w:lineRule="auto"/>
        <w:rPr>
          <w:sz w:val="20"/>
          <w:szCs w:val="20"/>
          <w:color w:val="auto"/>
        </w:rPr>
      </w:pPr>
      <w:r>
        <w:rPr>
          <w:rFonts w:ascii="Arial" w:cs="Arial" w:eastAsia="Arial" w:hAnsi="Arial"/>
          <w:sz w:val="22"/>
          <w:szCs w:val="22"/>
          <w:color w:val="auto"/>
        </w:rPr>
        <w:t>CET is a collaborative initiative between Cumberland Pharmaceuticals, Vanderbilt University, Launch Tennessee (a state-backed network supporting entrepreneurship) and WinHealth Pharmaceuticals, our international partner. We work closely with academic research groups, providing expertise in intellectual property, regulatory pathways, manufacturing and marketing to accelerate the development of promising biomedical products. We</w:t>
      </w:r>
    </w:p>
    <w:p>
      <w:pPr>
        <w:spacing w:after="0" w:line="7" w:lineRule="exact"/>
        <w:rPr>
          <w:sz w:val="20"/>
          <w:szCs w:val="20"/>
          <w:color w:val="auto"/>
        </w:rPr>
      </w:pPr>
    </w:p>
    <w:p>
      <w:pPr>
        <w:ind w:right="200"/>
        <w:spacing w:after="0" w:line="280" w:lineRule="auto"/>
        <w:rPr>
          <w:sz w:val="20"/>
          <w:szCs w:val="20"/>
          <w:color w:val="auto"/>
        </w:rPr>
      </w:pPr>
      <w:r>
        <w:rPr>
          <w:rFonts w:ascii="Arial" w:cs="Arial" w:eastAsia="Arial" w:hAnsi="Arial"/>
          <w:sz w:val="22"/>
          <w:szCs w:val="22"/>
          <w:color w:val="auto"/>
        </w:rPr>
        <w:t>also partner with major academic research institutions to identify and develop early-stage biopharmaceutical innovations that enhance patient care.</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ind w:right="880"/>
        <w:spacing w:after="0" w:line="274" w:lineRule="auto"/>
        <w:rPr>
          <w:sz w:val="20"/>
          <w:szCs w:val="20"/>
          <w:color w:val="auto"/>
        </w:rPr>
      </w:pPr>
      <w:r>
        <w:rPr>
          <w:rFonts w:ascii="Arial" w:cs="Arial" w:eastAsia="Arial" w:hAnsi="Arial"/>
          <w:sz w:val="22"/>
          <w:szCs w:val="22"/>
          <w:color w:val="auto"/>
        </w:rPr>
        <w:t>Additionally, CET has established and manages the Nashville Life Sciences Center (LSC), which houses Cumberland’s formulation laboratories and also serves as an incubator for Middle Tennessee’s emerging biopharmaceutical industry.</w:t>
      </w:r>
    </w:p>
    <w:p>
      <w:pPr>
        <w:spacing w:after="0" w:line="307" w:lineRule="exact"/>
        <w:rPr>
          <w:sz w:val="20"/>
          <w:szCs w:val="20"/>
          <w:color w:val="auto"/>
        </w:rPr>
      </w:pPr>
    </w:p>
    <w:p>
      <w:pPr>
        <w:ind w:right="620"/>
        <w:spacing w:after="0" w:line="270" w:lineRule="auto"/>
        <w:rPr>
          <w:sz w:val="20"/>
          <w:szCs w:val="20"/>
          <w:color w:val="auto"/>
        </w:rPr>
      </w:pPr>
      <w:r>
        <w:rPr>
          <w:rFonts w:ascii="Arial" w:cs="Arial" w:eastAsia="Arial" w:hAnsi="Arial"/>
          <w:sz w:val="22"/>
          <w:szCs w:val="22"/>
          <w:color w:val="auto"/>
        </w:rPr>
        <w:t>The LSC features flexible wet lab, dry lab and office space with opportunities for custom build outs. Additionally, it offers shared lab space and essential laboratory equipment to help tenants limit overhead costs and maximize resources. It was founded in response to a shortage of wet lab space in Middle Tennessee, which has historically inhibited the startup and progress of new biomedical companies and commercialization of new life science technologies.</w:t>
      </w:r>
    </w:p>
    <w:p>
      <w:pPr>
        <w:spacing w:after="0" w:line="315" w:lineRule="exact"/>
        <w:rPr>
          <w:sz w:val="20"/>
          <w:szCs w:val="20"/>
          <w:color w:val="auto"/>
        </w:rPr>
      </w:pPr>
    </w:p>
    <w:p>
      <w:pPr>
        <w:ind w:right="1000"/>
        <w:spacing w:after="0" w:line="277" w:lineRule="auto"/>
        <w:rPr>
          <w:sz w:val="20"/>
          <w:szCs w:val="20"/>
          <w:color w:val="auto"/>
        </w:rPr>
      </w:pPr>
      <w:r>
        <w:rPr>
          <w:rFonts w:ascii="Arial" w:cs="Arial" w:eastAsia="Arial" w:hAnsi="Arial"/>
          <w:sz w:val="22"/>
          <w:szCs w:val="22"/>
          <w:color w:val="auto"/>
        </w:rPr>
        <w:t>With a vibrant group of current tenants and a growing number of successful graduates, the Life Sciences Center is a main driver behind building a strong commercial life sciences ecosystem in Middle Tennessee.</w:t>
      </w:r>
    </w:p>
    <w:p>
      <w:pPr>
        <w:spacing w:after="0" w:line="595" w:lineRule="exact"/>
        <w:rPr>
          <w:sz w:val="20"/>
          <w:szCs w:val="20"/>
          <w:color w:val="auto"/>
        </w:rPr>
      </w:pPr>
    </w:p>
    <w:p>
      <w:pPr>
        <w:sectPr>
          <w:pgSz w:w="12240" w:h="15840" w:orient="portrait"/>
          <w:cols w:equalWidth="0" w:num="2">
            <w:col w:w="4880" w:space="400"/>
            <w:col w:w="5500"/>
          </w:cols>
          <w:pgMar w:left="1080" w:top="1440" w:right="380" w:bottom="0" w:gutter="0" w:footer="0" w:header="0"/>
          <w:type w:val="continuous"/>
        </w:sectPr>
      </w:pPr>
    </w:p>
    <w:p>
      <w:pPr>
        <w:ind w:left="8880"/>
        <w:spacing w:after="0"/>
        <w:tabs>
          <w:tab w:leader="none" w:pos="10660" w:val="left"/>
        </w:tabs>
        <w:rPr>
          <w:sz w:val="20"/>
          <w:szCs w:val="20"/>
          <w:color w:val="auto"/>
        </w:rPr>
      </w:pPr>
      <w:r>
        <w:rPr>
          <w:rFonts w:ascii="Arial" w:cs="Arial" w:eastAsia="Arial" w:hAnsi="Arial"/>
          <w:sz w:val="16"/>
          <w:szCs w:val="16"/>
          <w:color w:val="00004D"/>
        </w:rPr>
        <w:t>2024 Annual Report</w:t>
      </w:r>
      <w:r>
        <w:rPr>
          <w:sz w:val="20"/>
          <w:szCs w:val="20"/>
          <w:color w:val="auto"/>
        </w:rPr>
        <w:tab/>
      </w:r>
      <w:r>
        <w:rPr>
          <w:rFonts w:ascii="Arial" w:cs="Arial" w:eastAsia="Arial" w:hAnsi="Arial"/>
          <w:sz w:val="16"/>
          <w:szCs w:val="16"/>
          <w:b w:val="1"/>
          <w:bCs w:val="1"/>
          <w:color w:val="FFFFFF"/>
        </w:rPr>
        <w:t>5</w:t>
      </w:r>
    </w:p>
    <w:p>
      <w:pPr>
        <w:sectPr>
          <w:pgSz w:w="12240" w:h="15840" w:orient="portrait"/>
          <w:cols w:equalWidth="0" w:num="1">
            <w:col w:w="10780"/>
          </w:cols>
          <w:pgMar w:left="1080" w:top="1440" w:right="380" w:bottom="0" w:gutter="0" w:footer="0" w:header="0"/>
          <w:type w:val="continuous"/>
        </w:sectPr>
      </w:pPr>
    </w:p>
    <w:bookmarkStart w:id="7" w:name="page8"/>
    <w:bookmarkEnd w:id="7"/>
    <w:p>
      <w:pPr>
        <w:ind w:left="302" w:right="5020"/>
        <w:spacing w:after="0" w:line="277" w:lineRule="auto"/>
        <w:rPr>
          <w:sz w:val="20"/>
          <w:szCs w:val="20"/>
          <w:color w:val="auto"/>
        </w:rPr>
      </w:pPr>
      <w:r>
        <w:rPr>
          <w:rFonts w:ascii="Arial" w:cs="Arial" w:eastAsia="Arial" w:hAnsi="Arial"/>
          <w:sz w:val="54"/>
          <w:szCs w:val="54"/>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t>Bringing Our Medicines to Patients Worldwide</w:t>
      </w:r>
    </w:p>
    <w:p>
      <w:pPr>
        <w:spacing w:after="0" w:line="73" w:lineRule="exact"/>
        <w:rPr>
          <w:sz w:val="20"/>
          <w:szCs w:val="20"/>
          <w:color w:val="auto"/>
        </w:rPr>
      </w:pPr>
    </w:p>
    <w:p>
      <w:pPr>
        <w:ind w:left="302"/>
        <w:spacing w:after="0"/>
        <w:rPr>
          <w:sz w:val="20"/>
          <w:szCs w:val="20"/>
          <w:color w:val="auto"/>
        </w:rPr>
      </w:pPr>
      <w:r>
        <w:rPr>
          <w:rFonts w:ascii="Arial" w:cs="Arial" w:eastAsia="Arial" w:hAnsi="Arial"/>
          <w:sz w:val="36"/>
          <w:szCs w:val="36"/>
          <w:b w:val="1"/>
          <w:bCs w:val="1"/>
          <w:color w:val="FFFFFF"/>
        </w:rPr>
        <w:t>An overview of our key international partnerships</w:t>
      </w:r>
    </w:p>
    <w:p>
      <w:pPr>
        <w:spacing w:after="0" w:line="123" w:lineRule="exact"/>
        <w:rPr>
          <w:sz w:val="20"/>
          <w:szCs w:val="20"/>
          <w:color w:val="auto"/>
        </w:rPr>
      </w:pPr>
    </w:p>
    <w:p>
      <w:pPr>
        <w:ind w:left="302"/>
        <w:spacing w:after="0"/>
        <w:rPr>
          <w:sz w:val="20"/>
          <w:szCs w:val="20"/>
          <w:color w:val="auto"/>
        </w:rPr>
      </w:pPr>
      <w:r>
        <w:rPr>
          <w:rFonts w:ascii="Arial" w:cs="Arial" w:eastAsia="Arial" w:hAnsi="Arial"/>
          <w:sz w:val="22"/>
          <w:szCs w:val="22"/>
          <w:color w:val="FFFFFF"/>
        </w:rPr>
        <w:t>To ensure the availability of our products, we have built a network of established international partners.</w:t>
      </w:r>
    </w:p>
    <w:p>
      <w:pPr>
        <w:spacing w:after="0" w:line="307" w:lineRule="exact"/>
        <w:rPr>
          <w:sz w:val="20"/>
          <w:szCs w:val="20"/>
          <w:color w:val="auto"/>
        </w:rPr>
      </w:pPr>
    </w:p>
    <w:p>
      <w:pPr>
        <w:ind w:left="302" w:right="700"/>
        <w:spacing w:after="0" w:line="310" w:lineRule="auto"/>
        <w:rPr>
          <w:sz w:val="20"/>
          <w:szCs w:val="20"/>
          <w:color w:val="auto"/>
        </w:rPr>
      </w:pPr>
      <w:r>
        <w:rPr>
          <w:rFonts w:ascii="Arial" w:cs="Arial" w:eastAsia="Arial" w:hAnsi="Arial"/>
          <w:sz w:val="22"/>
          <w:szCs w:val="22"/>
          <w:color w:val="FFFFFF"/>
        </w:rPr>
        <w:t>These companies are responsible for registering and commercializing select Cumberland products, and we support them in their efforts to bring our unique medicines to patients in their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742"/>
        <w:spacing w:after="0"/>
        <w:rPr>
          <w:sz w:val="20"/>
          <w:szCs w:val="20"/>
          <w:color w:val="auto"/>
        </w:rPr>
      </w:pPr>
      <w:r>
        <w:rPr>
          <w:rFonts w:ascii="Arial" w:cs="Arial" w:eastAsia="Arial" w:hAnsi="Arial"/>
          <w:sz w:val="26"/>
          <w:szCs w:val="26"/>
          <w:b w:val="1"/>
          <w:bCs w:val="1"/>
          <w:color w:val="00004D"/>
        </w:rPr>
        <w:t>Tennessee</w:t>
      </w:r>
    </w:p>
    <w:p>
      <w:pPr>
        <w:spacing w:after="0" w:line="26" w:lineRule="exact"/>
        <w:rPr>
          <w:sz w:val="20"/>
          <w:szCs w:val="20"/>
          <w:color w:val="auto"/>
        </w:rPr>
      </w:pPr>
    </w:p>
    <w:p>
      <w:pPr>
        <w:ind w:left="742"/>
        <w:spacing w:after="0"/>
        <w:rPr>
          <w:sz w:val="20"/>
          <w:szCs w:val="20"/>
          <w:color w:val="auto"/>
        </w:rPr>
      </w:pPr>
      <w:r>
        <w:rPr>
          <w:rFonts w:ascii="Arial" w:cs="Arial" w:eastAsia="Arial" w:hAnsi="Arial"/>
          <w:sz w:val="22"/>
          <w:szCs w:val="22"/>
          <w:b w:val="1"/>
          <w:bCs w:val="1"/>
          <w:color w:val="auto"/>
        </w:rPr>
        <w:t xml:space="preserve">Cardinal Health Inc. </w:t>
      </w:r>
      <w:r>
        <w:rPr>
          <w:rFonts w:ascii="Arial" w:cs="Arial" w:eastAsia="Arial" w:hAnsi="Arial"/>
          <w:sz w:val="22"/>
          <w:szCs w:val="22"/>
          <w:color w:val="auto"/>
        </w:rPr>
        <w:t>provides</w:t>
      </w:r>
    </w:p>
    <w:p>
      <w:pPr>
        <w:spacing w:after="0" w:line="27" w:lineRule="exact"/>
        <w:rPr>
          <w:sz w:val="20"/>
          <w:szCs w:val="20"/>
          <w:color w:val="auto"/>
        </w:rPr>
      </w:pPr>
    </w:p>
    <w:p>
      <w:pPr>
        <w:ind w:left="742"/>
        <w:spacing w:after="0"/>
        <w:rPr>
          <w:sz w:val="20"/>
          <w:szCs w:val="20"/>
          <w:color w:val="auto"/>
        </w:rPr>
      </w:pPr>
      <w:r>
        <w:rPr>
          <w:rFonts w:ascii="Arial" w:cs="Arial" w:eastAsia="Arial" w:hAnsi="Arial"/>
          <w:sz w:val="22"/>
          <w:szCs w:val="22"/>
          <w:color w:val="auto"/>
        </w:rPr>
        <w:t>warehousing, shipping and</w:t>
      </w:r>
    </w:p>
    <w:p>
      <w:pPr>
        <w:spacing w:after="0" w:line="27" w:lineRule="exact"/>
        <w:rPr>
          <w:sz w:val="20"/>
          <w:szCs w:val="20"/>
          <w:color w:val="auto"/>
        </w:rPr>
      </w:pPr>
    </w:p>
    <w:p>
      <w:pPr>
        <w:ind w:left="562"/>
        <w:spacing w:after="0"/>
        <w:rPr>
          <w:sz w:val="20"/>
          <w:szCs w:val="20"/>
          <w:color w:val="auto"/>
        </w:rPr>
      </w:pPr>
      <w:r>
        <w:rPr>
          <w:sz w:val="1"/>
          <w:szCs w:val="1"/>
          <w:color w:val="auto"/>
        </w:rPr>
        <w:drawing>
          <wp:inline distT="0" distB="0" distL="0" distR="0">
            <wp:extent cx="42545" cy="4254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extLst>
                        <a:ext uri="{28A0092B-C50C-407E-A947-70E740481C1C}"/>
                      </a:extLst>
                    </a:blip>
                    <a:srcRect/>
                    <a:stretch>
                      <a:fillRect/>
                    </a:stretch>
                  </pic:blipFill>
                  <pic:spPr bwMode="auto">
                    <a:xfrm>
                      <a:off x="0" y="0"/>
                      <a:ext cx="42545" cy="42545"/>
                    </a:xfrm>
                    <a:prstGeom prst="rect">
                      <a:avLst/>
                    </a:prstGeom>
                    <a:noFill/>
                    <a:ln>
                      <a:noFill/>
                    </a:ln>
                  </pic:spPr>
                </pic:pic>
              </a:graphicData>
            </a:graphic>
          </wp:inline>
        </w:drawing>
      </w:r>
      <w:r>
        <w:rPr>
          <w:rFonts w:ascii="Arial" w:cs="Arial" w:eastAsia="Arial" w:hAnsi="Arial"/>
          <w:sz w:val="22"/>
          <w:szCs w:val="22"/>
          <w:color w:val="auto"/>
        </w:rPr>
        <w:t xml:space="preserve"> distribution support for our</w:t>
      </w:r>
    </w:p>
    <w:p>
      <w:pPr>
        <w:spacing w:after="0" w:line="27" w:lineRule="exact"/>
        <w:rPr>
          <w:sz w:val="20"/>
          <w:szCs w:val="20"/>
          <w:color w:val="auto"/>
        </w:rPr>
      </w:pPr>
    </w:p>
    <w:p>
      <w:pPr>
        <w:ind w:left="742"/>
        <w:spacing w:after="0"/>
        <w:rPr>
          <w:sz w:val="20"/>
          <w:szCs w:val="20"/>
          <w:color w:val="auto"/>
        </w:rPr>
      </w:pPr>
      <w:r>
        <w:rPr>
          <w:rFonts w:ascii="Arial" w:cs="Arial" w:eastAsia="Arial" w:hAnsi="Arial"/>
          <w:sz w:val="22"/>
          <w:szCs w:val="22"/>
          <w:color w:val="auto"/>
        </w:rPr>
        <w:t>products in the U.S.</w:t>
      </w:r>
    </w:p>
    <w:p>
      <w:pPr>
        <w:spacing w:after="0" w:line="368" w:lineRule="exact"/>
        <w:rPr>
          <w:sz w:val="20"/>
          <w:szCs w:val="20"/>
          <w:color w:val="auto"/>
        </w:rPr>
      </w:pPr>
    </w:p>
    <w:p>
      <w:pPr>
        <w:ind w:left="742"/>
        <w:spacing w:after="0"/>
        <w:rPr>
          <w:sz w:val="20"/>
          <w:szCs w:val="20"/>
          <w:color w:val="auto"/>
        </w:rPr>
      </w:pPr>
      <w:r>
        <w:rPr>
          <w:rFonts w:ascii="Arial" w:cs="Arial" w:eastAsia="Arial" w:hAnsi="Arial"/>
          <w:sz w:val="26"/>
          <w:szCs w:val="26"/>
          <w:b w:val="1"/>
          <w:bCs w:val="1"/>
          <w:color w:val="00004D"/>
        </w:rPr>
        <w:t>Mexico</w:t>
      </w:r>
    </w:p>
    <w:p>
      <w:pPr>
        <w:spacing w:after="0" w:line="26" w:lineRule="exact"/>
        <w:rPr>
          <w:sz w:val="20"/>
          <w:szCs w:val="20"/>
          <w:color w:val="auto"/>
        </w:rPr>
      </w:pPr>
    </w:p>
    <w:p>
      <w:pPr>
        <w:ind w:left="742"/>
        <w:spacing w:after="0"/>
        <w:rPr>
          <w:sz w:val="20"/>
          <w:szCs w:val="20"/>
          <w:color w:val="auto"/>
        </w:rPr>
      </w:pPr>
      <w:r>
        <w:rPr>
          <w:rFonts w:ascii="Arial" w:cs="Arial" w:eastAsia="Arial" w:hAnsi="Arial"/>
          <w:sz w:val="22"/>
          <w:szCs w:val="22"/>
          <w:b w:val="1"/>
          <w:bCs w:val="1"/>
          <w:color w:val="auto"/>
        </w:rPr>
        <w:t xml:space="preserve">PiSA Pharmaceutical </w:t>
      </w:r>
      <w:r>
        <w:rPr>
          <w:rFonts w:ascii="Arial" w:cs="Arial" w:eastAsia="Arial" w:hAnsi="Arial"/>
          <w:sz w:val="22"/>
          <w:szCs w:val="22"/>
          <w:color w:val="auto"/>
        </w:rPr>
        <w:t>is our</w:t>
      </w:r>
    </w:p>
    <w:p>
      <w:pPr>
        <w:spacing w:after="0" w:line="27" w:lineRule="exact"/>
        <w:rPr>
          <w:sz w:val="20"/>
          <w:szCs w:val="20"/>
          <w:color w:val="auto"/>
        </w:rPr>
      </w:pPr>
    </w:p>
    <w:p>
      <w:pPr>
        <w:ind w:left="742"/>
        <w:spacing w:after="0"/>
        <w:rPr>
          <w:sz w:val="20"/>
          <w:szCs w:val="20"/>
          <w:color w:val="auto"/>
        </w:rPr>
      </w:pPr>
      <w:r>
        <w:rPr>
          <w:rFonts w:ascii="Arial" w:cs="Arial" w:eastAsia="Arial" w:hAnsi="Arial"/>
          <w:sz w:val="22"/>
          <w:szCs w:val="22"/>
          <w:color w:val="auto"/>
        </w:rPr>
        <w:t>commercial partner for Caldolor.</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7922"/>
        <w:spacing w:after="0"/>
        <w:rPr>
          <w:sz w:val="20"/>
          <w:szCs w:val="20"/>
          <w:color w:val="auto"/>
        </w:rPr>
      </w:pPr>
      <w:r>
        <w:rPr>
          <w:rFonts w:ascii="Arial" w:cs="Arial" w:eastAsia="Arial" w:hAnsi="Arial"/>
          <w:sz w:val="26"/>
          <w:szCs w:val="26"/>
          <w:b w:val="1"/>
          <w:bCs w:val="1"/>
          <w:color w:val="00004D"/>
        </w:rPr>
        <w:t>Saudi Arabia and Jordan</w:t>
      </w:r>
    </w:p>
    <w:p>
      <w:pPr>
        <w:spacing w:after="0" w:line="26" w:lineRule="exact"/>
        <w:rPr>
          <w:sz w:val="20"/>
          <w:szCs w:val="20"/>
          <w:color w:val="auto"/>
        </w:rPr>
      </w:pPr>
    </w:p>
    <w:p>
      <w:pPr>
        <w:ind w:left="7922"/>
        <w:spacing w:after="0"/>
        <w:rPr>
          <w:sz w:val="20"/>
          <w:szCs w:val="20"/>
          <w:color w:val="auto"/>
        </w:rPr>
      </w:pPr>
      <w:r>
        <w:rPr>
          <w:rFonts w:ascii="Arial" w:cs="Arial" w:eastAsia="Arial" w:hAnsi="Arial"/>
          <w:sz w:val="22"/>
          <w:szCs w:val="22"/>
          <w:b w:val="1"/>
          <w:bCs w:val="1"/>
          <w:color w:val="auto"/>
        </w:rPr>
        <w:t>Tabuk Pharmaceutical</w:t>
      </w:r>
    </w:p>
    <w:p>
      <w:pPr>
        <w:spacing w:after="0" w:line="27" w:lineRule="exact"/>
        <w:rPr>
          <w:sz w:val="20"/>
          <w:szCs w:val="20"/>
          <w:color w:val="auto"/>
        </w:rPr>
      </w:pPr>
    </w:p>
    <w:p>
      <w:pPr>
        <w:ind w:left="7922"/>
        <w:spacing w:after="0"/>
        <w:rPr>
          <w:sz w:val="20"/>
          <w:szCs w:val="20"/>
          <w:color w:val="auto"/>
        </w:rPr>
      </w:pPr>
      <w:r>
        <w:rPr>
          <w:rFonts w:ascii="Arial" w:cs="Arial" w:eastAsia="Arial" w:hAnsi="Arial"/>
          <w:sz w:val="22"/>
          <w:szCs w:val="22"/>
          <w:b w:val="1"/>
          <w:bCs w:val="1"/>
          <w:color w:val="auto"/>
        </w:rPr>
        <w:t xml:space="preserve">Manufacturing Company </w:t>
      </w:r>
      <w:r>
        <w:rPr>
          <w:rFonts w:ascii="Arial" w:cs="Arial" w:eastAsia="Arial" w:hAnsi="Arial"/>
          <w:sz w:val="22"/>
          <w:szCs w:val="22"/>
          <w:color w:val="auto"/>
        </w:rPr>
        <w:t>is our</w:t>
      </w:r>
    </w:p>
    <w:p>
      <w:pPr>
        <w:spacing w:after="0" w:line="27" w:lineRule="exact"/>
        <w:rPr>
          <w:sz w:val="20"/>
          <w:szCs w:val="20"/>
          <w:color w:val="auto"/>
        </w:rPr>
      </w:pPr>
    </w:p>
    <w:p>
      <w:pPr>
        <w:ind w:left="7922"/>
        <w:spacing w:after="0"/>
        <w:rPr>
          <w:sz w:val="20"/>
          <w:szCs w:val="20"/>
          <w:color w:val="auto"/>
        </w:rPr>
      </w:pPr>
      <w:r>
        <w:rPr>
          <w:rFonts w:ascii="Arial" w:cs="Arial" w:eastAsia="Arial" w:hAnsi="Arial"/>
          <w:sz w:val="22"/>
          <w:szCs w:val="22"/>
          <w:color w:val="auto"/>
        </w:rPr>
        <w:t>commercial partner for Vibativ.</w:t>
      </w:r>
    </w:p>
    <w:p>
      <w:pPr>
        <w:sectPr>
          <w:pgSz w:w="12240" w:h="15840" w:orient="portrait"/>
          <w:cols w:equalWidth="0" w:num="1">
            <w:col w:w="11102"/>
          </w:cols>
          <w:pgMar w:left="378" w:top="757"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02" w:hanging="302"/>
        <w:spacing w:after="0"/>
        <w:tabs>
          <w:tab w:leader="none" w:pos="302" w:val="left"/>
        </w:tabs>
        <w:numPr>
          <w:ilvl w:val="0"/>
          <w:numId w:val="3"/>
        </w:numPr>
        <w:rPr>
          <w:rFonts w:ascii="Arial" w:cs="Arial" w:eastAsia="Arial" w:hAnsi="Arial"/>
          <w:sz w:val="16"/>
          <w:szCs w:val="16"/>
          <w:b w:val="1"/>
          <w:bCs w:val="1"/>
          <w:color w:val="FFFFFF"/>
        </w:rPr>
      </w:pPr>
      <w:r>
        <w:rPr>
          <w:rFonts w:ascii="Arial" w:cs="Arial" w:eastAsia="Arial" w:hAnsi="Arial"/>
          <w:sz w:val="16"/>
          <w:szCs w:val="16"/>
          <w:color w:val="00004D"/>
        </w:rPr>
        <w:t>Cumberland Pharmaceuticals</w:t>
      </w:r>
    </w:p>
    <w:p>
      <w:pPr>
        <w:sectPr>
          <w:pgSz w:w="12240" w:h="15840" w:orient="portrait"/>
          <w:cols w:equalWidth="0" w:num="1">
            <w:col w:w="11102"/>
          </w:cols>
          <w:pgMar w:left="378" w:top="757" w:right="760" w:bottom="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800"/>
        <w:spacing w:after="0"/>
        <w:rPr>
          <w:sz w:val="20"/>
          <w:szCs w:val="20"/>
          <w:color w:val="auto"/>
        </w:rPr>
      </w:pPr>
      <w:r>
        <w:rPr>
          <w:sz w:val="1"/>
          <w:szCs w:val="1"/>
          <w:color w:val="auto"/>
        </w:rPr>
        <w:drawing>
          <wp:inline distT="0" distB="0" distL="0" distR="0">
            <wp:extent cx="67945" cy="5651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extLst>
                        <a:ext uri="{28A0092B-C50C-407E-A947-70E740481C1C}"/>
                      </a:extLst>
                    </a:blip>
                    <a:srcRect/>
                    <a:stretch>
                      <a:fillRect/>
                    </a:stretch>
                  </pic:blipFill>
                  <pic:spPr bwMode="auto">
                    <a:xfrm>
                      <a:off x="0" y="0"/>
                      <a:ext cx="67945" cy="56515"/>
                    </a:xfrm>
                    <a:prstGeom prst="rect">
                      <a:avLst/>
                    </a:prstGeom>
                    <a:noFill/>
                    <a:ln>
                      <a:noFill/>
                    </a:ln>
                  </pic:spPr>
                </pic:pic>
              </a:graphicData>
            </a:graphic>
          </wp:inline>
        </w:drawing>
        <w:drawing>
          <wp:inline distT="0" distB="0" distL="0" distR="0">
            <wp:extent cx="78105" cy="762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a:extLst>
                        <a:ext uri="{28A0092B-C50C-407E-A947-70E740481C1C}"/>
                      </a:extLst>
                    </a:blip>
                    <a:srcRect/>
                    <a:stretch>
                      <a:fillRect/>
                    </a:stretch>
                  </pic:blipFill>
                  <pic:spPr bwMode="auto">
                    <a:xfrm>
                      <a:off x="0" y="0"/>
                      <a:ext cx="78105" cy="76200"/>
                    </a:xfrm>
                    <a:prstGeom prst="rect">
                      <a:avLst/>
                    </a:prstGeom>
                    <a:noFill/>
                    <a:ln>
                      <a:noFill/>
                    </a:ln>
                  </pic:spPr>
                </pic:pic>
              </a:graphicData>
            </a:graphic>
          </wp:inline>
        </w:drawing>
        <w:drawing>
          <wp:inline distT="0" distB="0" distL="0" distR="0">
            <wp:extent cx="66675" cy="7175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3">
                      <a:extLst>
                        <a:ext uri="{28A0092B-C50C-407E-A947-70E740481C1C}"/>
                      </a:extLst>
                    </a:blip>
                    <a:srcRect/>
                    <a:stretch>
                      <a:fillRect/>
                    </a:stretch>
                  </pic:blipFill>
                  <pic:spPr bwMode="auto">
                    <a:xfrm>
                      <a:off x="0" y="0"/>
                      <a:ext cx="66675" cy="71755"/>
                    </a:xfrm>
                    <a:prstGeom prst="rect">
                      <a:avLst/>
                    </a:prstGeom>
                    <a:noFill/>
                    <a:ln>
                      <a:noFill/>
                    </a:ln>
                  </pic:spPr>
                </pic:pic>
              </a:graphicData>
            </a:graphic>
          </wp:inline>
        </w:drawing>
      </w:r>
      <w:r>
        <w:rPr>
          <w:rFonts w:ascii="Arial" w:cs="Arial" w:eastAsia="Arial" w:hAnsi="Arial"/>
          <w:sz w:val="26"/>
          <w:szCs w:val="26"/>
          <w:b w:val="1"/>
          <w:bCs w:val="1"/>
          <w:color w:val="00004D"/>
        </w:rPr>
        <w:t xml:space="preserve"> Russia and CIS</w:t>
      </w:r>
    </w:p>
    <w:p>
      <w:pPr>
        <w:spacing w:after="0" w:line="44" w:lineRule="exact"/>
        <w:rPr>
          <w:sz w:val="20"/>
          <w:szCs w:val="20"/>
          <w:color w:val="auto"/>
        </w:rPr>
      </w:pPr>
    </w:p>
    <w:p>
      <w:pPr>
        <w:ind w:left="7260"/>
        <w:spacing w:after="0"/>
        <w:rPr>
          <w:sz w:val="20"/>
          <w:szCs w:val="20"/>
          <w:color w:val="auto"/>
        </w:rPr>
      </w:pPr>
      <w:r>
        <w:rPr>
          <w:rFonts w:ascii="Arial" w:cs="Arial" w:eastAsia="Arial" w:hAnsi="Arial"/>
          <w:sz w:val="22"/>
          <w:szCs w:val="22"/>
          <w:b w:val="1"/>
          <w:bCs w:val="1"/>
          <w:color w:val="auto"/>
        </w:rPr>
        <w:t xml:space="preserve">R-Pharm JSC </w:t>
      </w:r>
      <w:r>
        <w:rPr>
          <w:rFonts w:ascii="Arial" w:cs="Arial" w:eastAsia="Arial" w:hAnsi="Arial"/>
          <w:sz w:val="22"/>
          <w:szCs w:val="22"/>
          <w:color w:val="auto"/>
        </w:rPr>
        <w:t>is our commercial</w:t>
      </w:r>
    </w:p>
    <w:p>
      <w:pPr>
        <w:spacing w:after="0" w:line="27" w:lineRule="exact"/>
        <w:rPr>
          <w:sz w:val="20"/>
          <w:szCs w:val="20"/>
          <w:color w:val="auto"/>
        </w:rPr>
      </w:pPr>
    </w:p>
    <w:p>
      <w:pPr>
        <w:ind w:left="7260"/>
        <w:spacing w:after="0"/>
        <w:rPr>
          <w:sz w:val="20"/>
          <w:szCs w:val="20"/>
          <w:color w:val="auto"/>
        </w:rPr>
      </w:pPr>
      <w:r>
        <w:rPr>
          <w:rFonts w:ascii="Arial" w:cs="Arial" w:eastAsia="Arial" w:hAnsi="Arial"/>
          <w:sz w:val="22"/>
          <w:szCs w:val="22"/>
          <w:color w:val="auto"/>
        </w:rPr>
        <w:t>partner for Vibativ.</w:t>
      </w:r>
    </w:p>
    <w:p>
      <w:pPr>
        <w:spacing w:after="0" w:line="340" w:lineRule="exact"/>
        <w:rPr>
          <w:sz w:val="20"/>
          <w:szCs w:val="20"/>
          <w:color w:val="auto"/>
        </w:rPr>
      </w:pPr>
    </w:p>
    <w:p>
      <w:pPr>
        <w:ind w:left="7260"/>
        <w:spacing w:after="0"/>
        <w:rPr>
          <w:sz w:val="20"/>
          <w:szCs w:val="20"/>
          <w:color w:val="auto"/>
        </w:rPr>
      </w:pPr>
      <w:r>
        <w:rPr>
          <w:rFonts w:ascii="Arial" w:cs="Arial" w:eastAsia="Arial" w:hAnsi="Arial"/>
          <w:sz w:val="26"/>
          <w:szCs w:val="26"/>
          <w:b w:val="1"/>
          <w:bCs w:val="1"/>
          <w:color w:val="00004D"/>
        </w:rPr>
        <w:t>South Korea</w:t>
      </w:r>
    </w:p>
    <w:p>
      <w:pPr>
        <w:spacing w:after="0" w:line="26" w:lineRule="exact"/>
        <w:rPr>
          <w:sz w:val="20"/>
          <w:szCs w:val="20"/>
          <w:color w:val="auto"/>
        </w:rPr>
      </w:pPr>
    </w:p>
    <w:p>
      <w:pPr>
        <w:ind w:left="7260"/>
        <w:spacing w:after="0"/>
        <w:rPr>
          <w:sz w:val="20"/>
          <w:szCs w:val="20"/>
          <w:color w:val="auto"/>
        </w:rPr>
      </w:pPr>
      <w:r>
        <w:rPr>
          <w:rFonts w:ascii="Arial" w:cs="Arial" w:eastAsia="Arial" w:hAnsi="Arial"/>
          <w:sz w:val="22"/>
          <w:szCs w:val="22"/>
          <w:b w:val="1"/>
          <w:bCs w:val="1"/>
          <w:color w:val="auto"/>
        </w:rPr>
        <w:t xml:space="preserve">D.B. Pharm Korea Co. Ltd. </w:t>
      </w:r>
      <w:r>
        <w:rPr>
          <w:rFonts w:ascii="Arial" w:cs="Arial" w:eastAsia="Arial" w:hAnsi="Arial"/>
          <w:sz w:val="22"/>
          <w:szCs w:val="22"/>
          <w:color w:val="auto"/>
        </w:rPr>
        <w:t>is</w:t>
      </w:r>
    </w:p>
    <w:p>
      <w:pPr>
        <w:spacing w:after="0" w:line="27" w:lineRule="exact"/>
        <w:rPr>
          <w:sz w:val="20"/>
          <w:szCs w:val="20"/>
          <w:color w:val="auto"/>
        </w:rPr>
      </w:pPr>
    </w:p>
    <w:p>
      <w:pPr>
        <w:ind w:left="7260"/>
        <w:spacing w:after="0"/>
        <w:rPr>
          <w:sz w:val="20"/>
          <w:szCs w:val="20"/>
          <w:color w:val="auto"/>
        </w:rPr>
      </w:pPr>
      <w:r>
        <w:rPr>
          <w:rFonts w:ascii="Arial" w:cs="Arial" w:eastAsia="Arial" w:hAnsi="Arial"/>
          <w:sz w:val="22"/>
          <w:szCs w:val="22"/>
          <w:color w:val="auto"/>
        </w:rPr>
        <w:t>our commercial partner for</w:t>
      </w:r>
    </w:p>
    <w:p>
      <w:pPr>
        <w:spacing w:after="0" w:line="27" w:lineRule="exact"/>
        <w:rPr>
          <w:sz w:val="20"/>
          <w:szCs w:val="20"/>
          <w:color w:val="auto"/>
        </w:rPr>
      </w:pPr>
    </w:p>
    <w:p>
      <w:pPr>
        <w:ind w:left="7260"/>
        <w:spacing w:after="0"/>
        <w:rPr>
          <w:sz w:val="20"/>
          <w:szCs w:val="20"/>
          <w:color w:val="auto"/>
        </w:rPr>
      </w:pPr>
      <w:r>
        <w:rPr>
          <w:rFonts w:ascii="Arial" w:cs="Arial" w:eastAsia="Arial" w:hAnsi="Arial"/>
          <w:sz w:val="22"/>
          <w:szCs w:val="22"/>
          <w:color w:val="auto"/>
        </w:rPr>
        <w:t>Caldolor and Vibativ.</w:t>
      </w:r>
    </w:p>
    <w:p>
      <w:pPr>
        <w:spacing w:after="0" w:line="382" w:lineRule="exact"/>
        <w:rPr>
          <w:sz w:val="20"/>
          <w:szCs w:val="20"/>
          <w:color w:val="auto"/>
        </w:rPr>
      </w:pPr>
    </w:p>
    <w:p>
      <w:pPr>
        <w:ind w:left="6780"/>
        <w:spacing w:after="0"/>
        <w:rPr>
          <w:sz w:val="20"/>
          <w:szCs w:val="20"/>
          <w:color w:val="auto"/>
        </w:rPr>
      </w:pPr>
      <w:r>
        <w:rPr>
          <w:sz w:val="1"/>
          <w:szCs w:val="1"/>
          <w:color w:val="auto"/>
        </w:rPr>
        <w:drawing>
          <wp:inline distT="0" distB="0" distL="0" distR="0">
            <wp:extent cx="37465" cy="6731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4">
                      <a:extLst>
                        <a:ext uri="{28A0092B-C50C-407E-A947-70E740481C1C}"/>
                      </a:extLst>
                    </a:blip>
                    <a:srcRect/>
                    <a:stretch>
                      <a:fillRect/>
                    </a:stretch>
                  </pic:blipFill>
                  <pic:spPr bwMode="auto">
                    <a:xfrm>
                      <a:off x="0" y="0"/>
                      <a:ext cx="37465" cy="67310"/>
                    </a:xfrm>
                    <a:prstGeom prst="rect">
                      <a:avLst/>
                    </a:prstGeom>
                    <a:noFill/>
                    <a:ln>
                      <a:noFill/>
                    </a:ln>
                  </pic:spPr>
                </pic:pic>
              </a:graphicData>
            </a:graphic>
          </wp:inline>
        </w:drawing>
        <w:drawing>
          <wp:inline distT="0" distB="0" distL="0" distR="0">
            <wp:extent cx="40640" cy="3365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5">
                      <a:extLst>
                        <a:ext uri="{28A0092B-C50C-407E-A947-70E740481C1C}"/>
                      </a:extLst>
                    </a:blip>
                    <a:srcRect/>
                    <a:stretch>
                      <a:fillRect/>
                    </a:stretch>
                  </pic:blipFill>
                  <pic:spPr bwMode="auto">
                    <a:xfrm>
                      <a:off x="0" y="0"/>
                      <a:ext cx="40640" cy="33655"/>
                    </a:xfrm>
                    <a:prstGeom prst="rect">
                      <a:avLst/>
                    </a:prstGeom>
                    <a:noFill/>
                    <a:ln>
                      <a:noFill/>
                    </a:ln>
                  </pic:spPr>
                </pic:pic>
              </a:graphicData>
            </a:graphic>
          </wp:inline>
        </w:drawing>
        <w:drawing>
          <wp:inline distT="0" distB="0" distL="0" distR="0">
            <wp:extent cx="36195" cy="3429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6">
                      <a:extLst>
                        <a:ext uri="{28A0092B-C50C-407E-A947-70E740481C1C}"/>
                      </a:extLst>
                    </a:blip>
                    <a:srcRect/>
                    <a:stretch>
                      <a:fillRect/>
                    </a:stretch>
                  </pic:blipFill>
                  <pic:spPr bwMode="auto">
                    <a:xfrm>
                      <a:off x="0" y="0"/>
                      <a:ext cx="36195" cy="34290"/>
                    </a:xfrm>
                    <a:prstGeom prst="rect">
                      <a:avLst/>
                    </a:prstGeom>
                    <a:noFill/>
                    <a:ln>
                      <a:noFill/>
                    </a:ln>
                  </pic:spPr>
                </pic:pic>
              </a:graphicData>
            </a:graphic>
          </wp:inline>
        </w:drawing>
        <w:drawing>
          <wp:inline distT="0" distB="0" distL="0" distR="0">
            <wp:extent cx="29845" cy="3048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7">
                      <a:extLst>
                        <a:ext uri="{28A0092B-C50C-407E-A947-70E740481C1C}"/>
                      </a:extLst>
                    </a:blip>
                    <a:srcRect/>
                    <a:stretch>
                      <a:fillRect/>
                    </a:stretch>
                  </pic:blipFill>
                  <pic:spPr bwMode="auto">
                    <a:xfrm>
                      <a:off x="0" y="0"/>
                      <a:ext cx="29845" cy="30480"/>
                    </a:xfrm>
                    <a:prstGeom prst="rect">
                      <a:avLst/>
                    </a:prstGeom>
                    <a:noFill/>
                    <a:ln>
                      <a:noFill/>
                    </a:ln>
                  </pic:spPr>
                </pic:pic>
              </a:graphicData>
            </a:graphic>
          </wp:inline>
        </w:drawing>
      </w:r>
      <w:r>
        <w:rPr>
          <w:rFonts w:ascii="Arial" w:cs="Arial" w:eastAsia="Arial" w:hAnsi="Arial"/>
          <w:sz w:val="26"/>
          <w:szCs w:val="26"/>
          <w:b w:val="1"/>
          <w:bCs w:val="1"/>
          <w:color w:val="00004D"/>
          <w:highlight w:val="white"/>
        </w:rPr>
        <w:t xml:space="preserve"> China</w:t>
      </w:r>
    </w:p>
    <w:p>
      <w:pPr>
        <w:spacing w:after="0" w:line="28" w:lineRule="exact"/>
        <w:rPr>
          <w:sz w:val="20"/>
          <w:szCs w:val="20"/>
          <w:color w:val="auto"/>
        </w:rPr>
      </w:pPr>
    </w:p>
    <w:p>
      <w:pPr>
        <w:ind w:left="7260"/>
        <w:spacing w:after="0"/>
        <w:rPr>
          <w:sz w:val="20"/>
          <w:szCs w:val="20"/>
          <w:color w:val="auto"/>
        </w:rPr>
      </w:pPr>
      <w:r>
        <w:rPr>
          <w:rFonts w:ascii="Arial" w:cs="Arial" w:eastAsia="Arial" w:hAnsi="Arial"/>
          <w:sz w:val="22"/>
          <w:szCs w:val="22"/>
          <w:b w:val="1"/>
          <w:bCs w:val="1"/>
          <w:color w:val="auto"/>
        </w:rPr>
        <w:t xml:space="preserve">WinHealth Pharma Group </w:t>
      </w:r>
      <w:r>
        <w:rPr>
          <w:rFonts w:ascii="Arial" w:cs="Arial" w:eastAsia="Arial" w:hAnsi="Arial"/>
          <w:sz w:val="22"/>
          <w:szCs w:val="22"/>
          <w:color w:val="auto"/>
        </w:rPr>
        <w:t>is our</w:t>
      </w:r>
    </w:p>
    <w:p>
      <w:pPr>
        <w:spacing w:after="0" w:line="27" w:lineRule="exact"/>
        <w:rPr>
          <w:sz w:val="20"/>
          <w:szCs w:val="20"/>
          <w:color w:val="auto"/>
        </w:rPr>
      </w:pPr>
    </w:p>
    <w:p>
      <w:pPr>
        <w:ind w:left="7260"/>
        <w:spacing w:after="0"/>
        <w:rPr>
          <w:sz w:val="20"/>
          <w:szCs w:val="20"/>
          <w:color w:val="auto"/>
        </w:rPr>
      </w:pPr>
      <w:r>
        <w:rPr>
          <w:rFonts w:ascii="Arial" w:cs="Arial" w:eastAsia="Arial" w:hAnsi="Arial"/>
          <w:sz w:val="22"/>
          <w:szCs w:val="22"/>
          <w:color w:val="auto"/>
        </w:rPr>
        <w:t>commercial partner for Caldolor</w:t>
      </w:r>
    </w:p>
    <w:p>
      <w:pPr>
        <w:spacing w:after="0" w:line="27" w:lineRule="exact"/>
        <w:rPr>
          <w:sz w:val="20"/>
          <w:szCs w:val="20"/>
          <w:color w:val="auto"/>
        </w:rPr>
      </w:pPr>
    </w:p>
    <w:p>
      <w:pPr>
        <w:ind w:left="6840"/>
        <w:spacing w:after="0"/>
        <w:rPr>
          <w:sz w:val="20"/>
          <w:szCs w:val="20"/>
          <w:color w:val="auto"/>
        </w:rPr>
      </w:pPr>
      <w:r>
        <w:rPr>
          <w:sz w:val="1"/>
          <w:szCs w:val="1"/>
          <w:color w:val="auto"/>
        </w:rPr>
        <w:drawing>
          <wp:inline distT="0" distB="0" distL="0" distR="0">
            <wp:extent cx="73660" cy="9461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8">
                      <a:extLst>
                        <a:ext uri="{28A0092B-C50C-407E-A947-70E740481C1C}"/>
                      </a:extLst>
                    </a:blip>
                    <a:srcRect/>
                    <a:stretch>
                      <a:fillRect/>
                    </a:stretch>
                  </pic:blipFill>
                  <pic:spPr bwMode="auto">
                    <a:xfrm>
                      <a:off x="0" y="0"/>
                      <a:ext cx="73660" cy="94615"/>
                    </a:xfrm>
                    <a:prstGeom prst="rect">
                      <a:avLst/>
                    </a:prstGeom>
                    <a:noFill/>
                    <a:ln>
                      <a:noFill/>
                    </a:ln>
                  </pic:spPr>
                </pic:pic>
              </a:graphicData>
            </a:graphic>
          </wp:inline>
        </w:drawing>
        <w:drawing>
          <wp:inline distT="0" distB="0" distL="0" distR="0">
            <wp:extent cx="50800" cy="3873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9">
                      <a:extLst>
                        <a:ext uri="{28A0092B-C50C-407E-A947-70E740481C1C}"/>
                      </a:extLst>
                    </a:blip>
                    <a:srcRect/>
                    <a:stretch>
                      <a:fillRect/>
                    </a:stretch>
                  </pic:blipFill>
                  <pic:spPr bwMode="auto">
                    <a:xfrm>
                      <a:off x="0" y="0"/>
                      <a:ext cx="50800" cy="38735"/>
                    </a:xfrm>
                    <a:prstGeom prst="rect">
                      <a:avLst/>
                    </a:prstGeom>
                    <a:noFill/>
                    <a:ln>
                      <a:noFill/>
                    </a:ln>
                  </pic:spPr>
                </pic:pic>
              </a:graphicData>
            </a:graphic>
          </wp:inline>
        </w:drawing>
        <w:drawing>
          <wp:inline distT="0" distB="0" distL="0" distR="0">
            <wp:extent cx="49530" cy="4826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0">
                      <a:extLst>
                        <a:ext uri="{28A0092B-C50C-407E-A947-70E740481C1C}"/>
                      </a:extLst>
                    </a:blip>
                    <a:srcRect/>
                    <a:stretch>
                      <a:fillRect/>
                    </a:stretch>
                  </pic:blipFill>
                  <pic:spPr bwMode="auto">
                    <a:xfrm>
                      <a:off x="0" y="0"/>
                      <a:ext cx="49530" cy="48260"/>
                    </a:xfrm>
                    <a:prstGeom prst="rect">
                      <a:avLst/>
                    </a:prstGeom>
                    <a:noFill/>
                    <a:ln>
                      <a:noFill/>
                    </a:ln>
                  </pic:spPr>
                </pic:pic>
              </a:graphicData>
            </a:graphic>
          </wp:inline>
        </w:drawing>
        <w:drawing>
          <wp:inline distT="0" distB="0" distL="0" distR="0">
            <wp:extent cx="39370" cy="5461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1">
                      <a:extLst>
                        <a:ext uri="{28A0092B-C50C-407E-A947-70E740481C1C}"/>
                      </a:extLst>
                    </a:blip>
                    <a:srcRect/>
                    <a:stretch>
                      <a:fillRect/>
                    </a:stretch>
                  </pic:blipFill>
                  <pic:spPr bwMode="auto">
                    <a:xfrm>
                      <a:off x="0" y="0"/>
                      <a:ext cx="39370" cy="54610"/>
                    </a:xfrm>
                    <a:prstGeom prst="rect">
                      <a:avLst/>
                    </a:prstGeom>
                    <a:noFill/>
                    <a:ln>
                      <a:noFill/>
                    </a:ln>
                  </pic:spPr>
                </pic:pic>
              </a:graphicData>
            </a:graphic>
          </wp:inline>
        </w:drawing>
      </w:r>
      <w:r>
        <w:rPr>
          <w:rFonts w:ascii="Arial" w:cs="Arial" w:eastAsia="Arial" w:hAnsi="Arial"/>
          <w:sz w:val="22"/>
          <w:szCs w:val="22"/>
          <w:color w:val="auto"/>
          <w:highlight w:val="white"/>
        </w:rPr>
        <w:t xml:space="preserve">and </w:t>
      </w:r>
      <w:r>
        <w:rPr>
          <w:rFonts w:ascii="Arial" w:cs="Arial" w:eastAsia="Arial" w:hAnsi="Arial"/>
          <w:sz w:val="22"/>
          <w:szCs w:val="22"/>
          <w:color w:val="auto"/>
        </w:rPr>
        <w:t>Acetadote, and an investor in</w:t>
      </w:r>
    </w:p>
    <w:p>
      <w:pPr>
        <w:spacing w:after="0" w:line="27" w:lineRule="exact"/>
        <w:rPr>
          <w:sz w:val="20"/>
          <w:szCs w:val="20"/>
          <w:color w:val="auto"/>
        </w:rPr>
      </w:pPr>
    </w:p>
    <w:p>
      <w:pPr>
        <w:ind w:left="7260"/>
        <w:spacing w:after="0"/>
        <w:rPr>
          <w:sz w:val="20"/>
          <w:szCs w:val="20"/>
          <w:color w:val="auto"/>
        </w:rPr>
      </w:pPr>
      <w:r>
        <w:rPr>
          <w:rFonts w:ascii="Arial" w:cs="Arial" w:eastAsia="Arial" w:hAnsi="Arial"/>
          <w:sz w:val="22"/>
          <w:szCs w:val="22"/>
          <w:color w:val="auto"/>
        </w:rPr>
        <w:t>Cumberland Emerging Technologies.</w:t>
      </w:r>
    </w:p>
    <w:p>
      <w:pPr>
        <w:spacing w:after="0" w:line="307" w:lineRule="exact"/>
        <w:rPr>
          <w:sz w:val="20"/>
          <w:szCs w:val="20"/>
          <w:color w:val="auto"/>
        </w:rPr>
      </w:pPr>
    </w:p>
    <w:p>
      <w:pPr>
        <w:ind w:left="7260"/>
        <w:spacing w:after="0"/>
        <w:rPr>
          <w:sz w:val="20"/>
          <w:szCs w:val="20"/>
          <w:color w:val="auto"/>
        </w:rPr>
      </w:pPr>
      <w:r>
        <w:rPr>
          <w:rFonts w:ascii="Arial" w:cs="Arial" w:eastAsia="Arial" w:hAnsi="Arial"/>
          <w:sz w:val="22"/>
          <w:szCs w:val="22"/>
          <w:b w:val="1"/>
          <w:bCs w:val="1"/>
          <w:color w:val="auto"/>
        </w:rPr>
        <w:t xml:space="preserve">SciClone Pharmaceuticals </w:t>
      </w:r>
      <w:r>
        <w:rPr>
          <w:rFonts w:ascii="Arial" w:cs="Arial" w:eastAsia="Arial" w:hAnsi="Arial"/>
          <w:sz w:val="22"/>
          <w:szCs w:val="22"/>
          <w:color w:val="auto"/>
        </w:rPr>
        <w:t>is our</w:t>
      </w:r>
    </w:p>
    <w:p>
      <w:pPr>
        <w:spacing w:after="0" w:line="27" w:lineRule="exact"/>
        <w:rPr>
          <w:sz w:val="20"/>
          <w:szCs w:val="20"/>
          <w:color w:val="auto"/>
        </w:rPr>
      </w:pPr>
    </w:p>
    <w:p>
      <w:pPr>
        <w:ind w:left="7260"/>
        <w:spacing w:after="0"/>
        <w:rPr>
          <w:sz w:val="20"/>
          <w:szCs w:val="20"/>
          <w:color w:val="auto"/>
        </w:rPr>
      </w:pPr>
      <w:r>
        <w:rPr>
          <w:rFonts w:ascii="Arial" w:cs="Arial" w:eastAsia="Arial" w:hAnsi="Arial"/>
          <w:sz w:val="22"/>
          <w:szCs w:val="22"/>
          <w:color w:val="auto"/>
        </w:rPr>
        <w:t>commercial partner for Vibativ.</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80"/>
        <w:spacing w:after="0"/>
        <w:rPr>
          <w:sz w:val="20"/>
          <w:szCs w:val="20"/>
          <w:color w:val="auto"/>
        </w:rPr>
      </w:pPr>
      <w:r>
        <w:rPr>
          <w:rFonts w:ascii="Arial" w:cs="Arial" w:eastAsia="Arial" w:hAnsi="Arial"/>
          <w:sz w:val="26"/>
          <w:szCs w:val="26"/>
          <w:b w:val="1"/>
          <w:bCs w:val="1"/>
          <w:color w:val="00004D"/>
        </w:rPr>
        <w:t>Australia</w:t>
      </w:r>
    </w:p>
    <w:p>
      <w:pPr>
        <w:spacing w:after="0" w:line="26"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 xml:space="preserve">Phebra Pty Ltd. </w:t>
      </w:r>
      <w:r>
        <w:rPr>
          <w:rFonts w:ascii="Arial" w:cs="Arial" w:eastAsia="Arial" w:hAnsi="Arial"/>
          <w:sz w:val="22"/>
          <w:szCs w:val="22"/>
          <w:color w:val="auto"/>
        </w:rPr>
        <w:t>is our</w:t>
      </w:r>
    </w:p>
    <w:p>
      <w:pPr>
        <w:spacing w:after="0" w:line="27" w:lineRule="exact"/>
        <w:rPr>
          <w:sz w:val="20"/>
          <w:szCs w:val="20"/>
          <w:color w:val="auto"/>
        </w:rPr>
      </w:pPr>
    </w:p>
    <w:p>
      <w:pPr>
        <w:spacing w:after="0"/>
        <w:rPr>
          <w:sz w:val="20"/>
          <w:szCs w:val="20"/>
          <w:color w:val="auto"/>
        </w:rPr>
      </w:pPr>
      <w:r>
        <w:rPr>
          <w:sz w:val="1"/>
          <w:szCs w:val="1"/>
          <w:color w:val="auto"/>
        </w:rPr>
        <w:drawing>
          <wp:inline distT="0" distB="0" distL="0" distR="0">
            <wp:extent cx="43815" cy="4635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2">
                      <a:extLst>
                        <a:ext uri="{28A0092B-C50C-407E-A947-70E740481C1C}"/>
                      </a:extLst>
                    </a:blip>
                    <a:srcRect/>
                    <a:stretch>
                      <a:fillRect/>
                    </a:stretch>
                  </pic:blipFill>
                  <pic:spPr bwMode="auto">
                    <a:xfrm>
                      <a:off x="0" y="0"/>
                      <a:ext cx="43815" cy="46355"/>
                    </a:xfrm>
                    <a:prstGeom prst="rect">
                      <a:avLst/>
                    </a:prstGeom>
                    <a:noFill/>
                    <a:ln>
                      <a:noFill/>
                    </a:ln>
                  </pic:spPr>
                </pic:pic>
              </a:graphicData>
            </a:graphic>
          </wp:inline>
        </w:drawing>
      </w:r>
      <w:r>
        <w:rPr>
          <w:rFonts w:ascii="Arial" w:cs="Arial" w:eastAsia="Arial" w:hAnsi="Arial"/>
          <w:sz w:val="22"/>
          <w:szCs w:val="22"/>
          <w:color w:val="auto"/>
        </w:rPr>
        <w:t xml:space="preserve"> commercial partner for</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Acetadote and Caldolor.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6"/>
          <w:szCs w:val="16"/>
          <w:color w:val="00004D"/>
        </w:rPr>
        <w:t>2024 Annual Report</w:t>
      </w:r>
      <w:r>
        <w:rPr>
          <w:sz w:val="20"/>
          <w:szCs w:val="20"/>
          <w:color w:val="auto"/>
        </w:rPr>
        <w:tab/>
      </w:r>
      <w:r>
        <w:rPr>
          <w:rFonts w:ascii="Arial" w:cs="Arial" w:eastAsia="Arial" w:hAnsi="Arial"/>
          <w:sz w:val="14"/>
          <w:szCs w:val="14"/>
          <w:b w:val="1"/>
          <w:bCs w:val="1"/>
          <w:color w:val="FFFFFF"/>
        </w:rPr>
        <w:t>7</w:t>
      </w:r>
    </w:p>
    <w:p>
      <w:pPr>
        <w:sectPr>
          <w:pgSz w:w="12240" w:h="15840" w:orient="portrait"/>
          <w:cols w:equalWidth="0" w:num="1">
            <w:col w:w="11300"/>
          </w:cols>
          <w:pgMar w:left="540" w:top="1440" w:right="400" w:bottom="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3">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600"/>
        <w:spacing w:after="0" w:line="279" w:lineRule="auto"/>
        <w:rPr>
          <w:sz w:val="20"/>
          <w:szCs w:val="20"/>
          <w:color w:val="auto"/>
        </w:rPr>
      </w:pPr>
      <w:r>
        <w:rPr>
          <w:rFonts w:ascii="Arial" w:cs="Arial" w:eastAsia="Arial" w:hAnsi="Arial"/>
          <w:sz w:val="33"/>
          <w:szCs w:val="33"/>
          <w:color w:val="00004D"/>
        </w:rPr>
        <w:t>An innovative FDA-approved patch designed to help prevent chemotherapy-associated nausea.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82"/>
          <w:szCs w:val="82"/>
          <w:b w:val="1"/>
          <w:bCs w:val="1"/>
          <w:color w:val="FFFFFF"/>
        </w:rPr>
        <w:t xml:space="preserve">1 patch. </w:t>
      </w:r>
      <w:r>
        <w:rPr>
          <w:rFonts w:ascii="Arial" w:cs="Arial" w:eastAsia="Arial" w:hAnsi="Arial"/>
          <w:sz w:val="75"/>
          <w:szCs w:val="75"/>
          <w:color w:val="FFFFFF"/>
        </w:rPr>
        <w:t>5-day</w:t>
      </w:r>
    </w:p>
    <w:p>
      <w:pPr>
        <w:spacing w:after="0"/>
        <w:rPr>
          <w:sz w:val="20"/>
          <w:szCs w:val="20"/>
          <w:color w:val="auto"/>
        </w:rPr>
      </w:pPr>
      <w:r>
        <w:rPr>
          <w:rFonts w:ascii="Arial" w:cs="Arial" w:eastAsia="Arial" w:hAnsi="Arial"/>
          <w:sz w:val="77"/>
          <w:szCs w:val="77"/>
          <w:color w:val="FFFFFF"/>
        </w:rPr>
        <w:t>nausea relief.</w:t>
      </w:r>
    </w:p>
    <w:p>
      <w:pPr>
        <w:sectPr>
          <w:pgSz w:w="12240" w:h="15840" w:orient="portrait"/>
          <w:cols w:equalWidth="0" w:num="1">
            <w:col w:w="9840"/>
          </w:cols>
          <w:pgMar w:left="960" w:top="1440" w:right="1440" w:bottom="1440" w:gutter="0" w:footer="0" w:header="0"/>
        </w:sectPr>
      </w:pPr>
    </w:p>
    <w:bookmarkStart w:id="10" w:name="page11"/>
    <w:bookmarkEnd w:id="10"/>
    <w:p>
      <w:pPr>
        <w:spacing w:after="0"/>
        <w:rPr>
          <w:sz w:val="20"/>
          <w:szCs w:val="20"/>
          <w:color w:val="auto"/>
        </w:rPr>
      </w:pPr>
      <w:r>
        <w:rPr>
          <w:rFonts w:ascii="Arial" w:cs="Arial" w:eastAsia="Arial" w:hAnsi="Arial"/>
          <w:sz w:val="54"/>
          <w:szCs w:val="54"/>
          <w:color w:val="FFFF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7772400" cy="102870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72400" cy="1028700"/>
                        </a:xfrm>
                        <a:prstGeom prst="rect">
                          <a:avLst/>
                        </a:prstGeom>
                        <a:solidFill>
                          <a:srgbClr val="00004D"/>
                        </a:solidFill>
                      </wps:spPr>
                      <wps:bodyPr/>
                    </wps:wsp>
                  </a:graphicData>
                </a:graphic>
              </wp:anchor>
            </w:drawing>
          </mc:Choice>
          <mc:Fallback>
            <w:pict>
              <v:rect id="Shape 34" o:spid="_x0000_s1059" style="position:absolute;margin-left:0pt;margin-top:0pt;width:612pt;height:81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00004D" stroked="f">
                <w10:wrap anchorx="page" anchory="page"/>
              </v:rect>
            </w:pict>
          </mc:Fallback>
        </mc:AlternateContent>
        <w:t xml:space="preserve">Sustainability </w:t>
      </w:r>
      <w:r>
        <w:rPr>
          <w:rFonts w:ascii="Arial" w:cs="Arial" w:eastAsia="Arial" w:hAnsi="Arial"/>
          <w:sz w:val="38"/>
          <w:szCs w:val="38"/>
          <w:b w:val="1"/>
          <w:bCs w:val="1"/>
          <w:color w:val="FFFFFF"/>
        </w:rPr>
        <w:t>2024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266700</wp:posOffset>
            </wp:positionV>
            <wp:extent cx="6993890" cy="637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4">
                      <a:extLst>
                        <a:ext uri="{28A0092B-C50C-407E-A947-70E740481C1C}"/>
                      </a:extLst>
                    </a:blip>
                    <a:srcRect/>
                    <a:stretch>
                      <a:fillRect/>
                    </a:stretch>
                  </pic:blipFill>
                  <pic:spPr bwMode="auto">
                    <a:xfrm>
                      <a:off x="0" y="0"/>
                      <a:ext cx="6993890" cy="6370955"/>
                    </a:xfrm>
                    <a:prstGeom prst="rect">
                      <a:avLst/>
                    </a:prstGeom>
                    <a:noFill/>
                  </pic:spPr>
                </pic:pic>
              </a:graphicData>
            </a:graphic>
          </wp:anchor>
        </w:drawing>
      </w:r>
    </w:p>
    <w:p>
      <w:pPr>
        <w:sectPr>
          <w:pgSz w:w="12240" w:h="15840" w:orient="portrait"/>
          <w:cols w:equalWidth="0" w:num="1">
            <w:col w:w="11600"/>
          </w:cols>
          <w:pgMar w:left="640" w:top="664" w:right="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377FA7"/>
        </w:rPr>
        <w:t>ENVIRONMENT</w:t>
      </w:r>
    </w:p>
    <w:p>
      <w:pPr>
        <w:spacing w:after="0" w:line="301" w:lineRule="exact"/>
        <w:rPr>
          <w:sz w:val="20"/>
          <w:szCs w:val="20"/>
          <w:color w:val="auto"/>
        </w:rPr>
      </w:pPr>
    </w:p>
    <w:tbl>
      <w:tblPr>
        <w:tblLayout w:type="fixed"/>
        <w:tblInd w:w="80" w:type="dxa"/>
        <w:tblCellMar>
          <w:top w:w="0" w:type="dxa"/>
          <w:left w:w="0" w:type="dxa"/>
          <w:bottom w:w="0" w:type="dxa"/>
          <w:right w:w="0" w:type="dxa"/>
        </w:tblCellMar>
      </w:tblPr>
      <w:tr>
        <w:trPr>
          <w:trHeight w:val="94"/>
        </w:trPr>
        <w:tc>
          <w:tcPr>
            <w:tcW w:w="2460" w:type="dxa"/>
            <w:vAlign w:val="bottom"/>
            <w:vMerge w:val="restart"/>
          </w:tcPr>
          <w:p>
            <w:pPr>
              <w:spacing w:after="0"/>
              <w:rPr>
                <w:sz w:val="20"/>
                <w:szCs w:val="20"/>
                <w:color w:val="auto"/>
              </w:rPr>
            </w:pPr>
            <w:r>
              <w:rPr>
                <w:rFonts w:ascii="Arial" w:cs="Arial" w:eastAsia="Arial" w:hAnsi="Arial"/>
                <w:sz w:val="21"/>
                <w:szCs w:val="21"/>
                <w:b w:val="1"/>
                <w:bCs w:val="1"/>
                <w:color w:val="00004D"/>
              </w:rPr>
              <w:t>Supplies</w:t>
            </w:r>
          </w:p>
        </w:tc>
        <w:tc>
          <w:tcPr>
            <w:tcW w:w="20" w:type="dxa"/>
            <w:vAlign w:val="bottom"/>
          </w:tcPr>
          <w:p>
            <w:pPr>
              <w:spacing w:after="0"/>
              <w:rPr>
                <w:sz w:val="8"/>
                <w:szCs w:val="8"/>
                <w:color w:val="auto"/>
              </w:rPr>
            </w:pPr>
          </w:p>
        </w:tc>
        <w:tc>
          <w:tcPr>
            <w:tcW w:w="2060" w:type="dxa"/>
            <w:vAlign w:val="bottom"/>
            <w:vMerge w:val="restart"/>
          </w:tcPr>
          <w:p>
            <w:pPr>
              <w:ind w:left="160"/>
              <w:spacing w:after="0"/>
              <w:rPr>
                <w:sz w:val="20"/>
                <w:szCs w:val="20"/>
                <w:color w:val="auto"/>
              </w:rPr>
            </w:pPr>
            <w:r>
              <w:rPr>
                <w:rFonts w:ascii="Arial" w:cs="Arial" w:eastAsia="Arial" w:hAnsi="Arial"/>
                <w:sz w:val="21"/>
                <w:szCs w:val="21"/>
                <w:b w:val="1"/>
                <w:bCs w:val="1"/>
                <w:color w:val="00004D"/>
              </w:rPr>
              <w:t>Waste</w:t>
            </w:r>
          </w:p>
        </w:tc>
        <w:tc>
          <w:tcPr>
            <w:tcW w:w="0" w:type="dxa"/>
            <w:vAlign w:val="bottom"/>
          </w:tcPr>
          <w:p>
            <w:pPr>
              <w:spacing w:after="0"/>
              <w:rPr>
                <w:sz w:val="1"/>
                <w:szCs w:val="1"/>
                <w:color w:val="auto"/>
              </w:rPr>
            </w:pPr>
          </w:p>
        </w:tc>
      </w:tr>
      <w:tr>
        <w:trPr>
          <w:trHeight w:val="147"/>
        </w:trPr>
        <w:tc>
          <w:tcPr>
            <w:tcW w:w="2460" w:type="dxa"/>
            <w:vAlign w:val="bottom"/>
            <w:vMerge w:val="continue"/>
          </w:tcPr>
          <w:p>
            <w:pPr>
              <w:spacing w:after="0"/>
              <w:rPr>
                <w:sz w:val="12"/>
                <w:szCs w:val="12"/>
                <w:color w:val="auto"/>
              </w:rPr>
            </w:pPr>
          </w:p>
        </w:tc>
        <w:tc>
          <w:tcPr>
            <w:tcW w:w="20" w:type="dxa"/>
            <w:vAlign w:val="bottom"/>
            <w:shd w:val="clear" w:color="auto" w:fill="377FA7"/>
          </w:tcPr>
          <w:p>
            <w:pPr>
              <w:spacing w:after="0"/>
              <w:rPr>
                <w:sz w:val="12"/>
                <w:szCs w:val="12"/>
                <w:color w:val="auto"/>
              </w:rPr>
            </w:pP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460" w:type="dxa"/>
            <w:vAlign w:val="bottom"/>
          </w:tcPr>
          <w:p>
            <w:pPr>
              <w:spacing w:after="0"/>
              <w:rPr>
                <w:sz w:val="20"/>
                <w:szCs w:val="20"/>
                <w:color w:val="auto"/>
              </w:rPr>
            </w:pPr>
            <w:r>
              <w:rPr>
                <w:rFonts w:ascii="Arial" w:cs="Arial" w:eastAsia="Arial" w:hAnsi="Arial"/>
                <w:sz w:val="18"/>
                <w:szCs w:val="18"/>
                <w:color w:val="auto"/>
              </w:rPr>
              <w:t>Contracted with third-</w:t>
            </w:r>
          </w:p>
        </w:tc>
        <w:tc>
          <w:tcPr>
            <w:tcW w:w="20" w:type="dxa"/>
            <w:vAlign w:val="bottom"/>
            <w:shd w:val="clear" w:color="auto" w:fill="377FA7"/>
          </w:tcPr>
          <w:p>
            <w:pPr>
              <w:spacing w:after="0"/>
              <w:rPr>
                <w:sz w:val="18"/>
                <w:szCs w:val="18"/>
                <w:color w:val="auto"/>
              </w:rPr>
            </w:pPr>
          </w:p>
        </w:tc>
        <w:tc>
          <w:tcPr>
            <w:tcW w:w="2060" w:type="dxa"/>
            <w:vAlign w:val="bottom"/>
          </w:tcPr>
          <w:p>
            <w:pPr>
              <w:ind w:left="160"/>
              <w:spacing w:after="0"/>
              <w:rPr>
                <w:sz w:val="20"/>
                <w:szCs w:val="20"/>
                <w:color w:val="auto"/>
              </w:rPr>
            </w:pPr>
            <w:r>
              <w:rPr>
                <w:rFonts w:ascii="Arial" w:cs="Arial" w:eastAsia="Arial" w:hAnsi="Arial"/>
                <w:sz w:val="18"/>
                <w:szCs w:val="18"/>
                <w:color w:val="auto"/>
              </w:rPr>
              <w:t>Ensured strict</w:t>
            </w:r>
          </w:p>
        </w:tc>
        <w:tc>
          <w:tcPr>
            <w:tcW w:w="0" w:type="dxa"/>
            <w:vAlign w:val="bottom"/>
          </w:tcPr>
          <w:p>
            <w:pPr>
              <w:spacing w:after="0"/>
              <w:rPr>
                <w:sz w:val="1"/>
                <w:szCs w:val="1"/>
                <w:color w:val="auto"/>
              </w:rPr>
            </w:pPr>
          </w:p>
        </w:tc>
      </w:tr>
      <w:tr>
        <w:trPr>
          <w:trHeight w:val="209"/>
        </w:trPr>
        <w:tc>
          <w:tcPr>
            <w:tcW w:w="2460" w:type="dxa"/>
            <w:vAlign w:val="bottom"/>
          </w:tcPr>
          <w:p>
            <w:pPr>
              <w:spacing w:after="0"/>
              <w:rPr>
                <w:sz w:val="20"/>
                <w:szCs w:val="20"/>
                <w:color w:val="auto"/>
              </w:rPr>
            </w:pPr>
            <w:r>
              <w:rPr>
                <w:rFonts w:ascii="Arial" w:cs="Arial" w:eastAsia="Arial" w:hAnsi="Arial"/>
                <w:sz w:val="18"/>
                <w:szCs w:val="18"/>
                <w:color w:val="auto"/>
              </w:rPr>
              <w:t>party companies for the</w:t>
            </w:r>
          </w:p>
        </w:tc>
        <w:tc>
          <w:tcPr>
            <w:tcW w:w="20" w:type="dxa"/>
            <w:vAlign w:val="bottom"/>
            <w:shd w:val="clear" w:color="auto" w:fill="377FA7"/>
          </w:tcPr>
          <w:p>
            <w:pPr>
              <w:spacing w:after="0"/>
              <w:rPr>
                <w:sz w:val="18"/>
                <w:szCs w:val="18"/>
                <w:color w:val="auto"/>
              </w:rPr>
            </w:pPr>
          </w:p>
        </w:tc>
        <w:tc>
          <w:tcPr>
            <w:tcW w:w="2060" w:type="dxa"/>
            <w:vAlign w:val="bottom"/>
          </w:tcPr>
          <w:p>
            <w:pPr>
              <w:ind w:left="160"/>
              <w:spacing w:after="0"/>
              <w:rPr>
                <w:sz w:val="20"/>
                <w:szCs w:val="20"/>
                <w:color w:val="auto"/>
              </w:rPr>
            </w:pPr>
            <w:r>
              <w:rPr>
                <w:rFonts w:ascii="Arial" w:cs="Arial" w:eastAsia="Arial" w:hAnsi="Arial"/>
                <w:sz w:val="18"/>
                <w:szCs w:val="18"/>
                <w:color w:val="auto"/>
              </w:rPr>
              <w:t>guidelines and</w:t>
            </w:r>
          </w:p>
        </w:tc>
        <w:tc>
          <w:tcPr>
            <w:tcW w:w="0" w:type="dxa"/>
            <w:vAlign w:val="bottom"/>
          </w:tcPr>
          <w:p>
            <w:pPr>
              <w:spacing w:after="0"/>
              <w:rPr>
                <w:sz w:val="1"/>
                <w:szCs w:val="1"/>
                <w:color w:val="auto"/>
              </w:rPr>
            </w:pPr>
          </w:p>
        </w:tc>
      </w:tr>
      <w:tr>
        <w:trPr>
          <w:trHeight w:val="209"/>
        </w:trPr>
        <w:tc>
          <w:tcPr>
            <w:tcW w:w="2460" w:type="dxa"/>
            <w:vAlign w:val="bottom"/>
          </w:tcPr>
          <w:p>
            <w:pPr>
              <w:spacing w:after="0"/>
              <w:rPr>
                <w:sz w:val="20"/>
                <w:szCs w:val="20"/>
                <w:color w:val="auto"/>
              </w:rPr>
            </w:pPr>
            <w:r>
              <w:rPr>
                <w:rFonts w:ascii="Arial" w:cs="Arial" w:eastAsia="Arial" w:hAnsi="Arial"/>
                <w:sz w:val="18"/>
                <w:szCs w:val="18"/>
                <w:color w:val="auto"/>
              </w:rPr>
              <w:t>manufacturing, packaging</w:t>
            </w:r>
          </w:p>
        </w:tc>
        <w:tc>
          <w:tcPr>
            <w:tcW w:w="20" w:type="dxa"/>
            <w:vAlign w:val="bottom"/>
            <w:shd w:val="clear" w:color="auto" w:fill="377FA7"/>
          </w:tcPr>
          <w:p>
            <w:pPr>
              <w:spacing w:after="0"/>
              <w:rPr>
                <w:sz w:val="18"/>
                <w:szCs w:val="18"/>
                <w:color w:val="auto"/>
              </w:rPr>
            </w:pPr>
          </w:p>
        </w:tc>
        <w:tc>
          <w:tcPr>
            <w:tcW w:w="2060" w:type="dxa"/>
            <w:vAlign w:val="bottom"/>
          </w:tcPr>
          <w:p>
            <w:pPr>
              <w:ind w:left="160"/>
              <w:spacing w:after="0"/>
              <w:rPr>
                <w:sz w:val="20"/>
                <w:szCs w:val="20"/>
                <w:color w:val="auto"/>
              </w:rPr>
            </w:pPr>
            <w:r>
              <w:rPr>
                <w:rFonts w:ascii="Arial" w:cs="Arial" w:eastAsia="Arial" w:hAnsi="Arial"/>
                <w:sz w:val="18"/>
                <w:szCs w:val="18"/>
                <w:color w:val="auto"/>
              </w:rPr>
              <w:t>processes for the safe,</w:t>
            </w:r>
          </w:p>
        </w:tc>
        <w:tc>
          <w:tcPr>
            <w:tcW w:w="0" w:type="dxa"/>
            <w:vAlign w:val="bottom"/>
          </w:tcPr>
          <w:p>
            <w:pPr>
              <w:spacing w:after="0"/>
              <w:rPr>
                <w:sz w:val="1"/>
                <w:szCs w:val="1"/>
                <w:color w:val="auto"/>
              </w:rPr>
            </w:pPr>
          </w:p>
        </w:tc>
      </w:tr>
      <w:tr>
        <w:trPr>
          <w:trHeight w:val="209"/>
        </w:trPr>
        <w:tc>
          <w:tcPr>
            <w:tcW w:w="2460" w:type="dxa"/>
            <w:vAlign w:val="bottom"/>
          </w:tcPr>
          <w:p>
            <w:pPr>
              <w:spacing w:after="0"/>
              <w:rPr>
                <w:sz w:val="20"/>
                <w:szCs w:val="20"/>
                <w:color w:val="auto"/>
              </w:rPr>
            </w:pPr>
            <w:r>
              <w:rPr>
                <w:rFonts w:ascii="Arial" w:cs="Arial" w:eastAsia="Arial" w:hAnsi="Arial"/>
                <w:sz w:val="18"/>
                <w:szCs w:val="18"/>
                <w:color w:val="auto"/>
              </w:rPr>
              <w:t>and warehousing of our</w:t>
            </w:r>
          </w:p>
        </w:tc>
        <w:tc>
          <w:tcPr>
            <w:tcW w:w="20" w:type="dxa"/>
            <w:vAlign w:val="bottom"/>
            <w:shd w:val="clear" w:color="auto" w:fill="377FA7"/>
          </w:tcPr>
          <w:p>
            <w:pPr>
              <w:spacing w:after="0"/>
              <w:rPr>
                <w:sz w:val="18"/>
                <w:szCs w:val="18"/>
                <w:color w:val="auto"/>
              </w:rPr>
            </w:pPr>
          </w:p>
        </w:tc>
        <w:tc>
          <w:tcPr>
            <w:tcW w:w="2060" w:type="dxa"/>
            <w:vAlign w:val="bottom"/>
          </w:tcPr>
          <w:p>
            <w:pPr>
              <w:ind w:left="160"/>
              <w:spacing w:after="0"/>
              <w:rPr>
                <w:sz w:val="20"/>
                <w:szCs w:val="20"/>
                <w:color w:val="auto"/>
              </w:rPr>
            </w:pPr>
            <w:r>
              <w:rPr>
                <w:rFonts w:ascii="Arial" w:cs="Arial" w:eastAsia="Arial" w:hAnsi="Arial"/>
                <w:sz w:val="18"/>
                <w:szCs w:val="18"/>
                <w:color w:val="auto"/>
              </w:rPr>
              <w:t>permanent disposal of</w:t>
            </w:r>
          </w:p>
        </w:tc>
        <w:tc>
          <w:tcPr>
            <w:tcW w:w="0" w:type="dxa"/>
            <w:vAlign w:val="bottom"/>
          </w:tcPr>
          <w:p>
            <w:pPr>
              <w:spacing w:after="0"/>
              <w:rPr>
                <w:sz w:val="1"/>
                <w:szCs w:val="1"/>
                <w:color w:val="auto"/>
              </w:rPr>
            </w:pPr>
          </w:p>
        </w:tc>
      </w:tr>
      <w:tr>
        <w:trPr>
          <w:trHeight w:val="249"/>
        </w:trPr>
        <w:tc>
          <w:tcPr>
            <w:tcW w:w="2460" w:type="dxa"/>
            <w:vAlign w:val="bottom"/>
          </w:tcPr>
          <w:p>
            <w:pPr>
              <w:spacing w:after="0"/>
              <w:rPr>
                <w:sz w:val="20"/>
                <w:szCs w:val="20"/>
                <w:color w:val="auto"/>
              </w:rPr>
            </w:pPr>
            <w:r>
              <w:rPr>
                <w:rFonts w:ascii="Arial" w:cs="Arial" w:eastAsia="Arial" w:hAnsi="Arial"/>
                <w:sz w:val="18"/>
                <w:szCs w:val="18"/>
                <w:color w:val="auto"/>
              </w:rPr>
              <w:t>products</w:t>
            </w:r>
          </w:p>
        </w:tc>
        <w:tc>
          <w:tcPr>
            <w:tcW w:w="20" w:type="dxa"/>
            <w:vAlign w:val="bottom"/>
            <w:shd w:val="clear" w:color="auto" w:fill="377FA7"/>
          </w:tcPr>
          <w:p>
            <w:pPr>
              <w:spacing w:after="0"/>
              <w:rPr>
                <w:sz w:val="21"/>
                <w:szCs w:val="21"/>
                <w:color w:val="auto"/>
              </w:rPr>
            </w:pPr>
          </w:p>
        </w:tc>
        <w:tc>
          <w:tcPr>
            <w:tcW w:w="2060" w:type="dxa"/>
            <w:vAlign w:val="bottom"/>
          </w:tcPr>
          <w:p>
            <w:pPr>
              <w:ind w:left="160"/>
              <w:spacing w:after="0"/>
              <w:rPr>
                <w:sz w:val="20"/>
                <w:szCs w:val="20"/>
                <w:color w:val="auto"/>
              </w:rPr>
            </w:pPr>
            <w:r>
              <w:rPr>
                <w:rFonts w:ascii="Arial" w:cs="Arial" w:eastAsia="Arial" w:hAnsi="Arial"/>
                <w:sz w:val="18"/>
                <w:szCs w:val="18"/>
                <w:color w:val="auto"/>
              </w:rPr>
              <w:t>all unused product</w:t>
            </w:r>
          </w:p>
        </w:tc>
        <w:tc>
          <w:tcPr>
            <w:tcW w:w="0" w:type="dxa"/>
            <w:vAlign w:val="bottom"/>
          </w:tcPr>
          <w:p>
            <w:pPr>
              <w:spacing w:after="0"/>
              <w:rPr>
                <w:sz w:val="1"/>
                <w:szCs w:val="1"/>
                <w:color w:val="auto"/>
              </w:rPr>
            </w:pPr>
          </w:p>
        </w:tc>
      </w:tr>
      <w:tr>
        <w:trPr>
          <w:trHeight w:val="24"/>
        </w:trPr>
        <w:tc>
          <w:tcPr>
            <w:tcW w:w="2460" w:type="dxa"/>
            <w:vAlign w:val="bottom"/>
          </w:tcPr>
          <w:p>
            <w:pPr>
              <w:spacing w:after="0"/>
              <w:rPr>
                <w:sz w:val="2"/>
                <w:szCs w:val="2"/>
                <w:color w:val="auto"/>
              </w:rPr>
            </w:pPr>
          </w:p>
        </w:tc>
        <w:tc>
          <w:tcPr>
            <w:tcW w:w="20" w:type="dxa"/>
            <w:vAlign w:val="bottom"/>
            <w:shd w:val="clear" w:color="auto" w:fill="377FA7"/>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53975</wp:posOffset>
                </wp:positionH>
                <wp:positionV relativeFrom="paragraph">
                  <wp:posOffset>80645</wp:posOffset>
                </wp:positionV>
                <wp:extent cx="286766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67660" cy="4763"/>
                        </a:xfrm>
                        <a:prstGeom prst="line">
                          <a:avLst/>
                        </a:prstGeom>
                        <a:solidFill>
                          <a:srgbClr val="FFFFFF"/>
                        </a:solidFill>
                        <a:ln w="6350">
                          <a:solidFill>
                            <a:srgbClr val="377FA7"/>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5pt,6.35pt" to="230.05pt,6.35pt" o:allowincell="f" strokecolor="#377FA7" strokeweight="0.5pt"/>
            </w:pict>
          </mc:Fallback>
        </mc:AlternateContent>
      </w:r>
    </w:p>
    <w:p>
      <w:pPr>
        <w:spacing w:after="0" w:line="141"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00004D"/>
        </w:rPr>
        <w:t>Returns</w:t>
      </w:r>
    </w:p>
    <w:p>
      <w:pPr>
        <w:spacing w:after="0" w:line="11" w:lineRule="exact"/>
        <w:rPr>
          <w:sz w:val="20"/>
          <w:szCs w:val="20"/>
          <w:color w:val="auto"/>
        </w:rPr>
      </w:pPr>
    </w:p>
    <w:p>
      <w:pPr>
        <w:ind w:left="80" w:right="40"/>
        <w:spacing w:after="0" w:line="290" w:lineRule="auto"/>
        <w:rPr>
          <w:sz w:val="20"/>
          <w:szCs w:val="20"/>
          <w:color w:val="auto"/>
        </w:rPr>
      </w:pPr>
      <w:r>
        <w:rPr>
          <w:rFonts w:ascii="Arial" w:cs="Arial" w:eastAsia="Arial" w:hAnsi="Arial"/>
          <w:sz w:val="18"/>
          <w:szCs w:val="18"/>
          <w:color w:val="auto"/>
        </w:rPr>
        <w:t>Received and disposed of 12,480 pounds of damaged and expired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12065</wp:posOffset>
            </wp:positionV>
            <wp:extent cx="2917190" cy="4192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5">
                      <a:extLst>
                        <a:ext uri="{28A0092B-C50C-407E-A947-70E740481C1C}"/>
                      </a:extLst>
                    </a:blip>
                    <a:srcRect/>
                    <a:stretch>
                      <a:fillRect/>
                    </a:stretch>
                  </pic:blipFill>
                  <pic:spPr bwMode="auto">
                    <a:xfrm>
                      <a:off x="0" y="0"/>
                      <a:ext cx="2917190" cy="4192270"/>
                    </a:xfrm>
                    <a:prstGeom prst="rect">
                      <a:avLst/>
                    </a:prstGeom>
                    <a:noFill/>
                  </pic:spPr>
                </pic:pic>
              </a:graphicData>
            </a:graphic>
          </wp:anchor>
        </w:drawing>
      </w:r>
    </w:p>
    <w:p>
      <w:pPr>
        <w:spacing w:after="0" w:line="311" w:lineRule="exact"/>
        <w:rPr>
          <w:sz w:val="20"/>
          <w:szCs w:val="20"/>
          <w:color w:val="auto"/>
        </w:rPr>
      </w:pPr>
    </w:p>
    <w:p>
      <w:pPr>
        <w:ind w:left="380"/>
        <w:spacing w:after="0"/>
        <w:rPr>
          <w:sz w:val="20"/>
          <w:szCs w:val="20"/>
          <w:color w:val="auto"/>
        </w:rPr>
      </w:pPr>
      <w:r>
        <w:rPr>
          <w:rFonts w:ascii="Arial" w:cs="Arial" w:eastAsia="Arial" w:hAnsi="Arial"/>
          <w:sz w:val="31"/>
          <w:szCs w:val="31"/>
          <w:b w:val="1"/>
          <w:bCs w:val="1"/>
          <w:color w:val="377FA7"/>
        </w:rPr>
        <w:t>SOCIAL</w:t>
      </w:r>
    </w:p>
    <w:p>
      <w:pPr>
        <w:ind w:left="380"/>
        <w:spacing w:after="0"/>
        <w:rPr>
          <w:sz w:val="20"/>
          <w:szCs w:val="20"/>
          <w:color w:val="auto"/>
        </w:rPr>
      </w:pPr>
      <w:r>
        <w:rPr>
          <w:rFonts w:ascii="Arial" w:cs="Arial" w:eastAsia="Arial" w:hAnsi="Arial"/>
          <w:sz w:val="21"/>
          <w:szCs w:val="21"/>
          <w:b w:val="1"/>
          <w:bCs w:val="1"/>
          <w:color w:val="00004D"/>
        </w:rPr>
        <w:t>Community Involvement</w:t>
      </w:r>
    </w:p>
    <w:p>
      <w:pPr>
        <w:spacing w:after="0" w:line="250" w:lineRule="exact"/>
        <w:rPr>
          <w:sz w:val="20"/>
          <w:szCs w:val="20"/>
          <w:color w:val="auto"/>
        </w:rPr>
      </w:pPr>
    </w:p>
    <w:p>
      <w:pPr>
        <w:ind w:left="360" w:right="160"/>
        <w:spacing w:after="0" w:line="248" w:lineRule="auto"/>
        <w:rPr>
          <w:sz w:val="20"/>
          <w:szCs w:val="20"/>
          <w:color w:val="auto"/>
        </w:rPr>
      </w:pPr>
      <w:r>
        <w:rPr>
          <w:rFonts w:ascii="Arial" w:cs="Arial" w:eastAsia="Arial" w:hAnsi="Arial"/>
          <w:sz w:val="18"/>
          <w:szCs w:val="18"/>
          <w:b w:val="1"/>
          <w:bCs w:val="1"/>
          <w:color w:val="00004D"/>
        </w:rPr>
        <w:t xml:space="preserve">Cumberland Pharma Foundation </w:t>
      </w:r>
      <w:r>
        <w:rPr>
          <w:rFonts w:ascii="Arial" w:cs="Arial" w:eastAsia="Arial" w:hAnsi="Arial"/>
          <w:sz w:val="18"/>
          <w:szCs w:val="18"/>
          <w:color w:val="000000"/>
        </w:rPr>
        <w:t>Contributed to the American Red Cross for Disaster Relief following Hurricane Helene, Denver Health, Vanderbilt University Medical Center, Gettysburg Foundation, Belmont University’s Healthcare Hall of Fame, Mary Parish Center, World Bible School, AACA Museum Endowment Fund &amp; University of Mississippi</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00004D"/>
        </w:rPr>
        <w:t>Sponsorships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377FA7"/>
        </w:rPr>
        <w:t xml:space="preserve">• </w:t>
      </w:r>
      <w:r>
        <w:rPr>
          <w:rFonts w:ascii="Arial" w:cs="Arial" w:eastAsia="Arial" w:hAnsi="Arial"/>
          <w:sz w:val="18"/>
          <w:szCs w:val="18"/>
          <w:color w:val="000000"/>
        </w:rPr>
        <w:t>Nashville Health Care Council’s Wall</w:t>
      </w:r>
    </w:p>
    <w:p>
      <w:pPr>
        <w:ind w:left="480"/>
        <w:spacing w:after="0" w:line="233" w:lineRule="auto"/>
        <w:rPr>
          <w:sz w:val="20"/>
          <w:szCs w:val="20"/>
          <w:color w:val="auto"/>
        </w:rPr>
      </w:pPr>
      <w:r>
        <w:rPr>
          <w:rFonts w:ascii="Arial" w:cs="Arial" w:eastAsia="Arial" w:hAnsi="Arial"/>
          <w:sz w:val="18"/>
          <w:szCs w:val="18"/>
          <w:color w:val="auto"/>
        </w:rPr>
        <w:t>Street’s View of Healthcare Event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31"/>
          <w:szCs w:val="31"/>
          <w:b w:val="1"/>
          <w:bCs w:val="1"/>
          <w:color w:val="377FA7"/>
        </w:rPr>
        <w:t>SOCIAL</w:t>
      </w:r>
    </w:p>
    <w:p>
      <w:pPr>
        <w:ind w:left="20"/>
        <w:spacing w:after="0"/>
        <w:rPr>
          <w:sz w:val="20"/>
          <w:szCs w:val="20"/>
          <w:color w:val="auto"/>
        </w:rPr>
      </w:pPr>
      <w:r>
        <w:rPr>
          <w:rFonts w:ascii="Arial" w:cs="Arial" w:eastAsia="Arial" w:hAnsi="Arial"/>
          <w:sz w:val="21"/>
          <w:szCs w:val="21"/>
          <w:b w:val="1"/>
          <w:bCs w:val="1"/>
          <w:color w:val="00004D"/>
        </w:rPr>
        <w:t>Employees</w:t>
      </w: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2000" w:type="dxa"/>
            <w:vAlign w:val="bottom"/>
            <w:gridSpan w:val="2"/>
            <w:vMerge w:val="restart"/>
          </w:tcPr>
          <w:p>
            <w:pPr>
              <w:spacing w:after="0"/>
              <w:rPr>
                <w:sz w:val="20"/>
                <w:szCs w:val="20"/>
                <w:color w:val="auto"/>
              </w:rPr>
            </w:pPr>
            <w:r>
              <w:rPr>
                <w:rFonts w:ascii="Arial" w:cs="Arial" w:eastAsia="Arial" w:hAnsi="Arial"/>
                <w:sz w:val="18"/>
                <w:szCs w:val="18"/>
                <w:b w:val="1"/>
                <w:bCs w:val="1"/>
                <w:color w:val="00004D"/>
              </w:rPr>
              <w:t>Male – 51%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00" w:type="dxa"/>
            <w:vAlign w:val="bottom"/>
            <w:gridSpan w:val="3"/>
            <w:vMerge w:val="restart"/>
          </w:tcPr>
          <w:p>
            <w:pPr>
              <w:spacing w:after="0"/>
              <w:rPr>
                <w:sz w:val="20"/>
                <w:szCs w:val="20"/>
                <w:color w:val="auto"/>
              </w:rPr>
            </w:pPr>
            <w:r>
              <w:rPr>
                <w:rFonts w:ascii="Arial" w:cs="Arial" w:eastAsia="Arial" w:hAnsi="Arial"/>
                <w:sz w:val="18"/>
                <w:szCs w:val="18"/>
                <w:b w:val="1"/>
                <w:bCs w:val="1"/>
                <w:color w:val="00004D"/>
              </w:rPr>
              <w:t xml:space="preserve">Turnover – 9.8% </w:t>
            </w:r>
            <w:r>
              <w:rPr>
                <w:rFonts w:ascii="Arial" w:cs="Arial" w:eastAsia="Arial" w:hAnsi="Arial"/>
                <w:sz w:val="18"/>
                <w:szCs w:val="18"/>
                <w:color w:val="000000"/>
              </w:rPr>
              <w:t>for corporate team</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2000" w:type="dxa"/>
            <w:vAlign w:val="bottom"/>
            <w:gridSpan w:val="2"/>
            <w:vMerge w:val="continue"/>
          </w:tcPr>
          <w:p>
            <w:pPr>
              <w:spacing w:after="0"/>
              <w:rPr>
                <w:sz w:val="6"/>
                <w:szCs w:val="6"/>
                <w:color w:val="auto"/>
              </w:rPr>
            </w:pPr>
          </w:p>
        </w:tc>
        <w:tc>
          <w:tcPr>
            <w:tcW w:w="80" w:type="dxa"/>
            <w:vAlign w:val="bottom"/>
            <w:tcBorders>
              <w:left w:val="single" w:sz="8" w:color="377FA7"/>
            </w:tcBorders>
          </w:tcPr>
          <w:p>
            <w:pPr>
              <w:spacing w:after="0"/>
              <w:rPr>
                <w:sz w:val="6"/>
                <w:szCs w:val="6"/>
                <w:color w:val="auto"/>
              </w:rPr>
            </w:pPr>
          </w:p>
        </w:tc>
        <w:tc>
          <w:tcPr>
            <w:tcW w:w="60" w:type="dxa"/>
            <w:vAlign w:val="bottom"/>
          </w:tcPr>
          <w:p>
            <w:pPr>
              <w:spacing w:after="0"/>
              <w:rPr>
                <w:sz w:val="6"/>
                <w:szCs w:val="6"/>
                <w:color w:val="auto"/>
              </w:rPr>
            </w:pPr>
          </w:p>
        </w:tc>
        <w:tc>
          <w:tcPr>
            <w:tcW w:w="310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2000" w:type="dxa"/>
            <w:vAlign w:val="bottom"/>
            <w:gridSpan w:val="2"/>
          </w:tcPr>
          <w:p>
            <w:pPr>
              <w:spacing w:after="0"/>
              <w:rPr>
                <w:sz w:val="20"/>
                <w:szCs w:val="20"/>
                <w:color w:val="auto"/>
              </w:rPr>
            </w:pPr>
            <w:r>
              <w:rPr>
                <w:rFonts w:ascii="Arial" w:cs="Arial" w:eastAsia="Arial" w:hAnsi="Arial"/>
                <w:sz w:val="18"/>
                <w:szCs w:val="18"/>
                <w:b w:val="1"/>
                <w:bCs w:val="1"/>
                <w:color w:val="00004D"/>
              </w:rPr>
              <w:t>Female – 49%</w:t>
            </w:r>
          </w:p>
        </w:tc>
        <w:tc>
          <w:tcPr>
            <w:tcW w:w="80" w:type="dxa"/>
            <w:vAlign w:val="bottom"/>
            <w:tcBorders>
              <w:left w:val="single" w:sz="8" w:color="377FA7"/>
            </w:tcBorders>
          </w:tcPr>
          <w:p>
            <w:pPr>
              <w:spacing w:after="0"/>
              <w:rPr>
                <w:sz w:val="23"/>
                <w:szCs w:val="23"/>
                <w:color w:val="auto"/>
              </w:rPr>
            </w:pPr>
          </w:p>
        </w:tc>
        <w:tc>
          <w:tcPr>
            <w:tcW w:w="60" w:type="dxa"/>
            <w:vAlign w:val="bottom"/>
          </w:tcPr>
          <w:p>
            <w:pPr>
              <w:spacing w:after="0"/>
              <w:rPr>
                <w:sz w:val="23"/>
                <w:szCs w:val="23"/>
                <w:color w:val="auto"/>
              </w:rPr>
            </w:pPr>
          </w:p>
        </w:tc>
        <w:tc>
          <w:tcPr>
            <w:tcW w:w="3100" w:type="dxa"/>
            <w:vAlign w:val="bottom"/>
            <w:gridSpan w:val="3"/>
          </w:tcPr>
          <w:p>
            <w:pPr>
              <w:ind w:left="920"/>
              <w:spacing w:after="0"/>
              <w:rPr>
                <w:sz w:val="20"/>
                <w:szCs w:val="20"/>
                <w:color w:val="auto"/>
              </w:rPr>
            </w:pPr>
            <w:r>
              <w:rPr>
                <w:rFonts w:ascii="Arial" w:cs="Arial" w:eastAsia="Arial" w:hAnsi="Arial"/>
                <w:sz w:val="18"/>
                <w:szCs w:val="18"/>
                <w:b w:val="1"/>
                <w:bCs w:val="1"/>
                <w:color w:val="00004D"/>
              </w:rPr>
              <w:t xml:space="preserve">22.5% </w:t>
            </w:r>
            <w:r>
              <w:rPr>
                <w:rFonts w:ascii="Arial" w:cs="Arial" w:eastAsia="Arial" w:hAnsi="Arial"/>
                <w:sz w:val="18"/>
                <w:szCs w:val="18"/>
                <w:color w:val="000000"/>
              </w:rPr>
              <w:t>for sales team</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1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left w:val="single" w:sz="8" w:color="377FA7"/>
            </w:tcBorders>
          </w:tcPr>
          <w:p>
            <w:pPr>
              <w:spacing w:after="0"/>
              <w:rPr>
                <w:sz w:val="5"/>
                <w:szCs w:val="5"/>
                <w:color w:val="auto"/>
              </w:rPr>
            </w:pPr>
          </w:p>
        </w:tc>
        <w:tc>
          <w:tcPr>
            <w:tcW w:w="60" w:type="dxa"/>
            <w:vAlign w:val="bottom"/>
          </w:tcPr>
          <w:p>
            <w:pPr>
              <w:spacing w:after="0"/>
              <w:rPr>
                <w:sz w:val="5"/>
                <w:szCs w:val="5"/>
                <w:color w:val="auto"/>
              </w:rPr>
            </w:pPr>
          </w:p>
        </w:tc>
        <w:tc>
          <w:tcPr>
            <w:tcW w:w="1460" w:type="dxa"/>
            <w:vAlign w:val="bottom"/>
            <w:tcBorders>
              <w:bottom w:val="single" w:sz="8" w:color="377FA7"/>
            </w:tcBorders>
          </w:tcPr>
          <w:p>
            <w:pPr>
              <w:spacing w:after="0"/>
              <w:rPr>
                <w:sz w:val="5"/>
                <w:szCs w:val="5"/>
                <w:color w:val="auto"/>
              </w:rPr>
            </w:pPr>
          </w:p>
        </w:tc>
        <w:tc>
          <w:tcPr>
            <w:tcW w:w="20" w:type="dxa"/>
            <w:vAlign w:val="bottom"/>
            <w:tcBorders>
              <w:bottom w:val="single" w:sz="8" w:color="377FA7"/>
            </w:tcBorders>
          </w:tcPr>
          <w:p>
            <w:pPr>
              <w:spacing w:after="0"/>
              <w:rPr>
                <w:sz w:val="5"/>
                <w:szCs w:val="5"/>
                <w:color w:val="auto"/>
              </w:rPr>
            </w:pPr>
          </w:p>
        </w:tc>
        <w:tc>
          <w:tcPr>
            <w:tcW w:w="1620" w:type="dxa"/>
            <w:vAlign w:val="bottom"/>
            <w:tcBorders>
              <w:bottom w:val="single" w:sz="8" w:color="377FA7"/>
            </w:tcBorders>
          </w:tcPr>
          <w:p>
            <w:pPr>
              <w:spacing w:after="0"/>
              <w:rPr>
                <w:sz w:val="5"/>
                <w:szCs w:val="5"/>
                <w:color w:val="auto"/>
              </w:rPr>
            </w:pPr>
          </w:p>
        </w:tc>
        <w:tc>
          <w:tcPr>
            <w:tcW w:w="40" w:type="dxa"/>
            <w:vAlign w:val="bottom"/>
            <w:tcBorders>
              <w:bottom w:val="single" w:sz="8" w:color="377FA7"/>
            </w:tcBorders>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1840" w:type="dxa"/>
            <w:vAlign w:val="bottom"/>
            <w:tcBorders>
              <w:bottom w:val="single" w:sz="8" w:color="377FA7"/>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left w:val="single" w:sz="8" w:color="377FA7"/>
            </w:tcBorders>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1460" w:type="dxa"/>
            <w:vAlign w:val="bottom"/>
            <w:vMerge w:val="restart"/>
          </w:tcPr>
          <w:p>
            <w:pPr>
              <w:spacing w:after="0"/>
              <w:rPr>
                <w:sz w:val="20"/>
                <w:szCs w:val="20"/>
                <w:color w:val="auto"/>
              </w:rPr>
            </w:pPr>
            <w:r>
              <w:rPr>
                <w:rFonts w:ascii="Arial" w:cs="Arial" w:eastAsia="Arial" w:hAnsi="Arial"/>
                <w:sz w:val="18"/>
                <w:szCs w:val="18"/>
                <w:b w:val="1"/>
                <w:bCs w:val="1"/>
                <w:color w:val="00004D"/>
              </w:rPr>
              <w:t>Additions – 23%</w:t>
            </w: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2000" w:type="dxa"/>
            <w:vAlign w:val="bottom"/>
            <w:gridSpan w:val="2"/>
            <w:vMerge w:val="restart"/>
          </w:tcPr>
          <w:p>
            <w:pPr>
              <w:spacing w:after="0"/>
              <w:rPr>
                <w:sz w:val="20"/>
                <w:szCs w:val="20"/>
                <w:color w:val="auto"/>
              </w:rPr>
            </w:pPr>
            <w:r>
              <w:rPr>
                <w:rFonts w:ascii="Arial" w:cs="Arial" w:eastAsia="Arial" w:hAnsi="Arial"/>
                <w:sz w:val="18"/>
                <w:szCs w:val="18"/>
                <w:b w:val="1"/>
                <w:bCs w:val="1"/>
                <w:color w:val="00004D"/>
              </w:rPr>
              <w:t>Minorities – 27%</w:t>
            </w:r>
          </w:p>
        </w:tc>
        <w:tc>
          <w:tcPr>
            <w:tcW w:w="80" w:type="dxa"/>
            <w:vAlign w:val="bottom"/>
            <w:tcBorders>
              <w:left w:val="single" w:sz="8" w:color="377FA7"/>
            </w:tcBorders>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000" w:type="dxa"/>
            <w:vAlign w:val="bottom"/>
            <w:gridSpan w:val="2"/>
            <w:vMerge w:val="continue"/>
          </w:tcPr>
          <w:p>
            <w:pPr>
              <w:spacing w:after="0"/>
              <w:rPr>
                <w:sz w:val="5"/>
                <w:szCs w:val="5"/>
                <w:color w:val="auto"/>
              </w:rPr>
            </w:pPr>
          </w:p>
        </w:tc>
        <w:tc>
          <w:tcPr>
            <w:tcW w:w="80" w:type="dxa"/>
            <w:vAlign w:val="bottom"/>
            <w:tcBorders>
              <w:left w:val="single" w:sz="8" w:color="377FA7"/>
            </w:tcBorders>
          </w:tcPr>
          <w:p>
            <w:pPr>
              <w:spacing w:after="0"/>
              <w:rPr>
                <w:sz w:val="5"/>
                <w:szCs w:val="5"/>
                <w:color w:val="auto"/>
              </w:rPr>
            </w:pPr>
          </w:p>
        </w:tc>
        <w:tc>
          <w:tcPr>
            <w:tcW w:w="60" w:type="dxa"/>
            <w:vAlign w:val="bottom"/>
          </w:tcPr>
          <w:p>
            <w:pPr>
              <w:spacing w:after="0"/>
              <w:rPr>
                <w:sz w:val="5"/>
                <w:szCs w:val="5"/>
                <w:color w:val="auto"/>
              </w:rPr>
            </w:pPr>
          </w:p>
        </w:tc>
        <w:tc>
          <w:tcPr>
            <w:tcW w:w="1460" w:type="dxa"/>
            <w:vAlign w:val="bottom"/>
            <w:tcBorders>
              <w:bottom w:val="single" w:sz="8" w:color="377FA7"/>
            </w:tcBorders>
          </w:tcPr>
          <w:p>
            <w:pPr>
              <w:spacing w:after="0"/>
              <w:rPr>
                <w:sz w:val="5"/>
                <w:szCs w:val="5"/>
                <w:color w:val="auto"/>
              </w:rPr>
            </w:pPr>
          </w:p>
        </w:tc>
        <w:tc>
          <w:tcPr>
            <w:tcW w:w="20" w:type="dxa"/>
            <w:vAlign w:val="bottom"/>
            <w:tcBorders>
              <w:bottom w:val="single" w:sz="8" w:color="377FA7"/>
            </w:tcBorders>
          </w:tcPr>
          <w:p>
            <w:pPr>
              <w:spacing w:after="0"/>
              <w:rPr>
                <w:sz w:val="5"/>
                <w:szCs w:val="5"/>
                <w:color w:val="auto"/>
              </w:rPr>
            </w:pPr>
          </w:p>
        </w:tc>
        <w:tc>
          <w:tcPr>
            <w:tcW w:w="1620" w:type="dxa"/>
            <w:vAlign w:val="bottom"/>
            <w:tcBorders>
              <w:bottom w:val="single" w:sz="8" w:color="377FA7"/>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00" w:type="dxa"/>
            <w:vAlign w:val="bottom"/>
            <w:gridSpan w:val="2"/>
            <w:vMerge w:val="continue"/>
          </w:tcPr>
          <w:p>
            <w:pPr>
              <w:spacing w:after="0"/>
              <w:rPr>
                <w:sz w:val="3"/>
                <w:szCs w:val="3"/>
                <w:color w:val="auto"/>
              </w:rPr>
            </w:pPr>
          </w:p>
        </w:tc>
        <w:tc>
          <w:tcPr>
            <w:tcW w:w="80" w:type="dxa"/>
            <w:vAlign w:val="bottom"/>
            <w:tcBorders>
              <w:left w:val="single" w:sz="8" w:color="377FA7"/>
            </w:tcBorders>
          </w:tcPr>
          <w:p>
            <w:pPr>
              <w:spacing w:after="0"/>
              <w:rPr>
                <w:sz w:val="3"/>
                <w:szCs w:val="3"/>
                <w:color w:val="auto"/>
              </w:rPr>
            </w:pPr>
          </w:p>
        </w:tc>
        <w:tc>
          <w:tcPr>
            <w:tcW w:w="60" w:type="dxa"/>
            <w:vAlign w:val="bottom"/>
          </w:tcPr>
          <w:p>
            <w:pPr>
              <w:spacing w:after="0"/>
              <w:rPr>
                <w:sz w:val="3"/>
                <w:szCs w:val="3"/>
                <w:color w:val="auto"/>
              </w:rPr>
            </w:pPr>
          </w:p>
        </w:tc>
        <w:tc>
          <w:tcPr>
            <w:tcW w:w="3100" w:type="dxa"/>
            <w:vAlign w:val="bottom"/>
            <w:gridSpan w:val="3"/>
            <w:vMerge w:val="restart"/>
          </w:tcPr>
          <w:p>
            <w:pPr>
              <w:spacing w:after="0" w:line="192" w:lineRule="exact"/>
              <w:rPr>
                <w:sz w:val="20"/>
                <w:szCs w:val="20"/>
                <w:color w:val="auto"/>
              </w:rPr>
            </w:pPr>
            <w:r>
              <w:rPr>
                <w:rFonts w:ascii="Arial" w:cs="Arial" w:eastAsia="Arial" w:hAnsi="Arial"/>
                <w:sz w:val="18"/>
                <w:szCs w:val="18"/>
                <w:b w:val="1"/>
                <w:bCs w:val="1"/>
                <w:color w:val="00004D"/>
              </w:rPr>
              <w:t>Career Development Program</w:t>
            </w: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1840" w:type="dxa"/>
            <w:vAlign w:val="bottom"/>
            <w:tcBorders>
              <w:bottom w:val="single" w:sz="8" w:color="377FA7"/>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left w:val="single" w:sz="8" w:color="377FA7"/>
            </w:tcBorders>
          </w:tcPr>
          <w:p>
            <w:pPr>
              <w:spacing w:after="0"/>
              <w:rPr>
                <w:sz w:val="13"/>
                <w:szCs w:val="13"/>
                <w:color w:val="auto"/>
              </w:rPr>
            </w:pPr>
          </w:p>
        </w:tc>
        <w:tc>
          <w:tcPr>
            <w:tcW w:w="60" w:type="dxa"/>
            <w:vAlign w:val="bottom"/>
          </w:tcPr>
          <w:p>
            <w:pPr>
              <w:spacing w:after="0"/>
              <w:rPr>
                <w:sz w:val="13"/>
                <w:szCs w:val="13"/>
                <w:color w:val="auto"/>
              </w:rPr>
            </w:pPr>
          </w:p>
        </w:tc>
        <w:tc>
          <w:tcPr>
            <w:tcW w:w="310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00" w:type="dxa"/>
            <w:vAlign w:val="bottom"/>
            <w:gridSpan w:val="2"/>
          </w:tcPr>
          <w:p>
            <w:pPr>
              <w:spacing w:after="0"/>
              <w:rPr>
                <w:sz w:val="20"/>
                <w:szCs w:val="20"/>
                <w:color w:val="auto"/>
              </w:rPr>
            </w:pPr>
            <w:r>
              <w:rPr>
                <w:rFonts w:ascii="Arial" w:cs="Arial" w:eastAsia="Arial" w:hAnsi="Arial"/>
                <w:sz w:val="18"/>
                <w:szCs w:val="18"/>
                <w:b w:val="1"/>
                <w:bCs w:val="1"/>
                <w:color w:val="00004D"/>
              </w:rPr>
              <w:t>Ages</w:t>
            </w:r>
          </w:p>
        </w:tc>
        <w:tc>
          <w:tcPr>
            <w:tcW w:w="80" w:type="dxa"/>
            <w:vAlign w:val="bottom"/>
            <w:tcBorders>
              <w:left w:val="single" w:sz="8" w:color="377FA7"/>
            </w:tcBorders>
          </w:tcPr>
          <w:p>
            <w:pPr>
              <w:spacing w:after="0"/>
              <w:rPr>
                <w:sz w:val="22"/>
                <w:szCs w:val="22"/>
                <w:color w:val="auto"/>
              </w:rPr>
            </w:pPr>
          </w:p>
        </w:tc>
        <w:tc>
          <w:tcPr>
            <w:tcW w:w="3160" w:type="dxa"/>
            <w:vAlign w:val="bottom"/>
            <w:gridSpan w:val="4"/>
          </w:tcPr>
          <w:p>
            <w:pPr>
              <w:ind w:left="60"/>
              <w:spacing w:after="0"/>
              <w:rPr>
                <w:sz w:val="20"/>
                <w:szCs w:val="20"/>
                <w:color w:val="auto"/>
              </w:rPr>
            </w:pPr>
            <w:r>
              <w:rPr>
                <w:rFonts w:ascii="Arial" w:cs="Arial" w:eastAsia="Arial" w:hAnsi="Arial"/>
                <w:sz w:val="18"/>
                <w:szCs w:val="18"/>
                <w:color w:val="auto"/>
              </w:rPr>
              <w:t>Available to all corporate employees</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6"/>
        </w:trPr>
        <w:tc>
          <w:tcPr>
            <w:tcW w:w="2000" w:type="dxa"/>
            <w:vAlign w:val="bottom"/>
            <w:gridSpan w:val="2"/>
            <w:vMerge w:val="restart"/>
          </w:tcPr>
          <w:p>
            <w:pPr>
              <w:spacing w:after="0"/>
              <w:rPr>
                <w:sz w:val="20"/>
                <w:szCs w:val="20"/>
                <w:color w:val="auto"/>
              </w:rPr>
            </w:pPr>
            <w:r>
              <w:rPr>
                <w:rFonts w:ascii="Arial" w:cs="Arial" w:eastAsia="Arial" w:hAnsi="Arial"/>
                <w:sz w:val="18"/>
                <w:szCs w:val="18"/>
                <w:b w:val="1"/>
                <w:bCs w:val="1"/>
                <w:color w:val="00004D"/>
              </w:rPr>
              <w:t xml:space="preserve">7% </w:t>
            </w:r>
            <w:r>
              <w:rPr>
                <w:rFonts w:ascii="Arial" w:cs="Arial" w:eastAsia="Arial" w:hAnsi="Arial"/>
                <w:sz w:val="18"/>
                <w:szCs w:val="18"/>
                <w:color w:val="000000"/>
              </w:rPr>
              <w:t>below 30</w:t>
            </w:r>
          </w:p>
        </w:tc>
        <w:tc>
          <w:tcPr>
            <w:tcW w:w="80" w:type="dxa"/>
            <w:vAlign w:val="bottom"/>
            <w:tcBorders>
              <w:left w:val="single" w:sz="8" w:color="377FA7"/>
            </w:tcBorders>
          </w:tcPr>
          <w:p>
            <w:pPr>
              <w:spacing w:after="0"/>
              <w:rPr>
                <w:sz w:val="7"/>
                <w:szCs w:val="7"/>
                <w:color w:val="auto"/>
              </w:rPr>
            </w:pPr>
          </w:p>
        </w:tc>
        <w:tc>
          <w:tcPr>
            <w:tcW w:w="60" w:type="dxa"/>
            <w:vAlign w:val="bottom"/>
          </w:tcPr>
          <w:p>
            <w:pPr>
              <w:spacing w:after="0"/>
              <w:rPr>
                <w:sz w:val="7"/>
                <w:szCs w:val="7"/>
                <w:color w:val="auto"/>
              </w:rPr>
            </w:pPr>
          </w:p>
        </w:tc>
        <w:tc>
          <w:tcPr>
            <w:tcW w:w="1460" w:type="dxa"/>
            <w:vAlign w:val="bottom"/>
            <w:tcBorders>
              <w:bottom w:val="single" w:sz="8" w:color="377FA7"/>
            </w:tcBorders>
          </w:tcPr>
          <w:p>
            <w:pPr>
              <w:spacing w:after="0"/>
              <w:rPr>
                <w:sz w:val="7"/>
                <w:szCs w:val="7"/>
                <w:color w:val="auto"/>
              </w:rPr>
            </w:pPr>
          </w:p>
        </w:tc>
        <w:tc>
          <w:tcPr>
            <w:tcW w:w="20" w:type="dxa"/>
            <w:vAlign w:val="bottom"/>
            <w:tcBorders>
              <w:bottom w:val="single" w:sz="8" w:color="377FA7"/>
            </w:tcBorders>
          </w:tcPr>
          <w:p>
            <w:pPr>
              <w:spacing w:after="0"/>
              <w:rPr>
                <w:sz w:val="7"/>
                <w:szCs w:val="7"/>
                <w:color w:val="auto"/>
              </w:rPr>
            </w:pPr>
          </w:p>
        </w:tc>
        <w:tc>
          <w:tcPr>
            <w:tcW w:w="1620" w:type="dxa"/>
            <w:vAlign w:val="bottom"/>
            <w:tcBorders>
              <w:bottom w:val="single" w:sz="8" w:color="377FA7"/>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000" w:type="dxa"/>
            <w:vAlign w:val="bottom"/>
            <w:gridSpan w:val="2"/>
            <w:vMerge w:val="continue"/>
          </w:tcPr>
          <w:p>
            <w:pPr>
              <w:spacing w:after="0"/>
              <w:rPr>
                <w:sz w:val="9"/>
                <w:szCs w:val="9"/>
                <w:color w:val="auto"/>
              </w:rPr>
            </w:pPr>
          </w:p>
        </w:tc>
        <w:tc>
          <w:tcPr>
            <w:tcW w:w="80" w:type="dxa"/>
            <w:vAlign w:val="bottom"/>
            <w:tcBorders>
              <w:left w:val="single" w:sz="8" w:color="377FA7"/>
            </w:tcBorders>
          </w:tcPr>
          <w:p>
            <w:pPr>
              <w:spacing w:after="0"/>
              <w:rPr>
                <w:sz w:val="9"/>
                <w:szCs w:val="9"/>
                <w:color w:val="auto"/>
              </w:rPr>
            </w:pPr>
          </w:p>
        </w:tc>
        <w:tc>
          <w:tcPr>
            <w:tcW w:w="3160" w:type="dxa"/>
            <w:vAlign w:val="bottom"/>
            <w:gridSpan w:val="4"/>
            <w:vMerge w:val="restart"/>
          </w:tcPr>
          <w:p>
            <w:pPr>
              <w:ind w:left="60"/>
              <w:spacing w:after="0"/>
              <w:rPr>
                <w:sz w:val="20"/>
                <w:szCs w:val="20"/>
                <w:color w:val="auto"/>
              </w:rPr>
            </w:pPr>
            <w:r>
              <w:rPr>
                <w:rFonts w:ascii="Arial" w:cs="Arial" w:eastAsia="Arial" w:hAnsi="Arial"/>
                <w:sz w:val="18"/>
                <w:szCs w:val="18"/>
                <w:b w:val="1"/>
                <w:bCs w:val="1"/>
                <w:color w:val="00004D"/>
              </w:rPr>
              <w:t>Cumberland Academy</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00" w:type="dxa"/>
            <w:vAlign w:val="bottom"/>
            <w:gridSpan w:val="2"/>
            <w:vMerge w:val="restart"/>
          </w:tcPr>
          <w:p>
            <w:pPr>
              <w:spacing w:after="0"/>
              <w:rPr>
                <w:sz w:val="20"/>
                <w:szCs w:val="20"/>
                <w:color w:val="auto"/>
              </w:rPr>
            </w:pPr>
            <w:r>
              <w:rPr>
                <w:rFonts w:ascii="Arial" w:cs="Arial" w:eastAsia="Arial" w:hAnsi="Arial"/>
                <w:sz w:val="18"/>
                <w:szCs w:val="18"/>
                <w:b w:val="1"/>
                <w:bCs w:val="1"/>
                <w:color w:val="00004D"/>
              </w:rPr>
              <w:t xml:space="preserve">27% </w:t>
            </w:r>
            <w:r>
              <w:rPr>
                <w:rFonts w:ascii="Arial" w:cs="Arial" w:eastAsia="Arial" w:hAnsi="Arial"/>
                <w:sz w:val="18"/>
                <w:szCs w:val="18"/>
                <w:color w:val="000000"/>
              </w:rPr>
              <w:t>between 30 &amp; 50</w:t>
            </w:r>
          </w:p>
        </w:tc>
        <w:tc>
          <w:tcPr>
            <w:tcW w:w="80" w:type="dxa"/>
            <w:vAlign w:val="bottom"/>
            <w:tcBorders>
              <w:left w:val="single" w:sz="8" w:color="377FA7"/>
            </w:tcBorders>
          </w:tcPr>
          <w:p>
            <w:pPr>
              <w:spacing w:after="0"/>
              <w:rPr>
                <w:sz w:val="10"/>
                <w:szCs w:val="10"/>
                <w:color w:val="auto"/>
              </w:rPr>
            </w:pPr>
          </w:p>
        </w:tc>
        <w:tc>
          <w:tcPr>
            <w:tcW w:w="3160" w:type="dxa"/>
            <w:vAlign w:val="bottom"/>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00" w:type="dxa"/>
            <w:vAlign w:val="bottom"/>
            <w:gridSpan w:val="2"/>
            <w:vMerge w:val="continue"/>
          </w:tcPr>
          <w:p>
            <w:pPr>
              <w:spacing w:after="0"/>
              <w:rPr>
                <w:sz w:val="8"/>
                <w:szCs w:val="8"/>
                <w:color w:val="auto"/>
              </w:rPr>
            </w:pPr>
          </w:p>
        </w:tc>
        <w:tc>
          <w:tcPr>
            <w:tcW w:w="80" w:type="dxa"/>
            <w:vAlign w:val="bottom"/>
            <w:tcBorders>
              <w:left w:val="single" w:sz="8" w:color="377FA7"/>
            </w:tcBorders>
          </w:tcPr>
          <w:p>
            <w:pPr>
              <w:spacing w:after="0"/>
              <w:rPr>
                <w:sz w:val="8"/>
                <w:szCs w:val="8"/>
                <w:color w:val="auto"/>
              </w:rPr>
            </w:pPr>
          </w:p>
        </w:tc>
        <w:tc>
          <w:tcPr>
            <w:tcW w:w="3160" w:type="dxa"/>
            <w:vAlign w:val="bottom"/>
            <w:gridSpan w:val="4"/>
            <w:vMerge w:val="restart"/>
          </w:tcPr>
          <w:p>
            <w:pPr>
              <w:ind w:left="60"/>
              <w:spacing w:after="0"/>
              <w:rPr>
                <w:sz w:val="20"/>
                <w:szCs w:val="20"/>
                <w:color w:val="auto"/>
              </w:rPr>
            </w:pPr>
            <w:r>
              <w:rPr>
                <w:rFonts w:ascii="Arial" w:cs="Arial" w:eastAsia="Arial" w:hAnsi="Arial"/>
                <w:sz w:val="18"/>
                <w:szCs w:val="18"/>
                <w:color w:val="auto"/>
              </w:rPr>
              <w:t>Provides industry training for</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00" w:type="dxa"/>
            <w:vAlign w:val="bottom"/>
            <w:gridSpan w:val="2"/>
            <w:vMerge w:val="restart"/>
          </w:tcPr>
          <w:p>
            <w:pPr>
              <w:spacing w:after="0"/>
              <w:rPr>
                <w:sz w:val="20"/>
                <w:szCs w:val="20"/>
                <w:color w:val="auto"/>
              </w:rPr>
            </w:pPr>
            <w:r>
              <w:rPr>
                <w:rFonts w:ascii="Arial" w:cs="Arial" w:eastAsia="Arial" w:hAnsi="Arial"/>
                <w:sz w:val="18"/>
                <w:szCs w:val="18"/>
                <w:b w:val="1"/>
                <w:bCs w:val="1"/>
                <w:color w:val="00004D"/>
              </w:rPr>
              <w:t xml:space="preserve">66% </w:t>
            </w:r>
            <w:r>
              <w:rPr>
                <w:rFonts w:ascii="Arial" w:cs="Arial" w:eastAsia="Arial" w:hAnsi="Arial"/>
                <w:sz w:val="18"/>
                <w:szCs w:val="18"/>
                <w:color w:val="000000"/>
              </w:rPr>
              <w:t>over 50</w:t>
            </w:r>
          </w:p>
        </w:tc>
        <w:tc>
          <w:tcPr>
            <w:tcW w:w="80" w:type="dxa"/>
            <w:vAlign w:val="bottom"/>
            <w:tcBorders>
              <w:left w:val="single" w:sz="8" w:color="377FA7"/>
            </w:tcBorders>
          </w:tcPr>
          <w:p>
            <w:pPr>
              <w:spacing w:after="0"/>
              <w:rPr>
                <w:sz w:val="10"/>
                <w:szCs w:val="10"/>
                <w:color w:val="auto"/>
              </w:rPr>
            </w:pPr>
          </w:p>
        </w:tc>
        <w:tc>
          <w:tcPr>
            <w:tcW w:w="3160" w:type="dxa"/>
            <w:vAlign w:val="bottom"/>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00" w:type="dxa"/>
            <w:vAlign w:val="bottom"/>
            <w:gridSpan w:val="2"/>
            <w:vMerge w:val="continue"/>
          </w:tcPr>
          <w:p>
            <w:pPr>
              <w:spacing w:after="0"/>
              <w:rPr>
                <w:sz w:val="11"/>
                <w:szCs w:val="11"/>
                <w:color w:val="auto"/>
              </w:rPr>
            </w:pPr>
          </w:p>
        </w:tc>
        <w:tc>
          <w:tcPr>
            <w:tcW w:w="80" w:type="dxa"/>
            <w:vAlign w:val="bottom"/>
            <w:tcBorders>
              <w:left w:val="single" w:sz="8" w:color="377FA7"/>
            </w:tcBorders>
          </w:tcPr>
          <w:p>
            <w:pPr>
              <w:spacing w:after="0"/>
              <w:rPr>
                <w:sz w:val="11"/>
                <w:szCs w:val="11"/>
                <w:color w:val="auto"/>
              </w:rPr>
            </w:pPr>
          </w:p>
        </w:tc>
        <w:tc>
          <w:tcPr>
            <w:tcW w:w="3160" w:type="dxa"/>
            <w:vAlign w:val="bottom"/>
            <w:gridSpan w:val="4"/>
            <w:vMerge w:val="restart"/>
          </w:tcPr>
          <w:p>
            <w:pPr>
              <w:ind w:left="60"/>
              <w:spacing w:after="0"/>
              <w:rPr>
                <w:sz w:val="20"/>
                <w:szCs w:val="20"/>
                <w:color w:val="auto"/>
              </w:rPr>
            </w:pPr>
            <w:r>
              <w:rPr>
                <w:rFonts w:ascii="Arial" w:cs="Arial" w:eastAsia="Arial" w:hAnsi="Arial"/>
                <w:sz w:val="18"/>
                <w:szCs w:val="18"/>
                <w:color w:val="auto"/>
              </w:rPr>
              <w:t>corporate employees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left w:val="single" w:sz="8" w:color="377FA7"/>
            </w:tcBorders>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1840" w:type="dxa"/>
            <w:vAlign w:val="bottom"/>
            <w:tcBorders>
              <w:bottom w:val="single" w:sz="8" w:color="377FA7"/>
            </w:tcBorders>
          </w:tcPr>
          <w:p>
            <w:pPr>
              <w:spacing w:after="0"/>
              <w:rPr>
                <w:sz w:val="7"/>
                <w:szCs w:val="7"/>
                <w:color w:val="auto"/>
              </w:rPr>
            </w:pPr>
          </w:p>
        </w:tc>
        <w:tc>
          <w:tcPr>
            <w:tcW w:w="160" w:type="dxa"/>
            <w:vAlign w:val="bottom"/>
            <w:tcBorders>
              <w:bottom w:val="single" w:sz="8" w:color="377FA7"/>
            </w:tcBorders>
          </w:tcPr>
          <w:p>
            <w:pPr>
              <w:spacing w:after="0"/>
              <w:rPr>
                <w:sz w:val="7"/>
                <w:szCs w:val="7"/>
                <w:color w:val="auto"/>
              </w:rPr>
            </w:pPr>
          </w:p>
        </w:tc>
        <w:tc>
          <w:tcPr>
            <w:tcW w:w="80" w:type="dxa"/>
            <w:vAlign w:val="bottom"/>
            <w:tcBorders>
              <w:bottom w:val="single" w:sz="8" w:color="377FA7"/>
            </w:tcBorders>
          </w:tcPr>
          <w:p>
            <w:pPr>
              <w:spacing w:after="0"/>
              <w:rPr>
                <w:sz w:val="7"/>
                <w:szCs w:val="7"/>
                <w:color w:val="auto"/>
              </w:rPr>
            </w:pPr>
          </w:p>
        </w:tc>
        <w:tc>
          <w:tcPr>
            <w:tcW w:w="60" w:type="dxa"/>
            <w:vAlign w:val="bottom"/>
            <w:tcBorders>
              <w:bottom w:val="single" w:sz="8" w:color="377FA7"/>
            </w:tcBorders>
          </w:tcPr>
          <w:p>
            <w:pPr>
              <w:spacing w:after="0"/>
              <w:rPr>
                <w:sz w:val="7"/>
                <w:szCs w:val="7"/>
                <w:color w:val="auto"/>
              </w:rPr>
            </w:pPr>
          </w:p>
        </w:tc>
        <w:tc>
          <w:tcPr>
            <w:tcW w:w="1460" w:type="dxa"/>
            <w:vAlign w:val="bottom"/>
            <w:tcBorders>
              <w:bottom w:val="single" w:sz="8" w:color="377FA7"/>
            </w:tcBorders>
          </w:tcPr>
          <w:p>
            <w:pPr>
              <w:spacing w:after="0"/>
              <w:rPr>
                <w:sz w:val="7"/>
                <w:szCs w:val="7"/>
                <w:color w:val="auto"/>
              </w:rPr>
            </w:pPr>
          </w:p>
        </w:tc>
        <w:tc>
          <w:tcPr>
            <w:tcW w:w="20" w:type="dxa"/>
            <w:vAlign w:val="bottom"/>
            <w:tcBorders>
              <w:bottom w:val="single" w:sz="8" w:color="377FA7"/>
            </w:tcBorders>
          </w:tcPr>
          <w:p>
            <w:pPr>
              <w:spacing w:after="0"/>
              <w:rPr>
                <w:sz w:val="7"/>
                <w:szCs w:val="7"/>
                <w:color w:val="auto"/>
              </w:rPr>
            </w:pPr>
          </w:p>
        </w:tc>
        <w:tc>
          <w:tcPr>
            <w:tcW w:w="1620" w:type="dxa"/>
            <w:vAlign w:val="bottom"/>
            <w:tcBorders>
              <w:bottom w:val="single" w:sz="8" w:color="377FA7"/>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gridSpan w:val="2"/>
            <w:vMerge w:val="restart"/>
          </w:tcPr>
          <w:p>
            <w:pPr>
              <w:spacing w:after="0"/>
              <w:rPr>
                <w:sz w:val="20"/>
                <w:szCs w:val="20"/>
                <w:color w:val="auto"/>
              </w:rPr>
            </w:pPr>
            <w:r>
              <w:rPr>
                <w:rFonts w:ascii="Arial" w:cs="Arial" w:eastAsia="Arial" w:hAnsi="Arial"/>
                <w:sz w:val="18"/>
                <w:szCs w:val="18"/>
                <w:b w:val="1"/>
                <w:bCs w:val="1"/>
                <w:color w:val="00004D"/>
              </w:rPr>
              <w:t>Tenures</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60" w:type="dxa"/>
            <w:vAlign w:val="bottom"/>
            <w:vMerge w:val="restart"/>
          </w:tcPr>
          <w:p>
            <w:pPr>
              <w:ind w:left="40"/>
              <w:spacing w:after="0"/>
              <w:rPr>
                <w:sz w:val="20"/>
                <w:szCs w:val="20"/>
                <w:color w:val="auto"/>
              </w:rPr>
            </w:pPr>
            <w:r>
              <w:rPr>
                <w:rFonts w:ascii="Arial" w:cs="Arial" w:eastAsia="Arial" w:hAnsi="Arial"/>
                <w:sz w:val="18"/>
                <w:szCs w:val="18"/>
                <w:b w:val="1"/>
                <w:bCs w:val="1"/>
                <w:color w:val="00004D"/>
              </w:rPr>
              <w:t>Training</w:t>
            </w:r>
          </w:p>
        </w:tc>
        <w:tc>
          <w:tcPr>
            <w:tcW w:w="20" w:type="dxa"/>
            <w:vAlign w:val="bottom"/>
          </w:tcPr>
          <w:p>
            <w:pPr>
              <w:spacing w:after="0"/>
              <w:rPr>
                <w:sz w:val="7"/>
                <w:szCs w:val="7"/>
                <w:color w:val="auto"/>
              </w:rPr>
            </w:pPr>
          </w:p>
        </w:tc>
        <w:tc>
          <w:tcPr>
            <w:tcW w:w="1620" w:type="dxa"/>
            <w:vAlign w:val="bottom"/>
            <w:vMerge w:val="restart"/>
          </w:tcPr>
          <w:p>
            <w:pPr>
              <w:ind w:left="120"/>
              <w:spacing w:after="0"/>
              <w:rPr>
                <w:sz w:val="20"/>
                <w:szCs w:val="20"/>
                <w:color w:val="auto"/>
              </w:rPr>
            </w:pPr>
            <w:r>
              <w:rPr>
                <w:rFonts w:ascii="Arial" w:cs="Arial" w:eastAsia="Arial" w:hAnsi="Arial"/>
                <w:sz w:val="18"/>
                <w:szCs w:val="18"/>
                <w:b w:val="1"/>
                <w:bCs w:val="1"/>
                <w:color w:val="00004D"/>
              </w:rPr>
              <w:t>Work-related</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2000" w:type="dxa"/>
            <w:vAlign w:val="bottom"/>
            <w:gridSpan w:val="2"/>
            <w:vMerge w:val="continue"/>
          </w:tcPr>
          <w:p>
            <w:pPr>
              <w:spacing w:after="0"/>
              <w:rPr>
                <w:sz w:val="13"/>
                <w:szCs w:val="13"/>
                <w:color w:val="auto"/>
              </w:rPr>
            </w:pPr>
          </w:p>
        </w:tc>
        <w:tc>
          <w:tcPr>
            <w:tcW w:w="80" w:type="dxa"/>
            <w:vAlign w:val="bottom"/>
            <w:tcBorders>
              <w:right w:val="single" w:sz="8" w:color="377FA7"/>
            </w:tcBorders>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20" w:type="dxa"/>
            <w:vAlign w:val="bottom"/>
            <w:shd w:val="clear" w:color="auto" w:fill="377FA7"/>
          </w:tcPr>
          <w:p>
            <w:pPr>
              <w:spacing w:after="0"/>
              <w:rPr>
                <w:sz w:val="13"/>
                <w:szCs w:val="13"/>
                <w:color w:val="auto"/>
              </w:rPr>
            </w:pPr>
          </w:p>
        </w:tc>
        <w:tc>
          <w:tcPr>
            <w:tcW w:w="16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00" w:type="dxa"/>
            <w:vAlign w:val="bottom"/>
            <w:gridSpan w:val="2"/>
          </w:tcPr>
          <w:p>
            <w:pPr>
              <w:spacing w:after="0"/>
              <w:rPr>
                <w:sz w:val="20"/>
                <w:szCs w:val="20"/>
                <w:color w:val="auto"/>
              </w:rPr>
            </w:pPr>
            <w:r>
              <w:rPr>
                <w:rFonts w:ascii="Arial" w:cs="Arial" w:eastAsia="Arial" w:hAnsi="Arial"/>
                <w:sz w:val="18"/>
                <w:szCs w:val="18"/>
                <w:b w:val="1"/>
                <w:bCs w:val="1"/>
                <w:color w:val="00004D"/>
              </w:rPr>
              <w:t xml:space="preserve">38% </w:t>
            </w:r>
            <w:r>
              <w:rPr>
                <w:rFonts w:ascii="Arial" w:cs="Arial" w:eastAsia="Arial" w:hAnsi="Arial"/>
                <w:sz w:val="18"/>
                <w:szCs w:val="18"/>
                <w:color w:val="000000"/>
              </w:rPr>
              <w:t>@ 5 or more years</w:t>
            </w:r>
          </w:p>
        </w:tc>
        <w:tc>
          <w:tcPr>
            <w:tcW w:w="80" w:type="dxa"/>
            <w:vAlign w:val="bottom"/>
            <w:tcBorders>
              <w:right w:val="single" w:sz="8" w:color="377FA7"/>
            </w:tcBorders>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ind w:left="40"/>
              <w:spacing w:after="0"/>
              <w:rPr>
                <w:sz w:val="20"/>
                <w:szCs w:val="20"/>
                <w:color w:val="auto"/>
              </w:rPr>
            </w:pPr>
            <w:r>
              <w:rPr>
                <w:rFonts w:ascii="Arial" w:cs="Arial" w:eastAsia="Arial" w:hAnsi="Arial"/>
                <w:sz w:val="18"/>
                <w:szCs w:val="18"/>
                <w:color w:val="auto"/>
              </w:rPr>
              <w:t xml:space="preserve">Average </w:t>
            </w:r>
            <w:r>
              <w:rPr>
                <w:rFonts w:ascii="Arial" w:cs="Arial" w:eastAsia="Arial" w:hAnsi="Arial"/>
                <w:sz w:val="18"/>
                <w:szCs w:val="18"/>
                <w:b w:val="1"/>
                <w:bCs w:val="1"/>
                <w:color w:val="00004D"/>
              </w:rPr>
              <w:t>$600</w:t>
            </w:r>
          </w:p>
        </w:tc>
        <w:tc>
          <w:tcPr>
            <w:tcW w:w="20" w:type="dxa"/>
            <w:vAlign w:val="bottom"/>
            <w:shd w:val="clear" w:color="auto" w:fill="377FA7"/>
          </w:tcPr>
          <w:p>
            <w:pPr>
              <w:spacing w:after="0"/>
              <w:rPr>
                <w:sz w:val="19"/>
                <w:szCs w:val="19"/>
                <w:color w:val="auto"/>
              </w:rPr>
            </w:pPr>
          </w:p>
        </w:tc>
        <w:tc>
          <w:tcPr>
            <w:tcW w:w="1620" w:type="dxa"/>
            <w:vAlign w:val="bottom"/>
          </w:tcPr>
          <w:p>
            <w:pPr>
              <w:ind w:left="120"/>
              <w:spacing w:after="0"/>
              <w:rPr>
                <w:sz w:val="20"/>
                <w:szCs w:val="20"/>
                <w:color w:val="auto"/>
              </w:rPr>
            </w:pPr>
            <w:r>
              <w:rPr>
                <w:rFonts w:ascii="Arial" w:cs="Arial" w:eastAsia="Arial" w:hAnsi="Arial"/>
                <w:sz w:val="18"/>
                <w:szCs w:val="18"/>
                <w:b w:val="1"/>
                <w:bCs w:val="1"/>
                <w:color w:val="00004D"/>
              </w:rPr>
              <w:t>injuries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00" w:type="dxa"/>
            <w:vAlign w:val="bottom"/>
            <w:gridSpan w:val="2"/>
          </w:tcPr>
          <w:p>
            <w:pPr>
              <w:spacing w:after="0"/>
              <w:rPr>
                <w:sz w:val="20"/>
                <w:szCs w:val="20"/>
                <w:color w:val="auto"/>
              </w:rPr>
            </w:pPr>
            <w:r>
              <w:rPr>
                <w:rFonts w:ascii="Arial" w:cs="Arial" w:eastAsia="Arial" w:hAnsi="Arial"/>
                <w:sz w:val="18"/>
                <w:szCs w:val="18"/>
                <w:b w:val="1"/>
                <w:bCs w:val="1"/>
                <w:color w:val="00004D"/>
                <w:w w:val="97"/>
              </w:rPr>
              <w:t xml:space="preserve">24% </w:t>
            </w:r>
            <w:r>
              <w:rPr>
                <w:rFonts w:ascii="Arial" w:cs="Arial" w:eastAsia="Arial" w:hAnsi="Arial"/>
                <w:sz w:val="18"/>
                <w:szCs w:val="18"/>
                <w:color w:val="000000"/>
                <w:w w:val="97"/>
              </w:rPr>
              <w:t>@ 10 or more years</w:t>
            </w:r>
          </w:p>
        </w:tc>
        <w:tc>
          <w:tcPr>
            <w:tcW w:w="80" w:type="dxa"/>
            <w:vAlign w:val="bottom"/>
            <w:tcBorders>
              <w:right w:val="single" w:sz="8" w:color="377FA7"/>
            </w:tcBorders>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ind w:left="40"/>
              <w:spacing w:after="0"/>
              <w:rPr>
                <w:sz w:val="20"/>
                <w:szCs w:val="20"/>
                <w:color w:val="auto"/>
              </w:rPr>
            </w:pPr>
            <w:r>
              <w:rPr>
                <w:rFonts w:ascii="Arial" w:cs="Arial" w:eastAsia="Arial" w:hAnsi="Arial"/>
                <w:sz w:val="18"/>
                <w:szCs w:val="18"/>
                <w:color w:val="auto"/>
              </w:rPr>
              <w:t>per full-time</w:t>
            </w:r>
          </w:p>
        </w:tc>
        <w:tc>
          <w:tcPr>
            <w:tcW w:w="20" w:type="dxa"/>
            <w:vAlign w:val="bottom"/>
            <w:shd w:val="clear" w:color="auto" w:fill="377FA7"/>
          </w:tcPr>
          <w:p>
            <w:pPr>
              <w:spacing w:after="0"/>
              <w:rPr>
                <w:sz w:val="19"/>
                <w:szCs w:val="19"/>
                <w:color w:val="auto"/>
              </w:rPr>
            </w:pPr>
          </w:p>
        </w:tc>
        <w:tc>
          <w:tcPr>
            <w:tcW w:w="1620" w:type="dxa"/>
            <w:vAlign w:val="bottom"/>
          </w:tcPr>
          <w:p>
            <w:pPr>
              <w:ind w:left="120"/>
              <w:spacing w:after="0"/>
              <w:rPr>
                <w:sz w:val="20"/>
                <w:szCs w:val="20"/>
                <w:color w:val="auto"/>
              </w:rPr>
            </w:pPr>
            <w:r>
              <w:rPr>
                <w:rFonts w:ascii="Arial" w:cs="Arial" w:eastAsia="Arial" w:hAnsi="Arial"/>
                <w:sz w:val="18"/>
                <w:szCs w:val="18"/>
                <w:color w:val="auto"/>
              </w:rPr>
              <w:t>None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00" w:type="dxa"/>
            <w:vAlign w:val="bottom"/>
            <w:gridSpan w:val="2"/>
          </w:tcPr>
          <w:p>
            <w:pPr>
              <w:spacing w:after="0"/>
              <w:rPr>
                <w:sz w:val="20"/>
                <w:szCs w:val="20"/>
                <w:color w:val="auto"/>
              </w:rPr>
            </w:pPr>
            <w:r>
              <w:rPr>
                <w:rFonts w:ascii="Arial" w:cs="Arial" w:eastAsia="Arial" w:hAnsi="Arial"/>
                <w:sz w:val="18"/>
                <w:szCs w:val="18"/>
                <w:b w:val="1"/>
                <w:bCs w:val="1"/>
                <w:color w:val="00004D"/>
                <w:w w:val="97"/>
              </w:rPr>
              <w:t xml:space="preserve">12% </w:t>
            </w:r>
            <w:r>
              <w:rPr>
                <w:rFonts w:ascii="Arial" w:cs="Arial" w:eastAsia="Arial" w:hAnsi="Arial"/>
                <w:sz w:val="18"/>
                <w:szCs w:val="18"/>
                <w:color w:val="000000"/>
                <w:w w:val="97"/>
              </w:rPr>
              <w:t>@ 15 or more years</w:t>
            </w:r>
          </w:p>
        </w:tc>
        <w:tc>
          <w:tcPr>
            <w:tcW w:w="80" w:type="dxa"/>
            <w:vAlign w:val="bottom"/>
            <w:tcBorders>
              <w:right w:val="single" w:sz="8" w:color="377FA7"/>
            </w:tcBorders>
          </w:tcPr>
          <w:p>
            <w:pPr>
              <w:spacing w:after="0"/>
              <w:rPr>
                <w:sz w:val="21"/>
                <w:szCs w:val="21"/>
                <w:color w:val="auto"/>
              </w:rPr>
            </w:pPr>
          </w:p>
        </w:tc>
        <w:tc>
          <w:tcPr>
            <w:tcW w:w="60" w:type="dxa"/>
            <w:vAlign w:val="bottom"/>
          </w:tcPr>
          <w:p>
            <w:pPr>
              <w:spacing w:after="0"/>
              <w:rPr>
                <w:sz w:val="21"/>
                <w:szCs w:val="21"/>
                <w:color w:val="auto"/>
              </w:rPr>
            </w:pPr>
          </w:p>
        </w:tc>
        <w:tc>
          <w:tcPr>
            <w:tcW w:w="1460" w:type="dxa"/>
            <w:vAlign w:val="bottom"/>
          </w:tcPr>
          <w:p>
            <w:pPr>
              <w:ind w:left="40"/>
              <w:spacing w:after="0"/>
              <w:rPr>
                <w:sz w:val="20"/>
                <w:szCs w:val="20"/>
                <w:color w:val="auto"/>
              </w:rPr>
            </w:pPr>
            <w:r>
              <w:rPr>
                <w:rFonts w:ascii="Arial" w:cs="Arial" w:eastAsia="Arial" w:hAnsi="Arial"/>
                <w:sz w:val="18"/>
                <w:szCs w:val="18"/>
                <w:color w:val="auto"/>
              </w:rPr>
              <w:t>employee</w:t>
            </w:r>
          </w:p>
        </w:tc>
        <w:tc>
          <w:tcPr>
            <w:tcW w:w="20" w:type="dxa"/>
            <w:vAlign w:val="bottom"/>
            <w:shd w:val="clear" w:color="auto" w:fill="377FA7"/>
          </w:tcPr>
          <w:p>
            <w:pPr>
              <w:spacing w:after="0"/>
              <w:rPr>
                <w:sz w:val="21"/>
                <w:szCs w:val="21"/>
                <w:color w:val="auto"/>
              </w:rPr>
            </w:pPr>
          </w:p>
        </w:tc>
        <w:tc>
          <w:tcPr>
            <w:tcW w:w="1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1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right w:val="single" w:sz="8" w:color="377FA7"/>
            </w:tcBorders>
          </w:tcPr>
          <w:p>
            <w:pPr>
              <w:spacing w:after="0"/>
              <w:rPr>
                <w:sz w:val="5"/>
                <w:szCs w:val="5"/>
                <w:color w:val="auto"/>
              </w:rPr>
            </w:pPr>
          </w:p>
        </w:tc>
        <w:tc>
          <w:tcPr>
            <w:tcW w:w="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 w:type="dxa"/>
            <w:vAlign w:val="bottom"/>
            <w:shd w:val="clear" w:color="auto" w:fill="377FA7"/>
          </w:tcPr>
          <w:p>
            <w:pPr>
              <w:spacing w:after="0"/>
              <w:rPr>
                <w:sz w:val="5"/>
                <w:szCs w:val="5"/>
                <w:color w:val="auto"/>
              </w:rPr>
            </w:pPr>
          </w:p>
        </w:tc>
        <w:tc>
          <w:tcPr>
            <w:tcW w:w="16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31"/>
          <w:szCs w:val="31"/>
          <w:b w:val="1"/>
          <w:bCs w:val="1"/>
          <w:color w:val="377FA7"/>
        </w:rPr>
        <w:t>SOCIAL</w:t>
      </w:r>
    </w:p>
    <w:p>
      <w:pPr>
        <w:spacing w:after="0"/>
        <w:rPr>
          <w:sz w:val="20"/>
          <w:szCs w:val="20"/>
          <w:color w:val="auto"/>
        </w:rPr>
      </w:pPr>
      <w:r>
        <w:rPr>
          <w:rFonts w:ascii="Arial" w:cs="Arial" w:eastAsia="Arial" w:hAnsi="Arial"/>
          <w:sz w:val="21"/>
          <w:szCs w:val="21"/>
          <w:b w:val="1"/>
          <w:bCs w:val="1"/>
          <w:color w:val="00004D"/>
        </w:rPr>
        <w:t>Patients</w:t>
      </w:r>
    </w:p>
    <w:p>
      <w:pPr>
        <w:ind w:left="20"/>
        <w:spacing w:after="0" w:line="187" w:lineRule="auto"/>
        <w:rPr>
          <w:sz w:val="20"/>
          <w:szCs w:val="20"/>
          <w:color w:val="auto"/>
        </w:rPr>
      </w:pPr>
      <w:r>
        <w:rPr>
          <w:rFonts w:ascii="Arial" w:cs="Arial" w:eastAsia="Arial" w:hAnsi="Arial"/>
          <w:sz w:val="18"/>
          <w:szCs w:val="18"/>
          <w:color w:val="auto"/>
        </w:rPr>
        <w:t xml:space="preserve">Provided </w:t>
      </w:r>
      <w:r>
        <w:rPr>
          <w:rFonts w:ascii="Arial" w:cs="Arial" w:eastAsia="Arial" w:hAnsi="Arial"/>
          <w:sz w:val="73"/>
          <w:szCs w:val="73"/>
          <w:b w:val="1"/>
          <w:bCs w:val="1"/>
          <w:color w:val="377FA7"/>
        </w:rPr>
        <w:t>3.9</w:t>
      </w:r>
      <w:r>
        <w:rPr>
          <w:rFonts w:ascii="Arial" w:cs="Arial" w:eastAsia="Arial" w:hAnsi="Arial"/>
          <w:sz w:val="28"/>
          <w:szCs w:val="28"/>
          <w:b w:val="1"/>
          <w:bCs w:val="1"/>
          <w:color w:val="377FA7"/>
        </w:rPr>
        <w:t>million doses</w:t>
      </w:r>
    </w:p>
    <w:p>
      <w:pPr>
        <w:spacing w:after="0" w:line="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of our products to patients</w:t>
      </w:r>
    </w:p>
    <w:p>
      <w:pPr>
        <w:spacing w:after="0" w:line="215" w:lineRule="exact"/>
        <w:rPr>
          <w:sz w:val="20"/>
          <w:szCs w:val="20"/>
          <w:color w:val="auto"/>
        </w:rPr>
      </w:pPr>
    </w:p>
    <w:p>
      <w:pPr>
        <w:sectPr>
          <w:pgSz w:w="12240" w:h="15840" w:orient="portrait"/>
          <w:cols w:equalWidth="0" w:num="2">
            <w:col w:w="4620" w:space="480"/>
            <w:col w:w="6500"/>
          </w:cols>
          <w:pgMar w:left="640" w:top="664" w:right="0"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Arial" w:cs="Arial" w:eastAsia="Arial" w:hAnsi="Arial"/>
          <w:sz w:val="18"/>
          <w:szCs w:val="18"/>
          <w:color w:val="377FA7"/>
        </w:rPr>
        <w:t xml:space="preserve">• </w:t>
      </w:r>
      <w:r>
        <w:rPr>
          <w:rFonts w:ascii="Arial" w:cs="Arial" w:eastAsia="Arial" w:hAnsi="Arial"/>
          <w:sz w:val="18"/>
          <w:szCs w:val="18"/>
          <w:color w:val="000000"/>
        </w:rPr>
        <w:t>Alliance for an Affordable (Housing)</w:t>
      </w:r>
    </w:p>
    <w:p>
      <w:pPr>
        <w:spacing w:after="0" w:line="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Nashville Summit</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00004D"/>
        </w:rPr>
        <w:t>Associations</w:t>
      </w:r>
    </w:p>
    <w:p>
      <w:pPr>
        <w:spacing w:after="0" w:line="2" w:lineRule="exact"/>
        <w:rPr>
          <w:sz w:val="20"/>
          <w:szCs w:val="20"/>
          <w:color w:val="auto"/>
        </w:rPr>
      </w:pPr>
    </w:p>
    <w:p>
      <w:pPr>
        <w:ind w:left="500" w:hanging="144"/>
        <w:spacing w:after="0"/>
        <w:tabs>
          <w:tab w:leader="none" w:pos="500" w:val="left"/>
        </w:tabs>
        <w:numPr>
          <w:ilvl w:val="0"/>
          <w:numId w:val="4"/>
        </w:numPr>
        <w:rPr>
          <w:rFonts w:ascii="Arial" w:cs="Arial" w:eastAsia="Arial" w:hAnsi="Arial"/>
          <w:sz w:val="18"/>
          <w:szCs w:val="18"/>
          <w:color w:val="377FA7"/>
        </w:rPr>
      </w:pPr>
      <w:r>
        <w:rPr>
          <w:rFonts w:ascii="Arial" w:cs="Arial" w:eastAsia="Arial" w:hAnsi="Arial"/>
          <w:sz w:val="18"/>
          <w:szCs w:val="18"/>
          <w:color w:val="auto"/>
        </w:rPr>
        <w:t>Nashville Health Care Council</w:t>
      </w:r>
    </w:p>
    <w:p>
      <w:pPr>
        <w:spacing w:after="0" w:line="1" w:lineRule="exact"/>
        <w:rPr>
          <w:rFonts w:ascii="Arial" w:cs="Arial" w:eastAsia="Arial" w:hAnsi="Arial"/>
          <w:sz w:val="18"/>
          <w:szCs w:val="18"/>
          <w:color w:val="377FA7"/>
        </w:rPr>
      </w:pPr>
    </w:p>
    <w:p>
      <w:pPr>
        <w:ind w:left="500" w:hanging="144"/>
        <w:spacing w:after="0"/>
        <w:tabs>
          <w:tab w:leader="none" w:pos="500" w:val="left"/>
        </w:tabs>
        <w:numPr>
          <w:ilvl w:val="0"/>
          <w:numId w:val="4"/>
        </w:numPr>
        <w:rPr>
          <w:rFonts w:ascii="Arial" w:cs="Arial" w:eastAsia="Arial" w:hAnsi="Arial"/>
          <w:sz w:val="18"/>
          <w:szCs w:val="18"/>
          <w:color w:val="377FA7"/>
        </w:rPr>
      </w:pPr>
      <w:r>
        <w:rPr>
          <w:rFonts w:ascii="Arial" w:cs="Arial" w:eastAsia="Arial" w:hAnsi="Arial"/>
          <w:sz w:val="18"/>
          <w:szCs w:val="18"/>
          <w:color w:val="auto"/>
        </w:rPr>
        <w:t>Life Science Tennessee</w:t>
      </w:r>
    </w:p>
    <w:p>
      <w:pPr>
        <w:spacing w:after="0" w:line="1" w:lineRule="exact"/>
        <w:rPr>
          <w:rFonts w:ascii="Arial" w:cs="Arial" w:eastAsia="Arial" w:hAnsi="Arial"/>
          <w:sz w:val="18"/>
          <w:szCs w:val="18"/>
          <w:color w:val="377FA7"/>
        </w:rPr>
      </w:pPr>
    </w:p>
    <w:p>
      <w:pPr>
        <w:ind w:left="500" w:hanging="144"/>
        <w:spacing w:after="0"/>
        <w:tabs>
          <w:tab w:leader="none" w:pos="500" w:val="left"/>
        </w:tabs>
        <w:numPr>
          <w:ilvl w:val="0"/>
          <w:numId w:val="4"/>
        </w:numPr>
        <w:rPr>
          <w:rFonts w:ascii="Arial" w:cs="Arial" w:eastAsia="Arial" w:hAnsi="Arial"/>
          <w:sz w:val="18"/>
          <w:szCs w:val="18"/>
          <w:color w:val="377FA7"/>
        </w:rPr>
      </w:pPr>
      <w:r>
        <w:rPr>
          <w:rFonts w:ascii="Arial" w:cs="Arial" w:eastAsia="Arial" w:hAnsi="Arial"/>
          <w:sz w:val="18"/>
          <w:szCs w:val="18"/>
          <w:color w:val="auto"/>
        </w:rPr>
        <w:t>Nashville Chamber of Commerce</w:t>
      </w:r>
    </w:p>
    <w:p>
      <w:pPr>
        <w:spacing w:after="0" w:line="35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00004D"/>
        </w:rPr>
        <w:t>Life Sciences Center</w:t>
      </w:r>
    </w:p>
    <w:p>
      <w:pPr>
        <w:spacing w:after="0" w:line="2" w:lineRule="exact"/>
        <w:rPr>
          <w:sz w:val="20"/>
          <w:szCs w:val="20"/>
          <w:color w:val="auto"/>
        </w:rPr>
      </w:pPr>
    </w:p>
    <w:p>
      <w:pPr>
        <w:ind w:left="360" w:right="531"/>
        <w:spacing w:after="0" w:line="290" w:lineRule="auto"/>
        <w:rPr>
          <w:sz w:val="20"/>
          <w:szCs w:val="20"/>
          <w:color w:val="auto"/>
        </w:rPr>
      </w:pPr>
      <w:r>
        <w:rPr>
          <w:rFonts w:ascii="Arial" w:cs="Arial" w:eastAsia="Arial" w:hAnsi="Arial"/>
          <w:sz w:val="18"/>
          <w:szCs w:val="18"/>
          <w:color w:val="auto"/>
        </w:rPr>
        <w:t>An incubator to help build the biomedical industry in our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229870</wp:posOffset>
            </wp:positionV>
            <wp:extent cx="2395855" cy="2038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6">
                      <a:extLst>
                        <a:ext uri="{28A0092B-C50C-407E-A947-70E740481C1C}"/>
                      </a:extLst>
                    </a:blip>
                    <a:srcRect/>
                    <a:stretch>
                      <a:fillRect/>
                    </a:stretch>
                  </pic:blipFill>
                  <pic:spPr bwMode="auto">
                    <a:xfrm>
                      <a:off x="0" y="0"/>
                      <a:ext cx="2395855" cy="2038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00004D"/>
        </w:rPr>
        <w:t>Drug Safety Results</w:t>
      </w:r>
    </w:p>
    <w:p>
      <w:pPr>
        <w:spacing w:after="0" w:line="2" w:lineRule="exact"/>
        <w:rPr>
          <w:sz w:val="20"/>
          <w:szCs w:val="20"/>
          <w:color w:val="auto"/>
        </w:rPr>
      </w:pPr>
    </w:p>
    <w:p>
      <w:pPr>
        <w:jc w:val="both"/>
        <w:ind w:left="149" w:right="160" w:hanging="149"/>
        <w:spacing w:after="0" w:line="241" w:lineRule="auto"/>
        <w:tabs>
          <w:tab w:leader="none" w:pos="149" w:val="left"/>
        </w:tabs>
        <w:numPr>
          <w:ilvl w:val="0"/>
          <w:numId w:val="5"/>
        </w:numPr>
        <w:rPr>
          <w:rFonts w:ascii="Arial" w:cs="Arial" w:eastAsia="Arial" w:hAnsi="Arial"/>
          <w:sz w:val="18"/>
          <w:szCs w:val="18"/>
          <w:color w:val="377FA7"/>
        </w:rPr>
      </w:pPr>
      <w:r>
        <w:rPr>
          <w:rFonts w:ascii="Arial" w:cs="Arial" w:eastAsia="Arial" w:hAnsi="Arial"/>
          <w:sz w:val="18"/>
          <w:szCs w:val="18"/>
          <w:u w:val="single" w:color="auto"/>
          <w:color w:val="auto"/>
        </w:rPr>
        <w:t>No</w:t>
      </w:r>
      <w:r>
        <w:rPr>
          <w:rFonts w:ascii="Arial" w:cs="Arial" w:eastAsia="Arial" w:hAnsi="Arial"/>
          <w:sz w:val="18"/>
          <w:szCs w:val="18"/>
          <w:color w:val="auto"/>
        </w:rPr>
        <w:t xml:space="preserve"> products listed in the FDA’ s MedWatch Safety Alerts</w:t>
      </w:r>
    </w:p>
    <w:p>
      <w:pPr>
        <w:spacing w:after="0" w:line="2" w:lineRule="exact"/>
        <w:rPr>
          <w:rFonts w:ascii="Arial" w:cs="Arial" w:eastAsia="Arial" w:hAnsi="Arial"/>
          <w:sz w:val="18"/>
          <w:szCs w:val="18"/>
          <w:color w:val="377FA7"/>
        </w:rPr>
      </w:pPr>
    </w:p>
    <w:p>
      <w:pPr>
        <w:ind w:left="149" w:hanging="149"/>
        <w:spacing w:after="0"/>
        <w:tabs>
          <w:tab w:leader="none" w:pos="149" w:val="left"/>
        </w:tabs>
        <w:numPr>
          <w:ilvl w:val="0"/>
          <w:numId w:val="5"/>
        </w:numPr>
        <w:rPr>
          <w:rFonts w:ascii="Arial" w:cs="Arial" w:eastAsia="Arial" w:hAnsi="Arial"/>
          <w:sz w:val="18"/>
          <w:szCs w:val="18"/>
          <w:color w:val="377FA7"/>
        </w:rPr>
      </w:pPr>
      <w:r>
        <w:rPr>
          <w:rFonts w:ascii="Arial" w:cs="Arial" w:eastAsia="Arial" w:hAnsi="Arial"/>
          <w:sz w:val="18"/>
          <w:szCs w:val="18"/>
          <w:u w:val="single" w:color="auto"/>
          <w:color w:val="auto"/>
        </w:rPr>
        <w:t>No</w:t>
      </w:r>
      <w:r>
        <w:rPr>
          <w:rFonts w:ascii="Arial" w:cs="Arial" w:eastAsia="Arial" w:hAnsi="Arial"/>
          <w:sz w:val="18"/>
          <w:szCs w:val="18"/>
          <w:color w:val="auto"/>
        </w:rPr>
        <w:t xml:space="preserve"> products recalled</w:t>
      </w:r>
    </w:p>
    <w:p>
      <w:pPr>
        <w:spacing w:after="0" w:line="200" w:lineRule="exact"/>
        <w:rPr>
          <w:sz w:val="20"/>
          <w:szCs w:val="20"/>
          <w:color w:val="auto"/>
        </w:rPr>
      </w:pPr>
    </w:p>
    <w:p>
      <w:pPr>
        <w:spacing w:after="0" w:line="219"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00004D"/>
        </w:rPr>
        <w:t>Patient Affordability</w:t>
      </w:r>
    </w:p>
    <w:p>
      <w:pPr>
        <w:spacing w:after="0" w:line="1" w:lineRule="exact"/>
        <w:rPr>
          <w:sz w:val="20"/>
          <w:szCs w:val="20"/>
          <w:color w:val="auto"/>
        </w:rPr>
      </w:pPr>
    </w:p>
    <w:p>
      <w:pPr>
        <w:ind w:left="9"/>
        <w:spacing w:after="0" w:line="258" w:lineRule="auto"/>
        <w:rPr>
          <w:sz w:val="20"/>
          <w:szCs w:val="20"/>
          <w:color w:val="auto"/>
        </w:rPr>
      </w:pPr>
      <w:r>
        <w:rPr>
          <w:rFonts w:ascii="Arial" w:cs="Arial" w:eastAsia="Arial" w:hAnsi="Arial"/>
          <w:sz w:val="18"/>
          <w:szCs w:val="18"/>
          <w:color w:val="auto"/>
        </w:rPr>
        <w:t xml:space="preserve">We cover up to </w:t>
      </w:r>
      <w:r>
        <w:rPr>
          <w:rFonts w:ascii="Arial" w:cs="Arial" w:eastAsia="Arial" w:hAnsi="Arial"/>
          <w:sz w:val="18"/>
          <w:szCs w:val="18"/>
          <w:b w:val="1"/>
          <w:bCs w:val="1"/>
          <w:color w:val="00004D"/>
        </w:rPr>
        <w:t>80% of</w:t>
      </w:r>
      <w:r>
        <w:rPr>
          <w:rFonts w:ascii="Arial" w:cs="Arial" w:eastAsia="Arial" w:hAnsi="Arial"/>
          <w:sz w:val="18"/>
          <w:szCs w:val="18"/>
          <w:color w:val="auto"/>
        </w:rPr>
        <w:t xml:space="preserve"> </w:t>
      </w:r>
      <w:r>
        <w:rPr>
          <w:rFonts w:ascii="Arial" w:cs="Arial" w:eastAsia="Arial" w:hAnsi="Arial"/>
          <w:sz w:val="18"/>
          <w:szCs w:val="18"/>
          <w:b w:val="1"/>
          <w:bCs w:val="1"/>
          <w:color w:val="00004D"/>
        </w:rPr>
        <w:t xml:space="preserve">patient Rx costs </w:t>
      </w:r>
      <w:r>
        <w:rPr>
          <w:rFonts w:ascii="Arial" w:cs="Arial" w:eastAsia="Arial" w:hAnsi="Arial"/>
          <w:sz w:val="18"/>
          <w:szCs w:val="18"/>
          <w:color w:val="000000"/>
        </w:rPr>
        <w:t>through</w:t>
      </w:r>
      <w:r>
        <w:rPr>
          <w:rFonts w:ascii="Arial" w:cs="Arial" w:eastAsia="Arial" w:hAnsi="Arial"/>
          <w:sz w:val="18"/>
          <w:szCs w:val="18"/>
          <w:b w:val="1"/>
          <w:bCs w:val="1"/>
          <w:color w:val="00004D"/>
        </w:rPr>
        <w:t xml:space="preserve"> </w:t>
      </w:r>
      <w:r>
        <w:rPr>
          <w:rFonts w:ascii="Arial" w:cs="Arial" w:eastAsia="Arial" w:hAnsi="Arial"/>
          <w:sz w:val="18"/>
          <w:szCs w:val="18"/>
          <w:color w:val="000000"/>
        </w:rPr>
        <w:t>coupons for our GI and oncology support brands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977900</wp:posOffset>
                </wp:positionH>
                <wp:positionV relativeFrom="paragraph">
                  <wp:posOffset>368935</wp:posOffset>
                </wp:positionV>
                <wp:extent cx="0" cy="185420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54200"/>
                        </a:xfrm>
                        <a:prstGeom prst="line">
                          <a:avLst/>
                        </a:prstGeom>
                        <a:solidFill>
                          <a:srgbClr val="FFFFFF"/>
                        </a:solidFill>
                        <a:ln w="6350">
                          <a:solidFill>
                            <a:srgbClr val="377FA7"/>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7pt,29.05pt" to="77pt,175.05pt" o:allowincell="f" strokecolor="#377FA7" strokeweight="0.5pt"/>
            </w:pict>
          </mc:Fallback>
        </mc:AlternateContent>
        <w:drawing>
          <wp:anchor simplePos="0" relativeHeight="251657728" behindDoc="1" locked="0" layoutInCell="0" allowOverlap="1">
            <wp:simplePos x="0" y="0"/>
            <wp:positionH relativeFrom="column">
              <wp:posOffset>-207645</wp:posOffset>
            </wp:positionH>
            <wp:positionV relativeFrom="paragraph">
              <wp:posOffset>194945</wp:posOffset>
            </wp:positionV>
            <wp:extent cx="676910" cy="899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7">
                      <a:extLst>
                        <a:ext uri="{28A0092B-C50C-407E-A947-70E740481C1C}"/>
                      </a:extLst>
                    </a:blip>
                    <a:srcRect/>
                    <a:stretch>
                      <a:fillRect/>
                    </a:stretch>
                  </pic:blipFill>
                  <pic:spPr bwMode="auto">
                    <a:xfrm>
                      <a:off x="0" y="0"/>
                      <a:ext cx="676910" cy="899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004D"/>
        </w:rPr>
        <w:t>Clinical Trials Safety</w:t>
      </w:r>
    </w:p>
    <w:p>
      <w:pPr>
        <w:spacing w:after="0" w:line="2" w:lineRule="exact"/>
        <w:rPr>
          <w:sz w:val="20"/>
          <w:szCs w:val="20"/>
          <w:color w:val="auto"/>
        </w:rPr>
      </w:pPr>
    </w:p>
    <w:p>
      <w:pPr>
        <w:ind w:right="880"/>
        <w:spacing w:after="0" w:line="290" w:lineRule="auto"/>
        <w:rPr>
          <w:sz w:val="20"/>
          <w:szCs w:val="20"/>
          <w:color w:val="auto"/>
        </w:rPr>
      </w:pPr>
      <w:r>
        <w:rPr>
          <w:rFonts w:ascii="Arial" w:cs="Arial" w:eastAsia="Arial" w:hAnsi="Arial"/>
          <w:sz w:val="18"/>
          <w:szCs w:val="18"/>
          <w:u w:val="single" w:color="auto"/>
          <w:color w:val="auto"/>
        </w:rPr>
        <w:t>No</w:t>
      </w:r>
      <w:r>
        <w:rPr>
          <w:rFonts w:ascii="Arial" w:cs="Arial" w:eastAsia="Arial" w:hAnsi="Arial"/>
          <w:sz w:val="18"/>
          <w:szCs w:val="18"/>
          <w:color w:val="auto"/>
        </w:rPr>
        <w:t xml:space="preserve"> trials terminated due to failure to practice good clinical standards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00004D"/>
        </w:rPr>
        <w:t>Advocacy Groups Supported</w:t>
      </w:r>
    </w:p>
    <w:p>
      <w:pPr>
        <w:spacing w:after="0" w:line="2" w:lineRule="exact"/>
        <w:rPr>
          <w:sz w:val="20"/>
          <w:szCs w:val="20"/>
          <w:color w:val="auto"/>
        </w:rPr>
      </w:pPr>
    </w:p>
    <w:p>
      <w:pPr>
        <w:ind w:left="140" w:hanging="135"/>
        <w:spacing w:after="0"/>
        <w:tabs>
          <w:tab w:leader="none" w:pos="140" w:val="left"/>
        </w:tabs>
        <w:numPr>
          <w:ilvl w:val="0"/>
          <w:numId w:val="6"/>
        </w:numPr>
        <w:rPr>
          <w:rFonts w:ascii="Arial" w:cs="Arial" w:eastAsia="Arial" w:hAnsi="Arial"/>
          <w:sz w:val="18"/>
          <w:szCs w:val="18"/>
          <w:color w:val="377FA7"/>
        </w:rPr>
      </w:pPr>
      <w:r>
        <w:rPr>
          <w:rFonts w:ascii="Arial" w:cs="Arial" w:eastAsia="Arial" w:hAnsi="Arial"/>
          <w:sz w:val="18"/>
          <w:szCs w:val="18"/>
          <w:color w:val="auto"/>
        </w:rPr>
        <w:t>Muscular Dystrophy Association</w:t>
      </w:r>
    </w:p>
    <w:p>
      <w:pPr>
        <w:spacing w:after="0" w:line="1" w:lineRule="exact"/>
        <w:rPr>
          <w:rFonts w:ascii="Arial" w:cs="Arial" w:eastAsia="Arial" w:hAnsi="Arial"/>
          <w:sz w:val="18"/>
          <w:szCs w:val="18"/>
          <w:color w:val="377FA7"/>
        </w:rPr>
      </w:pPr>
    </w:p>
    <w:p>
      <w:pPr>
        <w:ind w:left="140" w:hanging="135"/>
        <w:spacing w:after="0"/>
        <w:tabs>
          <w:tab w:leader="none" w:pos="140" w:val="left"/>
        </w:tabs>
        <w:numPr>
          <w:ilvl w:val="0"/>
          <w:numId w:val="6"/>
        </w:numPr>
        <w:rPr>
          <w:rFonts w:ascii="Arial" w:cs="Arial" w:eastAsia="Arial" w:hAnsi="Arial"/>
          <w:sz w:val="18"/>
          <w:szCs w:val="18"/>
          <w:color w:val="377FA7"/>
        </w:rPr>
      </w:pPr>
      <w:r>
        <w:rPr>
          <w:rFonts w:ascii="Arial" w:cs="Arial" w:eastAsia="Arial" w:hAnsi="Arial"/>
          <w:sz w:val="18"/>
          <w:szCs w:val="18"/>
          <w:color w:val="auto"/>
        </w:rPr>
        <w:t>Parent Project Muscular Dystrophy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883920</wp:posOffset>
            </wp:positionV>
            <wp:extent cx="2623820" cy="9817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8">
                      <a:extLst>
                        <a:ext uri="{28A0092B-C50C-407E-A947-70E740481C1C}"/>
                      </a:extLst>
                    </a:blip>
                    <a:srcRect/>
                    <a:stretch>
                      <a:fillRect/>
                    </a:stretch>
                  </pic:blipFill>
                  <pic:spPr bwMode="auto">
                    <a:xfrm>
                      <a:off x="0" y="0"/>
                      <a:ext cx="2623820" cy="981710"/>
                    </a:xfrm>
                    <a:prstGeom prst="rect">
                      <a:avLst/>
                    </a:prstGeom>
                    <a:noFill/>
                  </pic:spPr>
                </pic:pic>
              </a:graphicData>
            </a:graphic>
          </wp:anchor>
        </w:drawing>
      </w:r>
    </w:p>
    <w:p>
      <w:pPr>
        <w:spacing w:after="0" w:line="1277" w:lineRule="exact"/>
        <w:rPr>
          <w:sz w:val="20"/>
          <w:szCs w:val="20"/>
          <w:color w:val="auto"/>
        </w:rPr>
      </w:pPr>
    </w:p>
    <w:p>
      <w:pPr>
        <w:sectPr>
          <w:pgSz w:w="12240" w:h="15840" w:orient="portrait"/>
          <w:cols w:equalWidth="0" w:num="3">
            <w:col w:w="4391" w:space="720"/>
            <w:col w:w="2129" w:space="540"/>
            <w:col w:w="3820"/>
          </w:cols>
          <w:pgMar w:left="640" w:top="664" w:right="0" w:bottom="0" w:gutter="0" w:footer="0" w:header="0"/>
          <w:type w:val="continuous"/>
        </w:sectPr>
      </w:pPr>
    </w:p>
    <w:p>
      <w:pPr>
        <w:spacing w:after="0" w:line="365" w:lineRule="exact"/>
        <w:rPr>
          <w:sz w:val="20"/>
          <w:szCs w:val="20"/>
          <w:color w:val="auto"/>
        </w:rPr>
      </w:pPr>
    </w:p>
    <w:p>
      <w:pPr>
        <w:ind w:left="60"/>
        <w:spacing w:after="0"/>
        <w:rPr>
          <w:sz w:val="20"/>
          <w:szCs w:val="20"/>
          <w:color w:val="auto"/>
        </w:rPr>
      </w:pPr>
      <w:r>
        <w:rPr>
          <w:rFonts w:ascii="Arial" w:cs="Arial" w:eastAsia="Arial" w:hAnsi="Arial"/>
          <w:sz w:val="31"/>
          <w:szCs w:val="31"/>
          <w:b w:val="1"/>
          <w:bCs w:val="1"/>
          <w:color w:val="377FA7"/>
        </w:rPr>
        <w:t>GOVERNANCE</w:t>
      </w:r>
    </w:p>
    <w:p>
      <w:pPr>
        <w:ind w:left="60"/>
        <w:spacing w:after="0"/>
        <w:rPr>
          <w:sz w:val="20"/>
          <w:szCs w:val="20"/>
          <w:color w:val="auto"/>
        </w:rPr>
      </w:pPr>
      <w:r>
        <w:rPr>
          <w:rFonts w:ascii="Arial" w:cs="Arial" w:eastAsia="Arial" w:hAnsi="Arial"/>
          <w:sz w:val="20"/>
          <w:szCs w:val="20"/>
          <w:b w:val="1"/>
          <w:bCs w:val="1"/>
          <w:color w:val="00004D"/>
        </w:rPr>
        <w:t>Board</w:t>
      </w:r>
    </w:p>
    <w:p>
      <w:pPr>
        <w:spacing w:after="0" w:line="316" w:lineRule="exact"/>
        <w:rPr>
          <w:sz w:val="20"/>
          <w:szCs w:val="20"/>
          <w:color w:val="auto"/>
        </w:rPr>
      </w:pPr>
    </w:p>
    <w:p>
      <w:pPr>
        <w:ind w:left="60"/>
        <w:spacing w:after="0" w:line="511" w:lineRule="auto"/>
        <w:rPr>
          <w:sz w:val="20"/>
          <w:szCs w:val="20"/>
          <w:color w:val="auto"/>
        </w:rPr>
      </w:pPr>
      <w:r>
        <w:rPr>
          <w:rFonts w:ascii="Arial" w:cs="Arial" w:eastAsia="Arial" w:hAnsi="Arial"/>
          <w:sz w:val="18"/>
          <w:szCs w:val="18"/>
          <w:b w:val="1"/>
          <w:bCs w:val="1"/>
          <w:color w:val="auto"/>
        </w:rPr>
        <w:t xml:space="preserve">Independent – </w:t>
      </w:r>
      <w:r>
        <w:rPr>
          <w:rFonts w:ascii="Arial" w:cs="Arial" w:eastAsia="Arial" w:hAnsi="Arial"/>
          <w:sz w:val="18"/>
          <w:szCs w:val="18"/>
          <w:b w:val="1"/>
          <w:bCs w:val="1"/>
          <w:color w:val="00004D"/>
        </w:rPr>
        <w:t>6 of 7</w:t>
      </w:r>
      <w:r>
        <w:rPr>
          <w:rFonts w:ascii="Arial" w:cs="Arial" w:eastAsia="Arial" w:hAnsi="Arial"/>
          <w:sz w:val="18"/>
          <w:szCs w:val="18"/>
          <w:b w:val="1"/>
          <w:bCs w:val="1"/>
          <w:color w:val="auto"/>
        </w:rPr>
        <w:t xml:space="preserve"> Tenure – </w:t>
      </w:r>
      <w:r>
        <w:rPr>
          <w:rFonts w:ascii="Arial" w:cs="Arial" w:eastAsia="Arial" w:hAnsi="Arial"/>
          <w:sz w:val="18"/>
          <w:szCs w:val="18"/>
          <w:b w:val="1"/>
          <w:bCs w:val="1"/>
          <w:color w:val="00004D"/>
        </w:rPr>
        <w:t>Average 10.8 years</w:t>
      </w:r>
      <w:r>
        <w:rPr>
          <w:rFonts w:ascii="Arial" w:cs="Arial" w:eastAsia="Arial" w:hAnsi="Arial"/>
          <w:sz w:val="18"/>
          <w:szCs w:val="18"/>
          <w:b w:val="1"/>
          <w:bCs w:val="1"/>
          <w:color w:val="auto"/>
        </w:rPr>
        <w:t xml:space="preserve"> Age – </w:t>
      </w:r>
      <w:r>
        <w:rPr>
          <w:rFonts w:ascii="Arial" w:cs="Arial" w:eastAsia="Arial" w:hAnsi="Arial"/>
          <w:sz w:val="18"/>
          <w:szCs w:val="18"/>
          <w:b w:val="1"/>
          <w:bCs w:val="1"/>
          <w:color w:val="00004D"/>
        </w:rPr>
        <w:t>Average 67 years</w:t>
      </w:r>
      <w:r>
        <w:rPr>
          <w:rFonts w:ascii="Arial" w:cs="Arial" w:eastAsia="Arial" w:hAnsi="Arial"/>
          <w:sz w:val="18"/>
          <w:szCs w:val="18"/>
          <w:b w:val="1"/>
          <w:bCs w:val="1"/>
          <w:color w:val="auto"/>
        </w:rPr>
        <w:t xml:space="preserve"> Male/ Female </w:t>
      </w:r>
      <w:r>
        <w:rPr>
          <w:rFonts w:ascii="Arial" w:cs="Arial" w:eastAsia="Arial" w:hAnsi="Arial"/>
          <w:sz w:val="18"/>
          <w:szCs w:val="18"/>
          <w:b w:val="1"/>
          <w:bCs w:val="1"/>
          <w:color w:val="00004D"/>
        </w:rPr>
        <w:t>– 6/1</w:t>
      </w:r>
      <w:r>
        <w:rPr>
          <w:rFonts w:ascii="Arial" w:cs="Arial" w:eastAsia="Arial" w:hAnsi="Arial"/>
          <w:sz w:val="18"/>
          <w:szCs w:val="18"/>
          <w:b w:val="1"/>
          <w:bCs w:val="1"/>
          <w:color w:val="auto"/>
        </w:rPr>
        <w:t xml:space="preserve"> Turnover </w:t>
      </w:r>
      <w:r>
        <w:rPr>
          <w:rFonts w:ascii="Arial" w:cs="Arial" w:eastAsia="Arial" w:hAnsi="Arial"/>
          <w:sz w:val="18"/>
          <w:szCs w:val="18"/>
          <w:b w:val="1"/>
          <w:bCs w:val="1"/>
          <w:color w:val="00004D"/>
        </w:rPr>
        <w:t>– None</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939"/>
        </w:trPr>
        <w:tc>
          <w:tcPr>
            <w:tcW w:w="1320" w:type="dxa"/>
            <w:vAlign w:val="bottom"/>
            <w:tcBorders>
              <w:right w:val="single" w:sz="8" w:color="377FA7"/>
            </w:tcBorders>
          </w:tcPr>
          <w:p>
            <w:pPr>
              <w:ind w:left="20"/>
              <w:spacing w:after="0"/>
              <w:rPr>
                <w:sz w:val="20"/>
                <w:szCs w:val="20"/>
                <w:color w:val="auto"/>
              </w:rPr>
            </w:pPr>
            <w:r>
              <w:rPr>
                <w:rFonts w:ascii="Arial" w:cs="Arial" w:eastAsia="Arial" w:hAnsi="Arial"/>
                <w:sz w:val="18"/>
                <w:szCs w:val="18"/>
                <w:b w:val="1"/>
                <w:bCs w:val="1"/>
                <w:color w:val="00004D"/>
              </w:rPr>
              <w:t>Board</w:t>
            </w:r>
          </w:p>
        </w:tc>
        <w:tc>
          <w:tcPr>
            <w:tcW w:w="1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320" w:type="dxa"/>
            <w:vAlign w:val="bottom"/>
            <w:tcBorders>
              <w:right w:val="single" w:sz="8" w:color="377FA7"/>
            </w:tcBorders>
          </w:tcPr>
          <w:p>
            <w:pPr>
              <w:ind w:left="20"/>
              <w:spacing w:after="0" w:line="182" w:lineRule="exact"/>
              <w:rPr>
                <w:sz w:val="20"/>
                <w:szCs w:val="20"/>
                <w:color w:val="auto"/>
              </w:rPr>
            </w:pPr>
            <w:r>
              <w:rPr>
                <w:rFonts w:ascii="Arial" w:cs="Arial" w:eastAsia="Arial" w:hAnsi="Arial"/>
                <w:sz w:val="18"/>
                <w:szCs w:val="18"/>
                <w:b w:val="1"/>
                <w:bCs w:val="1"/>
                <w:color w:val="00004D"/>
              </w:rPr>
              <w:t>Meeting</w:t>
            </w:r>
          </w:p>
        </w:tc>
        <w:tc>
          <w:tcPr>
            <w:tcW w:w="180" w:type="dxa"/>
            <w:vAlign w:val="bottom"/>
          </w:tcPr>
          <w:p>
            <w:pPr>
              <w:spacing w:after="0"/>
              <w:rPr>
                <w:sz w:val="15"/>
                <w:szCs w:val="15"/>
                <w:color w:val="auto"/>
              </w:rPr>
            </w:pPr>
          </w:p>
        </w:tc>
        <w:tc>
          <w:tcPr>
            <w:tcW w:w="2300" w:type="dxa"/>
            <w:vAlign w:val="bottom"/>
            <w:vMerge w:val="restart"/>
          </w:tcPr>
          <w:p>
            <w:pPr>
              <w:spacing w:after="0"/>
              <w:rPr>
                <w:sz w:val="20"/>
                <w:szCs w:val="20"/>
                <w:color w:val="auto"/>
              </w:rPr>
            </w:pPr>
            <w:r>
              <w:rPr>
                <w:rFonts w:ascii="Arial" w:cs="Arial" w:eastAsia="Arial" w:hAnsi="Arial"/>
                <w:sz w:val="31"/>
                <w:szCs w:val="31"/>
                <w:b w:val="1"/>
                <w:bCs w:val="1"/>
                <w:color w:val="377FA7"/>
              </w:rPr>
              <w:t>GOVERNANCE</w:t>
            </w:r>
          </w:p>
        </w:tc>
        <w:tc>
          <w:tcPr>
            <w:tcW w:w="0" w:type="dxa"/>
            <w:vAlign w:val="bottom"/>
          </w:tcPr>
          <w:p>
            <w:pPr>
              <w:spacing w:after="0"/>
              <w:rPr>
                <w:sz w:val="1"/>
                <w:szCs w:val="1"/>
                <w:color w:val="auto"/>
              </w:rPr>
            </w:pPr>
          </w:p>
        </w:tc>
      </w:tr>
      <w:tr>
        <w:trPr>
          <w:trHeight w:val="269"/>
        </w:trPr>
        <w:tc>
          <w:tcPr>
            <w:tcW w:w="1320" w:type="dxa"/>
            <w:vAlign w:val="bottom"/>
            <w:tcBorders>
              <w:right w:val="single" w:sz="8" w:color="377FA7"/>
            </w:tcBorders>
          </w:tcPr>
          <w:p>
            <w:pPr>
              <w:ind w:left="20"/>
              <w:spacing w:after="0"/>
              <w:rPr>
                <w:sz w:val="20"/>
                <w:szCs w:val="20"/>
                <w:color w:val="auto"/>
              </w:rPr>
            </w:pPr>
            <w:r>
              <w:rPr>
                <w:rFonts w:ascii="Arial" w:cs="Arial" w:eastAsia="Arial" w:hAnsi="Arial"/>
                <w:sz w:val="18"/>
                <w:szCs w:val="18"/>
                <w:b w:val="1"/>
                <w:bCs w:val="1"/>
                <w:color w:val="00004D"/>
              </w:rPr>
              <w:t>Attendance</w:t>
            </w:r>
          </w:p>
        </w:tc>
        <w:tc>
          <w:tcPr>
            <w:tcW w:w="180" w:type="dxa"/>
            <w:vAlign w:val="bottom"/>
          </w:tcPr>
          <w:p>
            <w:pPr>
              <w:spacing w:after="0"/>
              <w:rPr>
                <w:sz w:val="23"/>
                <w:szCs w:val="23"/>
                <w:color w:val="auto"/>
              </w:rPr>
            </w:pPr>
          </w:p>
        </w:tc>
        <w:tc>
          <w:tcPr>
            <w:tcW w:w="23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67"/>
        </w:trPr>
        <w:tc>
          <w:tcPr>
            <w:tcW w:w="1320" w:type="dxa"/>
            <w:vAlign w:val="bottom"/>
            <w:tcBorders>
              <w:right w:val="single" w:sz="8" w:color="377FA7"/>
            </w:tcBorders>
          </w:tcPr>
          <w:p>
            <w:pPr>
              <w:spacing w:after="0" w:line="367" w:lineRule="exact"/>
              <w:rPr>
                <w:sz w:val="20"/>
                <w:szCs w:val="20"/>
                <w:color w:val="auto"/>
              </w:rPr>
            </w:pPr>
            <w:r>
              <w:rPr>
                <w:rFonts w:ascii="Arial" w:cs="Arial" w:eastAsia="Arial" w:hAnsi="Arial"/>
                <w:sz w:val="42"/>
                <w:szCs w:val="42"/>
                <w:b w:val="1"/>
                <w:bCs w:val="1"/>
                <w:color w:val="377FA7"/>
              </w:rPr>
              <w:t>100</w:t>
            </w:r>
            <w:r>
              <w:rPr>
                <w:rFonts w:ascii="Arial" w:cs="Arial" w:eastAsia="Arial" w:hAnsi="Arial"/>
                <w:sz w:val="28"/>
                <w:szCs w:val="28"/>
                <w:color w:val="00004D"/>
              </w:rPr>
              <w:t>%</w:t>
            </w:r>
          </w:p>
        </w:tc>
        <w:tc>
          <w:tcPr>
            <w:tcW w:w="180" w:type="dxa"/>
            <w:vAlign w:val="bottom"/>
          </w:tcPr>
          <w:p>
            <w:pPr>
              <w:spacing w:after="0"/>
              <w:rPr>
                <w:sz w:val="24"/>
                <w:szCs w:val="24"/>
                <w:color w:val="auto"/>
              </w:rPr>
            </w:pPr>
          </w:p>
        </w:tc>
        <w:tc>
          <w:tcPr>
            <w:tcW w:w="2300" w:type="dxa"/>
            <w:vAlign w:val="bottom"/>
            <w:tcBorders>
              <w:bottom w:val="single" w:sz="8" w:color="377FA7"/>
            </w:tcBorders>
          </w:tcPr>
          <w:p>
            <w:pPr>
              <w:spacing w:after="0"/>
              <w:rPr>
                <w:sz w:val="20"/>
                <w:szCs w:val="20"/>
                <w:color w:val="auto"/>
              </w:rPr>
            </w:pPr>
            <w:r>
              <w:rPr>
                <w:rFonts w:ascii="Arial" w:cs="Arial" w:eastAsia="Arial" w:hAnsi="Arial"/>
                <w:sz w:val="20"/>
                <w:szCs w:val="20"/>
                <w:b w:val="1"/>
                <w:bCs w:val="1"/>
                <w:color w:val="00004D"/>
              </w:rPr>
              <w:t>Government Relations</w:t>
            </w:r>
          </w:p>
        </w:tc>
        <w:tc>
          <w:tcPr>
            <w:tcW w:w="0" w:type="dxa"/>
            <w:vAlign w:val="bottom"/>
          </w:tcPr>
          <w:p>
            <w:pPr>
              <w:spacing w:after="0"/>
              <w:rPr>
                <w:sz w:val="1"/>
                <w:szCs w:val="1"/>
                <w:color w:val="auto"/>
              </w:rPr>
            </w:pPr>
          </w:p>
        </w:tc>
      </w:tr>
      <w:tr>
        <w:trPr>
          <w:trHeight w:val="278"/>
        </w:trPr>
        <w:tc>
          <w:tcPr>
            <w:tcW w:w="1320" w:type="dxa"/>
            <w:vAlign w:val="bottom"/>
            <w:tcBorders>
              <w:right w:val="single" w:sz="8" w:color="377FA7"/>
            </w:tcBorders>
          </w:tcPr>
          <w:p>
            <w:pPr>
              <w:ind w:left="20"/>
              <w:spacing w:after="0"/>
              <w:rPr>
                <w:sz w:val="20"/>
                <w:szCs w:val="20"/>
                <w:color w:val="auto"/>
              </w:rPr>
            </w:pPr>
            <w:r>
              <w:rPr>
                <w:rFonts w:ascii="Arial" w:cs="Arial" w:eastAsia="Arial" w:hAnsi="Arial"/>
                <w:sz w:val="18"/>
                <w:szCs w:val="18"/>
                <w:b w:val="1"/>
                <w:bCs w:val="1"/>
                <w:color w:val="00004D"/>
              </w:rPr>
              <w:t>Standing</w:t>
            </w:r>
          </w:p>
        </w:tc>
        <w:tc>
          <w:tcPr>
            <w:tcW w:w="18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21"/>
                <w:szCs w:val="21"/>
                <w:b w:val="1"/>
                <w:bCs w:val="1"/>
                <w:color w:val="00004D"/>
              </w:rPr>
              <w:t>Cumberland Health</w:t>
            </w:r>
          </w:p>
        </w:tc>
        <w:tc>
          <w:tcPr>
            <w:tcW w:w="0" w:type="dxa"/>
            <w:vAlign w:val="bottom"/>
          </w:tcPr>
          <w:p>
            <w:pPr>
              <w:spacing w:after="0"/>
              <w:rPr>
                <w:sz w:val="1"/>
                <w:szCs w:val="1"/>
                <w:color w:val="auto"/>
              </w:rPr>
            </w:pPr>
          </w:p>
        </w:tc>
      </w:tr>
      <w:tr>
        <w:trPr>
          <w:trHeight w:val="204"/>
        </w:trPr>
        <w:tc>
          <w:tcPr>
            <w:tcW w:w="1320" w:type="dxa"/>
            <w:vAlign w:val="bottom"/>
            <w:tcBorders>
              <w:right w:val="single" w:sz="8" w:color="377FA7"/>
            </w:tcBorders>
          </w:tcPr>
          <w:p>
            <w:pPr>
              <w:ind w:left="20"/>
              <w:spacing w:after="0" w:line="204" w:lineRule="exact"/>
              <w:rPr>
                <w:sz w:val="20"/>
                <w:szCs w:val="20"/>
                <w:color w:val="auto"/>
              </w:rPr>
            </w:pPr>
            <w:r>
              <w:rPr>
                <w:rFonts w:ascii="Arial" w:cs="Arial" w:eastAsia="Arial" w:hAnsi="Arial"/>
                <w:sz w:val="18"/>
                <w:szCs w:val="18"/>
                <w:b w:val="1"/>
                <w:bCs w:val="1"/>
                <w:color w:val="00004D"/>
              </w:rPr>
              <w:t>Committee</w:t>
            </w:r>
          </w:p>
        </w:tc>
        <w:tc>
          <w:tcPr>
            <w:tcW w:w="180" w:type="dxa"/>
            <w:vAlign w:val="bottom"/>
          </w:tcPr>
          <w:p>
            <w:pPr>
              <w:spacing w:after="0"/>
              <w:rPr>
                <w:sz w:val="17"/>
                <w:szCs w:val="17"/>
                <w:color w:val="auto"/>
              </w:rPr>
            </w:pPr>
          </w:p>
        </w:tc>
        <w:tc>
          <w:tcPr>
            <w:tcW w:w="2300" w:type="dxa"/>
            <w:vAlign w:val="bottom"/>
          </w:tcPr>
          <w:p>
            <w:pPr>
              <w:spacing w:after="0" w:line="204" w:lineRule="exact"/>
              <w:rPr>
                <w:sz w:val="20"/>
                <w:szCs w:val="20"/>
                <w:color w:val="auto"/>
              </w:rPr>
            </w:pPr>
            <w:r>
              <w:rPr>
                <w:rFonts w:ascii="Arial" w:cs="Arial" w:eastAsia="Arial" w:hAnsi="Arial"/>
                <w:sz w:val="21"/>
                <w:szCs w:val="21"/>
                <w:b w:val="1"/>
                <w:bCs w:val="1"/>
                <w:color w:val="00004D"/>
              </w:rPr>
              <w:t>&amp; Wellness PAC</w:t>
            </w:r>
          </w:p>
        </w:tc>
        <w:tc>
          <w:tcPr>
            <w:tcW w:w="0" w:type="dxa"/>
            <w:vAlign w:val="bottom"/>
          </w:tcPr>
          <w:p>
            <w:pPr>
              <w:spacing w:after="0"/>
              <w:rPr>
                <w:sz w:val="1"/>
                <w:szCs w:val="1"/>
                <w:color w:val="auto"/>
              </w:rPr>
            </w:pPr>
          </w:p>
        </w:tc>
      </w:tr>
      <w:tr>
        <w:trPr>
          <w:trHeight w:val="204"/>
        </w:trPr>
        <w:tc>
          <w:tcPr>
            <w:tcW w:w="1320" w:type="dxa"/>
            <w:vAlign w:val="bottom"/>
            <w:tcBorders>
              <w:right w:val="single" w:sz="8" w:color="377FA7"/>
            </w:tcBorders>
          </w:tcPr>
          <w:p>
            <w:pPr>
              <w:ind w:left="20"/>
              <w:spacing w:after="0" w:line="204" w:lineRule="exact"/>
              <w:rPr>
                <w:sz w:val="20"/>
                <w:szCs w:val="20"/>
                <w:color w:val="auto"/>
              </w:rPr>
            </w:pPr>
            <w:r>
              <w:rPr>
                <w:rFonts w:ascii="Arial" w:cs="Arial" w:eastAsia="Arial" w:hAnsi="Arial"/>
                <w:sz w:val="18"/>
                <w:szCs w:val="18"/>
                <w:b w:val="1"/>
                <w:bCs w:val="1"/>
                <w:color w:val="00004D"/>
              </w:rPr>
              <w:t>Attendance</w:t>
            </w:r>
          </w:p>
        </w:tc>
        <w:tc>
          <w:tcPr>
            <w:tcW w:w="180" w:type="dxa"/>
            <w:vAlign w:val="bottom"/>
          </w:tcPr>
          <w:p>
            <w:pPr>
              <w:spacing w:after="0"/>
              <w:rPr>
                <w:sz w:val="17"/>
                <w:szCs w:val="17"/>
                <w:color w:val="auto"/>
              </w:rPr>
            </w:pPr>
          </w:p>
        </w:tc>
        <w:tc>
          <w:tcPr>
            <w:tcW w:w="2300" w:type="dxa"/>
            <w:vAlign w:val="bottom"/>
          </w:tcPr>
          <w:p>
            <w:pPr>
              <w:spacing w:after="0" w:line="204" w:lineRule="exact"/>
              <w:rPr>
                <w:sz w:val="20"/>
                <w:szCs w:val="20"/>
                <w:color w:val="auto"/>
              </w:rPr>
            </w:pPr>
            <w:r>
              <w:rPr>
                <w:rFonts w:ascii="Arial" w:cs="Arial" w:eastAsia="Arial" w:hAnsi="Arial"/>
                <w:sz w:val="18"/>
                <w:szCs w:val="18"/>
                <w:color w:val="auto"/>
              </w:rPr>
              <w:t>Supports candidates,</w:t>
            </w:r>
          </w:p>
        </w:tc>
        <w:tc>
          <w:tcPr>
            <w:tcW w:w="0" w:type="dxa"/>
            <w:vAlign w:val="bottom"/>
          </w:tcPr>
          <w:p>
            <w:pPr>
              <w:spacing w:after="0"/>
              <w:rPr>
                <w:sz w:val="1"/>
                <w:szCs w:val="1"/>
                <w:color w:val="auto"/>
              </w:rPr>
            </w:pPr>
          </w:p>
        </w:tc>
      </w:tr>
      <w:tr>
        <w:trPr>
          <w:trHeight w:val="205"/>
        </w:trPr>
        <w:tc>
          <w:tcPr>
            <w:tcW w:w="1320" w:type="dxa"/>
            <w:vAlign w:val="bottom"/>
            <w:tcBorders>
              <w:right w:val="single" w:sz="8" w:color="377FA7"/>
            </w:tcBorders>
            <w:vMerge w:val="restart"/>
          </w:tcPr>
          <w:p>
            <w:pPr>
              <w:spacing w:after="0" w:line="456" w:lineRule="exact"/>
              <w:rPr>
                <w:sz w:val="20"/>
                <w:szCs w:val="20"/>
                <w:color w:val="auto"/>
              </w:rPr>
            </w:pPr>
            <w:r>
              <w:rPr>
                <w:rFonts w:ascii="Arial" w:cs="Arial" w:eastAsia="Arial" w:hAnsi="Arial"/>
                <w:sz w:val="52"/>
                <w:szCs w:val="52"/>
                <w:b w:val="1"/>
                <w:bCs w:val="1"/>
                <w:color w:val="377FA7"/>
              </w:rPr>
              <w:t>100</w:t>
            </w:r>
            <w:r>
              <w:rPr>
                <w:rFonts w:ascii="Arial" w:cs="Arial" w:eastAsia="Arial" w:hAnsi="Arial"/>
                <w:sz w:val="32"/>
                <w:szCs w:val="32"/>
                <w:color w:val="00004D"/>
              </w:rPr>
              <w:t>%</w:t>
            </w:r>
          </w:p>
        </w:tc>
        <w:tc>
          <w:tcPr>
            <w:tcW w:w="180" w:type="dxa"/>
            <w:vAlign w:val="bottom"/>
          </w:tcPr>
          <w:p>
            <w:pPr>
              <w:spacing w:after="0"/>
              <w:rPr>
                <w:sz w:val="17"/>
                <w:szCs w:val="17"/>
                <w:color w:val="auto"/>
              </w:rPr>
            </w:pPr>
          </w:p>
        </w:tc>
        <w:tc>
          <w:tcPr>
            <w:tcW w:w="2300" w:type="dxa"/>
            <w:vAlign w:val="bottom"/>
          </w:tcPr>
          <w:p>
            <w:pPr>
              <w:spacing w:after="0" w:line="205" w:lineRule="exact"/>
              <w:rPr>
                <w:sz w:val="20"/>
                <w:szCs w:val="20"/>
                <w:color w:val="auto"/>
              </w:rPr>
            </w:pPr>
            <w:r>
              <w:rPr>
                <w:rFonts w:ascii="Arial" w:cs="Arial" w:eastAsia="Arial" w:hAnsi="Arial"/>
                <w:sz w:val="18"/>
                <w:szCs w:val="18"/>
                <w:color w:val="auto"/>
              </w:rPr>
              <w:t>elected officials and</w:t>
            </w:r>
          </w:p>
        </w:tc>
        <w:tc>
          <w:tcPr>
            <w:tcW w:w="0" w:type="dxa"/>
            <w:vAlign w:val="bottom"/>
          </w:tcPr>
          <w:p>
            <w:pPr>
              <w:spacing w:after="0"/>
              <w:rPr>
                <w:sz w:val="1"/>
                <w:szCs w:val="1"/>
                <w:color w:val="auto"/>
              </w:rPr>
            </w:pPr>
          </w:p>
        </w:tc>
      </w:tr>
      <w:tr>
        <w:trPr>
          <w:trHeight w:val="252"/>
        </w:trPr>
        <w:tc>
          <w:tcPr>
            <w:tcW w:w="1320" w:type="dxa"/>
            <w:vAlign w:val="bottom"/>
            <w:tcBorders>
              <w:right w:val="single" w:sz="8" w:color="377FA7"/>
            </w:tcBorders>
            <w:vMerge w:val="continue"/>
          </w:tcPr>
          <w:p>
            <w:pPr>
              <w:spacing w:after="0"/>
              <w:rPr>
                <w:sz w:val="21"/>
                <w:szCs w:val="21"/>
                <w:color w:val="auto"/>
              </w:rPr>
            </w:pPr>
          </w:p>
        </w:tc>
        <w:tc>
          <w:tcPr>
            <w:tcW w:w="180" w:type="dxa"/>
            <w:vAlign w:val="bottom"/>
          </w:tcPr>
          <w:p>
            <w:pPr>
              <w:spacing w:after="0"/>
              <w:rPr>
                <w:sz w:val="21"/>
                <w:szCs w:val="21"/>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relevant legislation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Arial" w:cs="Arial" w:eastAsia="Arial" w:hAnsi="Arial"/>
          <w:sz w:val="31"/>
          <w:szCs w:val="31"/>
          <w:b w:val="1"/>
          <w:bCs w:val="1"/>
          <w:color w:val="377FA7"/>
        </w:rPr>
        <w:t>GOVERNANCE</w:t>
      </w:r>
    </w:p>
    <w:p>
      <w:pPr>
        <w:spacing w:after="0"/>
        <w:rPr>
          <w:sz w:val="20"/>
          <w:szCs w:val="20"/>
          <w:color w:val="auto"/>
        </w:rPr>
      </w:pPr>
      <w:r>
        <w:rPr>
          <w:rFonts w:ascii="Arial" w:cs="Arial" w:eastAsia="Arial" w:hAnsi="Arial"/>
          <w:sz w:val="21"/>
          <w:szCs w:val="21"/>
          <w:b w:val="1"/>
          <w:bCs w:val="1"/>
          <w:color w:val="00004D"/>
        </w:rPr>
        <w:t>Compliance</w:t>
      </w:r>
    </w:p>
    <w:p>
      <w:pPr>
        <w:spacing w:after="0" w:line="282" w:lineRule="exact"/>
        <w:rPr>
          <w:sz w:val="20"/>
          <w:szCs w:val="20"/>
          <w:color w:val="auto"/>
        </w:rPr>
      </w:pPr>
    </w:p>
    <w:p>
      <w:pPr>
        <w:spacing w:after="0"/>
        <w:rPr>
          <w:sz w:val="20"/>
          <w:szCs w:val="20"/>
          <w:color w:val="auto"/>
        </w:rPr>
      </w:pPr>
      <w:r>
        <w:rPr>
          <w:rFonts w:ascii="Arial" w:cs="Arial" w:eastAsia="Arial" w:hAnsi="Arial"/>
          <w:sz w:val="21"/>
          <w:szCs w:val="21"/>
          <w:b w:val="1"/>
          <w:bCs w:val="1"/>
          <w:color w:val="00004D"/>
        </w:rPr>
        <w:t>Code of Conduct</w:t>
      </w:r>
    </w:p>
    <w:p>
      <w:pPr>
        <w:ind w:right="2020"/>
        <w:spacing w:after="0" w:line="257" w:lineRule="auto"/>
        <w:rPr>
          <w:sz w:val="20"/>
          <w:szCs w:val="20"/>
          <w:color w:val="auto"/>
        </w:rPr>
      </w:pPr>
      <w:r>
        <w:rPr>
          <w:rFonts w:ascii="Arial" w:cs="Arial" w:eastAsia="Arial" w:hAnsi="Arial"/>
          <w:sz w:val="18"/>
          <w:szCs w:val="18"/>
          <w:color w:val="auto"/>
        </w:rPr>
        <w:t>Establishes guidelines for all Board members and employees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96520</wp:posOffset>
                </wp:positionV>
                <wp:extent cx="246316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63165" cy="4763"/>
                        </a:xfrm>
                        <a:prstGeom prst="line">
                          <a:avLst/>
                        </a:prstGeom>
                        <a:solidFill>
                          <a:srgbClr val="FFFFFF"/>
                        </a:solidFill>
                        <a:ln w="6350">
                          <a:solidFill>
                            <a:srgbClr val="377FA7"/>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7.6pt" to="194.2pt,7.6pt" o:allowincell="f" strokecolor="#377FA7" strokeweight="0.5pt"/>
            </w:pict>
          </mc:Fallback>
        </mc:AlternateConten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55"/>
        </w:trPr>
        <w:tc>
          <w:tcPr>
            <w:tcW w:w="1860" w:type="dxa"/>
            <w:vAlign w:val="bottom"/>
            <w:vMerge w:val="restart"/>
          </w:tcPr>
          <w:p>
            <w:pPr>
              <w:spacing w:after="0"/>
              <w:rPr>
                <w:sz w:val="20"/>
                <w:szCs w:val="20"/>
                <w:color w:val="auto"/>
              </w:rPr>
            </w:pPr>
            <w:r>
              <w:rPr>
                <w:rFonts w:ascii="Arial" w:cs="Arial" w:eastAsia="Arial" w:hAnsi="Arial"/>
                <w:sz w:val="21"/>
                <w:szCs w:val="21"/>
                <w:b w:val="1"/>
                <w:bCs w:val="1"/>
                <w:color w:val="00004D"/>
              </w:rPr>
              <w:t>Ethical Marketing</w:t>
            </w:r>
          </w:p>
        </w:tc>
        <w:tc>
          <w:tcPr>
            <w:tcW w:w="20" w:type="dxa"/>
            <w:vAlign w:val="bottom"/>
          </w:tcPr>
          <w:p>
            <w:pPr>
              <w:spacing w:after="0"/>
              <w:rPr>
                <w:sz w:val="4"/>
                <w:szCs w:val="4"/>
                <w:color w:val="auto"/>
              </w:rPr>
            </w:pPr>
          </w:p>
        </w:tc>
        <w:tc>
          <w:tcPr>
            <w:tcW w:w="282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00004D"/>
              </w:rPr>
              <w:t>Health Care</w:t>
            </w:r>
          </w:p>
        </w:tc>
        <w:tc>
          <w:tcPr>
            <w:tcW w:w="0" w:type="dxa"/>
            <w:vAlign w:val="bottom"/>
          </w:tcPr>
          <w:p>
            <w:pPr>
              <w:spacing w:after="0"/>
              <w:rPr>
                <w:sz w:val="1"/>
                <w:szCs w:val="1"/>
                <w:color w:val="auto"/>
              </w:rPr>
            </w:pPr>
          </w:p>
        </w:tc>
      </w:tr>
      <w:tr>
        <w:trPr>
          <w:trHeight w:val="186"/>
        </w:trPr>
        <w:tc>
          <w:tcPr>
            <w:tcW w:w="1860" w:type="dxa"/>
            <w:vAlign w:val="bottom"/>
            <w:vMerge w:val="continue"/>
          </w:tcPr>
          <w:p>
            <w:pPr>
              <w:spacing w:after="0"/>
              <w:rPr>
                <w:sz w:val="16"/>
                <w:szCs w:val="16"/>
                <w:color w:val="auto"/>
              </w:rPr>
            </w:pPr>
          </w:p>
        </w:tc>
        <w:tc>
          <w:tcPr>
            <w:tcW w:w="20" w:type="dxa"/>
            <w:vAlign w:val="bottom"/>
            <w:shd w:val="clear" w:color="auto" w:fill="377FA7"/>
          </w:tcPr>
          <w:p>
            <w:pPr>
              <w:spacing w:after="0"/>
              <w:rPr>
                <w:sz w:val="16"/>
                <w:szCs w:val="16"/>
                <w:color w:val="auto"/>
              </w:rPr>
            </w:pPr>
          </w:p>
        </w:tc>
        <w:tc>
          <w:tcPr>
            <w:tcW w:w="2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860" w:type="dxa"/>
            <w:vAlign w:val="bottom"/>
          </w:tcPr>
          <w:p>
            <w:pPr>
              <w:spacing w:after="0" w:line="182" w:lineRule="exact"/>
              <w:rPr>
                <w:sz w:val="20"/>
                <w:szCs w:val="20"/>
                <w:color w:val="auto"/>
              </w:rPr>
            </w:pPr>
            <w:r>
              <w:rPr>
                <w:rFonts w:ascii="Arial" w:cs="Arial" w:eastAsia="Arial" w:hAnsi="Arial"/>
                <w:sz w:val="18"/>
                <w:szCs w:val="18"/>
                <w:color w:val="auto"/>
              </w:rPr>
              <w:t>No government</w:t>
            </w:r>
          </w:p>
        </w:tc>
        <w:tc>
          <w:tcPr>
            <w:tcW w:w="20" w:type="dxa"/>
            <w:vAlign w:val="bottom"/>
            <w:shd w:val="clear" w:color="auto" w:fill="377FA7"/>
          </w:tcPr>
          <w:p>
            <w:pPr>
              <w:spacing w:after="0"/>
              <w:rPr>
                <w:sz w:val="15"/>
                <w:szCs w:val="15"/>
                <w:color w:val="auto"/>
              </w:rPr>
            </w:pPr>
          </w:p>
        </w:tc>
        <w:tc>
          <w:tcPr>
            <w:tcW w:w="2820" w:type="dxa"/>
            <w:vAlign w:val="bottom"/>
            <w:gridSpan w:val="2"/>
          </w:tcPr>
          <w:p>
            <w:pPr>
              <w:ind w:left="180"/>
              <w:spacing w:after="0" w:line="182" w:lineRule="exact"/>
              <w:rPr>
                <w:sz w:val="20"/>
                <w:szCs w:val="20"/>
                <w:color w:val="auto"/>
              </w:rPr>
            </w:pPr>
            <w:r>
              <w:rPr>
                <w:rFonts w:ascii="Arial" w:cs="Arial" w:eastAsia="Arial" w:hAnsi="Arial"/>
                <w:sz w:val="18"/>
                <w:szCs w:val="18"/>
                <w:b w:val="1"/>
                <w:bCs w:val="1"/>
                <w:color w:val="00004D"/>
              </w:rPr>
              <w:t>Professionals</w:t>
            </w:r>
          </w:p>
        </w:tc>
        <w:tc>
          <w:tcPr>
            <w:tcW w:w="0" w:type="dxa"/>
            <w:vAlign w:val="bottom"/>
          </w:tcPr>
          <w:p>
            <w:pPr>
              <w:spacing w:after="0"/>
              <w:rPr>
                <w:sz w:val="1"/>
                <w:szCs w:val="1"/>
                <w:color w:val="auto"/>
              </w:rPr>
            </w:pPr>
          </w:p>
        </w:tc>
      </w:tr>
      <w:tr>
        <w:trPr>
          <w:trHeight w:val="181"/>
        </w:trPr>
        <w:tc>
          <w:tcPr>
            <w:tcW w:w="1860" w:type="dxa"/>
            <w:vAlign w:val="bottom"/>
          </w:tcPr>
          <w:p>
            <w:pPr>
              <w:spacing w:after="0" w:line="182" w:lineRule="exact"/>
              <w:rPr>
                <w:sz w:val="20"/>
                <w:szCs w:val="20"/>
                <w:color w:val="auto"/>
              </w:rPr>
            </w:pPr>
            <w:r>
              <w:rPr>
                <w:rFonts w:ascii="Arial" w:cs="Arial" w:eastAsia="Arial" w:hAnsi="Arial"/>
                <w:sz w:val="18"/>
                <w:szCs w:val="18"/>
                <w:color w:val="auto"/>
              </w:rPr>
              <w:t>judgments, decrees</w:t>
            </w:r>
          </w:p>
        </w:tc>
        <w:tc>
          <w:tcPr>
            <w:tcW w:w="20" w:type="dxa"/>
            <w:vAlign w:val="bottom"/>
            <w:shd w:val="clear" w:color="auto" w:fill="377FA7"/>
          </w:tcPr>
          <w:p>
            <w:pPr>
              <w:spacing w:after="0"/>
              <w:rPr>
                <w:sz w:val="15"/>
                <w:szCs w:val="15"/>
                <w:color w:val="auto"/>
              </w:rPr>
            </w:pPr>
          </w:p>
        </w:tc>
        <w:tc>
          <w:tcPr>
            <w:tcW w:w="2820" w:type="dxa"/>
            <w:vAlign w:val="bottom"/>
            <w:gridSpan w:val="2"/>
          </w:tcPr>
          <w:p>
            <w:pPr>
              <w:ind w:left="180"/>
              <w:spacing w:after="0" w:line="182" w:lineRule="exact"/>
              <w:rPr>
                <w:sz w:val="20"/>
                <w:szCs w:val="20"/>
                <w:color w:val="auto"/>
              </w:rPr>
            </w:pPr>
            <w:r>
              <w:rPr>
                <w:rFonts w:ascii="Arial" w:cs="Arial" w:eastAsia="Arial" w:hAnsi="Arial"/>
                <w:sz w:val="18"/>
                <w:szCs w:val="18"/>
                <w:color w:val="auto"/>
              </w:rPr>
              <w:t>All reports regarding</w:t>
            </w:r>
          </w:p>
        </w:tc>
        <w:tc>
          <w:tcPr>
            <w:tcW w:w="0" w:type="dxa"/>
            <w:vAlign w:val="bottom"/>
          </w:tcPr>
          <w:p>
            <w:pPr>
              <w:spacing w:after="0"/>
              <w:rPr>
                <w:sz w:val="1"/>
                <w:szCs w:val="1"/>
                <w:color w:val="auto"/>
              </w:rPr>
            </w:pPr>
          </w:p>
        </w:tc>
      </w:tr>
      <w:tr>
        <w:trPr>
          <w:trHeight w:val="203"/>
        </w:trPr>
        <w:tc>
          <w:tcPr>
            <w:tcW w:w="1860" w:type="dxa"/>
            <w:vAlign w:val="bottom"/>
          </w:tcPr>
          <w:p>
            <w:pPr>
              <w:spacing w:after="0" w:line="203" w:lineRule="exact"/>
              <w:rPr>
                <w:sz w:val="20"/>
                <w:szCs w:val="20"/>
                <w:color w:val="auto"/>
              </w:rPr>
            </w:pPr>
            <w:r>
              <w:rPr>
                <w:rFonts w:ascii="Arial" w:cs="Arial" w:eastAsia="Arial" w:hAnsi="Arial"/>
                <w:sz w:val="18"/>
                <w:szCs w:val="18"/>
                <w:color w:val="auto"/>
              </w:rPr>
              <w:t>or fines</w:t>
            </w:r>
          </w:p>
        </w:tc>
        <w:tc>
          <w:tcPr>
            <w:tcW w:w="20" w:type="dxa"/>
            <w:vAlign w:val="bottom"/>
            <w:shd w:val="clear" w:color="auto" w:fill="377FA7"/>
          </w:tcPr>
          <w:p>
            <w:pPr>
              <w:spacing w:after="0"/>
              <w:rPr>
                <w:sz w:val="17"/>
                <w:szCs w:val="17"/>
                <w:color w:val="auto"/>
              </w:rPr>
            </w:pPr>
          </w:p>
        </w:tc>
        <w:tc>
          <w:tcPr>
            <w:tcW w:w="282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relations filed on time</w:t>
            </w:r>
          </w:p>
        </w:tc>
        <w:tc>
          <w:tcPr>
            <w:tcW w:w="0" w:type="dxa"/>
            <w:vAlign w:val="bottom"/>
          </w:tcPr>
          <w:p>
            <w:pPr>
              <w:spacing w:after="0"/>
              <w:rPr>
                <w:sz w:val="1"/>
                <w:szCs w:val="1"/>
                <w:color w:val="auto"/>
              </w:rPr>
            </w:pPr>
          </w:p>
        </w:tc>
      </w:tr>
      <w:tr>
        <w:trPr>
          <w:trHeight w:val="494"/>
        </w:trPr>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20" w:type="dxa"/>
            <w:vAlign w:val="bottom"/>
          </w:tcPr>
          <w:p>
            <w:pPr>
              <w:ind w:left="540"/>
              <w:spacing w:after="0"/>
              <w:rPr>
                <w:sz w:val="20"/>
                <w:szCs w:val="20"/>
                <w:color w:val="auto"/>
              </w:rPr>
            </w:pPr>
            <w:r>
              <w:rPr>
                <w:rFonts w:ascii="Arial" w:cs="Arial" w:eastAsia="Arial" w:hAnsi="Arial"/>
                <w:sz w:val="16"/>
                <w:szCs w:val="16"/>
                <w:color w:val="00004D"/>
              </w:rPr>
              <w:t>2024 Annual Report</w:t>
            </w:r>
          </w:p>
        </w:tc>
        <w:tc>
          <w:tcPr>
            <w:tcW w:w="600" w:type="dxa"/>
            <w:vAlign w:val="bottom"/>
            <w:shd w:val="clear" w:color="auto" w:fill="00065C"/>
          </w:tcPr>
          <w:p>
            <w:pPr>
              <w:jc w:val="right"/>
              <w:ind w:right="300"/>
              <w:spacing w:after="0"/>
              <w:rPr>
                <w:sz w:val="20"/>
                <w:szCs w:val="20"/>
                <w:color w:val="auto"/>
              </w:rPr>
            </w:pPr>
            <w:r>
              <w:rPr>
                <w:rFonts w:ascii="Arial" w:cs="Arial" w:eastAsia="Arial" w:hAnsi="Arial"/>
                <w:sz w:val="16"/>
                <w:szCs w:val="16"/>
                <w:b w:val="1"/>
                <w:bCs w:val="1"/>
                <w:color w:val="FFFFFF"/>
              </w:rPr>
              <w:t>9</w:t>
            </w:r>
          </w:p>
        </w:tc>
        <w:tc>
          <w:tcPr>
            <w:tcW w:w="0" w:type="dxa"/>
            <w:vAlign w:val="bottom"/>
          </w:tcPr>
          <w:p>
            <w:pPr>
              <w:spacing w:after="0"/>
              <w:rPr>
                <w:sz w:val="1"/>
                <w:szCs w:val="1"/>
                <w:color w:val="auto"/>
              </w:rPr>
            </w:pPr>
          </w:p>
        </w:tc>
      </w:tr>
      <w:tr>
        <w:trPr>
          <w:trHeight w:val="67"/>
        </w:trPr>
        <w:tc>
          <w:tcPr>
            <w:tcW w:w="1860" w:type="dxa"/>
            <w:vAlign w:val="bottom"/>
          </w:tcPr>
          <w:p>
            <w:pPr>
              <w:spacing w:after="0"/>
              <w:rPr>
                <w:sz w:val="5"/>
                <w:szCs w:val="5"/>
                <w:color w:val="auto"/>
              </w:rPr>
            </w:pPr>
          </w:p>
        </w:tc>
        <w:tc>
          <w:tcPr>
            <w:tcW w:w="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600" w:type="dxa"/>
            <w:vAlign w:val="bottom"/>
            <w:shd w:val="clear" w:color="auto" w:fill="00065C"/>
          </w:tcPr>
          <w:p>
            <w:pPr>
              <w:spacing w:after="0"/>
              <w:rPr>
                <w:sz w:val="5"/>
                <w:szCs w:val="5"/>
                <w:color w:val="auto"/>
              </w:rPr>
            </w:pPr>
          </w:p>
        </w:tc>
        <w:tc>
          <w:tcPr>
            <w:tcW w:w="0" w:type="dxa"/>
            <w:vAlign w:val="bottom"/>
          </w:tcPr>
          <w:p>
            <w:pPr>
              <w:spacing w:after="0"/>
              <w:rPr>
                <w:sz w:val="1"/>
                <w:szCs w:val="1"/>
                <w:color w:val="auto"/>
              </w:rPr>
            </w:pPr>
          </w:p>
        </w:tc>
      </w:tr>
    </w:tbl>
    <w:p>
      <w:pPr>
        <w:sectPr>
          <w:pgSz w:w="12240" w:h="15840" w:orient="portrait"/>
          <w:cols w:equalWidth="0" w:num="3">
            <w:col w:w="2380" w:space="280"/>
            <w:col w:w="3800" w:space="440"/>
            <w:col w:w="4700"/>
          </w:cols>
          <w:pgMar w:left="640" w:top="664" w:right="0" w:bottom="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9">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338" w:lineRule="exact"/>
        <w:rPr>
          <w:sz w:val="20"/>
          <w:szCs w:val="20"/>
          <w:color w:val="auto"/>
        </w:rPr>
      </w:pPr>
    </w:p>
    <w:p>
      <w:pPr>
        <w:ind w:left="540"/>
        <w:spacing w:after="0"/>
        <w:rPr>
          <w:sz w:val="20"/>
          <w:szCs w:val="20"/>
          <w:color w:val="auto"/>
        </w:rPr>
      </w:pPr>
      <w:r>
        <w:rPr>
          <w:rFonts w:ascii="Arial" w:cs="Arial" w:eastAsia="Arial" w:hAnsi="Arial"/>
          <w:sz w:val="30"/>
          <w:szCs w:val="30"/>
          <w:b w:val="1"/>
          <w:bCs w:val="1"/>
          <w:color w:val="7EB8D8"/>
        </w:rPr>
        <w:t>Intravenous Ibuprofen</w:t>
      </w:r>
    </w:p>
    <w:p>
      <w:pPr>
        <w:spacing w:after="0" w:line="50" w:lineRule="exact"/>
        <w:rPr>
          <w:sz w:val="20"/>
          <w:szCs w:val="20"/>
          <w:color w:val="auto"/>
        </w:rPr>
      </w:pPr>
    </w:p>
    <w:p>
      <w:pPr>
        <w:ind w:left="540" w:right="720"/>
        <w:spacing w:after="0" w:line="238" w:lineRule="auto"/>
        <w:rPr>
          <w:sz w:val="20"/>
          <w:szCs w:val="20"/>
          <w:color w:val="auto"/>
        </w:rPr>
      </w:pPr>
      <w:r>
        <w:rPr>
          <w:rFonts w:ascii="Arial" w:cs="Arial" w:eastAsia="Arial" w:hAnsi="Arial"/>
          <w:sz w:val="62"/>
          <w:szCs w:val="62"/>
          <w:color w:val="377FA7"/>
        </w:rPr>
        <w:t>Now Approved for Treating Pain and Fever in Adults, Children &amp; Newborns</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30"/>
          <w:szCs w:val="30"/>
          <w:b w:val="1"/>
          <w:bCs w:val="1"/>
          <w:color w:val="00004D"/>
        </w:rPr>
        <w:t>Your Non-Opioid Pain Management Solution</w:t>
      </w:r>
    </w:p>
    <w:p>
      <w:pPr>
        <w:spacing w:after="0" w:line="45" w:lineRule="exact"/>
        <w:rPr>
          <w:sz w:val="20"/>
          <w:szCs w:val="20"/>
          <w:color w:val="auto"/>
        </w:rPr>
      </w:pPr>
    </w:p>
    <w:p>
      <w:pPr>
        <w:ind w:left="540" w:right="140"/>
        <w:spacing w:after="0" w:line="307" w:lineRule="auto"/>
        <w:rPr>
          <w:sz w:val="20"/>
          <w:szCs w:val="20"/>
          <w:color w:val="auto"/>
        </w:rPr>
      </w:pPr>
      <w:r>
        <w:rPr>
          <w:rFonts w:ascii="Arial" w:cs="Arial" w:eastAsia="Arial" w:hAnsi="Arial"/>
          <w:sz w:val="22"/>
          <w:szCs w:val="22"/>
          <w:color w:val="00004D"/>
        </w:rPr>
        <w:t>The non-narcotic agent may now be administered for the treatment of pain and fever in patients 3 to 6 months of age. With this newly approved labeling, Caldolor is the only non-opioid product approved to treat pain in infants that is delivered through injection.</w:t>
      </w:r>
    </w:p>
    <w:p>
      <w:pPr>
        <w:sectPr>
          <w:pgSz w:w="12240" w:h="15840" w:orient="portrait"/>
          <w:cols w:equalWidth="0" w:num="1">
            <w:col w:w="9360"/>
          </w:cols>
          <w:pgMar w:left="1440" w:top="1440" w:right="1440"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3456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0">
                      <a:extLst>
                        <a:ext uri="{28A0092B-C50C-407E-A947-70E740481C1C}"/>
                      </a:extLst>
                    </a:blip>
                    <a:srcRect/>
                    <a:stretch>
                      <a:fillRect/>
                    </a:stretch>
                  </pic:blipFill>
                  <pic:spPr bwMode="auto">
                    <a:xfrm>
                      <a:off x="0" y="0"/>
                      <a:ext cx="7772400" cy="345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54"/>
          <w:szCs w:val="54"/>
          <w:color w:val="FFFFF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2446655</wp:posOffset>
            </wp:positionH>
            <wp:positionV relativeFrom="paragraph">
              <wp:posOffset>769620</wp:posOffset>
            </wp:positionV>
            <wp:extent cx="916940" cy="1157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1">
                      <a:extLst>
                        <a:ext uri="{28A0092B-C50C-407E-A947-70E740481C1C}"/>
                      </a:extLst>
                    </a:blip>
                    <a:srcRect/>
                    <a:stretch>
                      <a:fillRect/>
                    </a:stretch>
                  </pic:blipFill>
                  <pic:spPr bwMode="auto">
                    <a:xfrm>
                      <a:off x="0" y="0"/>
                      <a:ext cx="916940" cy="1157605"/>
                    </a:xfrm>
                    <a:prstGeom prst="rect">
                      <a:avLst/>
                    </a:prstGeom>
                    <a:noFill/>
                  </pic:spPr>
                </pic:pic>
              </a:graphicData>
            </a:graphic>
          </wp:anchor>
        </w:drawing>
      </w:r>
    </w:p>
    <w:p>
      <w:pPr>
        <w:sectPr>
          <w:pgSz w:w="12240" w:h="15840" w:orient="portrait"/>
          <w:cols w:equalWidth="0" w:num="1">
            <w:col w:w="11180"/>
          </w:cols>
          <w:pgMar w:left="720" w:top="1440" w:right="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60"/>
        <w:spacing w:after="0"/>
        <w:rPr>
          <w:sz w:val="20"/>
          <w:szCs w:val="20"/>
          <w:color w:val="auto"/>
        </w:rPr>
      </w:pPr>
      <w:r>
        <w:rPr>
          <w:rFonts w:ascii="Arial" w:cs="Arial" w:eastAsia="Arial" w:hAnsi="Arial"/>
          <w:sz w:val="23"/>
          <w:szCs w:val="23"/>
          <w:b w:val="1"/>
          <w:bCs w:val="1"/>
          <w:color w:val="377FA7"/>
        </w:rPr>
        <w:t>A.J. Kazimi</w:t>
      </w:r>
    </w:p>
    <w:p>
      <w:pPr>
        <w:ind w:left="5460"/>
        <w:spacing w:after="0"/>
        <w:rPr>
          <w:sz w:val="20"/>
          <w:szCs w:val="20"/>
          <w:color w:val="auto"/>
        </w:rPr>
      </w:pPr>
      <w:r>
        <w:rPr>
          <w:rFonts w:ascii="Arial" w:cs="Arial" w:eastAsia="Arial" w:hAnsi="Arial"/>
          <w:sz w:val="20"/>
          <w:szCs w:val="20"/>
          <w:b w:val="1"/>
          <w:bCs w:val="1"/>
          <w:color w:val="377FA7"/>
        </w:rPr>
        <w:t>Chairman</w:t>
      </w:r>
    </w:p>
    <w:p>
      <w:pPr>
        <w:spacing w:after="0" w:line="35" w:lineRule="exact"/>
        <w:rPr>
          <w:sz w:val="20"/>
          <w:szCs w:val="20"/>
          <w:color w:val="auto"/>
        </w:rPr>
      </w:pPr>
    </w:p>
    <w:p>
      <w:pPr>
        <w:ind w:left="5460"/>
        <w:spacing w:after="0"/>
        <w:rPr>
          <w:sz w:val="20"/>
          <w:szCs w:val="20"/>
          <w:color w:val="auto"/>
        </w:rPr>
      </w:pPr>
      <w:r>
        <w:rPr>
          <w:rFonts w:ascii="Arial" w:cs="Arial" w:eastAsia="Arial" w:hAnsi="Arial"/>
          <w:sz w:val="16"/>
          <w:szCs w:val="16"/>
          <w:color w:val="00004D"/>
        </w:rPr>
        <w:t>Chief Executive Officer</w:t>
      </w:r>
    </w:p>
    <w:p>
      <w:pPr>
        <w:spacing w:after="0" w:line="38" w:lineRule="exact"/>
        <w:rPr>
          <w:sz w:val="20"/>
          <w:szCs w:val="20"/>
          <w:color w:val="auto"/>
        </w:rPr>
      </w:pPr>
    </w:p>
    <w:p>
      <w:pPr>
        <w:ind w:left="5460"/>
        <w:spacing w:after="0"/>
        <w:rPr>
          <w:sz w:val="20"/>
          <w:szCs w:val="20"/>
          <w:color w:val="auto"/>
        </w:rPr>
      </w:pPr>
      <w:r>
        <w:rPr>
          <w:rFonts w:ascii="Arial" w:cs="Arial" w:eastAsia="Arial" w:hAnsi="Arial"/>
          <w:sz w:val="14"/>
          <w:szCs w:val="14"/>
          <w:color w:val="auto"/>
        </w:rPr>
        <w:t>Cumberland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486410</wp:posOffset>
            </wp:positionV>
            <wp:extent cx="916940" cy="1157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2">
                      <a:extLst>
                        <a:ext uri="{28A0092B-C50C-407E-A947-70E740481C1C}"/>
                      </a:extLst>
                    </a:blip>
                    <a:srcRect/>
                    <a:stretch>
                      <a:fillRect/>
                    </a:stretch>
                  </pic:blipFill>
                  <pic:spPr bwMode="auto">
                    <a:xfrm>
                      <a:off x="0" y="0"/>
                      <a:ext cx="916940" cy="1157605"/>
                    </a:xfrm>
                    <a:prstGeom prst="rect">
                      <a:avLst/>
                    </a:prstGeom>
                    <a:noFill/>
                  </pic:spPr>
                </pic:pic>
              </a:graphicData>
            </a:graphic>
          </wp:anchor>
        </w:drawing>
        <w:drawing>
          <wp:anchor simplePos="0" relativeHeight="251657728" behindDoc="1" locked="0" layoutInCell="0" allowOverlap="1">
            <wp:simplePos x="0" y="0"/>
            <wp:positionH relativeFrom="column">
              <wp:posOffset>3867150</wp:posOffset>
            </wp:positionH>
            <wp:positionV relativeFrom="paragraph">
              <wp:posOffset>486410</wp:posOffset>
            </wp:positionV>
            <wp:extent cx="916940" cy="1157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3">
                      <a:extLst>
                        <a:ext uri="{28A0092B-C50C-407E-A947-70E740481C1C}"/>
                      </a:extLst>
                    </a:blip>
                    <a:srcRect/>
                    <a:stretch>
                      <a:fillRect/>
                    </a:stretch>
                  </pic:blipFill>
                  <pic:spPr bwMode="auto">
                    <a:xfrm>
                      <a:off x="0" y="0"/>
                      <a:ext cx="916940"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2720" w:type="dxa"/>
        <w:tblCellMar>
          <w:top w:w="0" w:type="dxa"/>
          <w:left w:w="0" w:type="dxa"/>
          <w:bottom w:w="0" w:type="dxa"/>
          <w:right w:w="0" w:type="dxa"/>
        </w:tblCellMar>
      </w:tblPr>
      <w:tr>
        <w:trPr>
          <w:trHeight w:val="264"/>
        </w:trPr>
        <w:tc>
          <w:tcPr>
            <w:tcW w:w="3980" w:type="dxa"/>
            <w:vAlign w:val="bottom"/>
          </w:tcPr>
          <w:p>
            <w:pPr>
              <w:spacing w:after="0"/>
              <w:rPr>
                <w:sz w:val="20"/>
                <w:szCs w:val="20"/>
                <w:color w:val="auto"/>
              </w:rPr>
            </w:pPr>
            <w:r>
              <w:rPr>
                <w:rFonts w:ascii="Arial" w:cs="Arial" w:eastAsia="Arial" w:hAnsi="Arial"/>
                <w:sz w:val="23"/>
                <w:szCs w:val="23"/>
                <w:b w:val="1"/>
                <w:bCs w:val="1"/>
                <w:color w:val="377FA7"/>
              </w:rPr>
              <w:t>Kenneth J. Krogulski</w:t>
            </w:r>
          </w:p>
        </w:tc>
        <w:tc>
          <w:tcPr>
            <w:tcW w:w="2940" w:type="dxa"/>
            <w:vAlign w:val="bottom"/>
            <w:vMerge w:val="restart"/>
          </w:tcPr>
          <w:p>
            <w:pPr>
              <w:ind w:left="1000"/>
              <w:spacing w:after="0"/>
              <w:rPr>
                <w:sz w:val="20"/>
                <w:szCs w:val="20"/>
                <w:color w:val="auto"/>
              </w:rPr>
            </w:pPr>
            <w:r>
              <w:rPr>
                <w:rFonts w:ascii="Arial" w:cs="Arial" w:eastAsia="Arial" w:hAnsi="Arial"/>
                <w:sz w:val="23"/>
                <w:szCs w:val="23"/>
                <w:b w:val="1"/>
                <w:bCs w:val="1"/>
                <w:color w:val="377FA7"/>
              </w:rPr>
              <w:t>James R. Jones</w:t>
            </w:r>
          </w:p>
        </w:tc>
        <w:tc>
          <w:tcPr>
            <w:tcW w:w="0" w:type="dxa"/>
            <w:vAlign w:val="bottom"/>
          </w:tcPr>
          <w:p>
            <w:pPr>
              <w:spacing w:after="0"/>
              <w:rPr>
                <w:sz w:val="1"/>
                <w:szCs w:val="1"/>
                <w:color w:val="auto"/>
              </w:rPr>
            </w:pPr>
          </w:p>
        </w:tc>
      </w:tr>
      <w:tr>
        <w:trPr>
          <w:trHeight w:val="110"/>
        </w:trPr>
        <w:tc>
          <w:tcPr>
            <w:tcW w:w="3980" w:type="dxa"/>
            <w:vAlign w:val="bottom"/>
            <w:vMerge w:val="restart"/>
          </w:tcPr>
          <w:p>
            <w:pPr>
              <w:spacing w:after="0" w:line="261" w:lineRule="exact"/>
              <w:rPr>
                <w:sz w:val="20"/>
                <w:szCs w:val="20"/>
                <w:color w:val="auto"/>
              </w:rPr>
            </w:pPr>
            <w:r>
              <w:rPr>
                <w:rFonts w:ascii="Arial" w:cs="Arial" w:eastAsia="Arial" w:hAnsi="Arial"/>
                <w:sz w:val="20"/>
                <w:szCs w:val="20"/>
                <w:b w:val="1"/>
                <w:bCs w:val="1"/>
                <w:color w:val="377FA7"/>
              </w:rPr>
              <w:t xml:space="preserve">Lead </w:t>
            </w:r>
            <w:r>
              <w:rPr>
                <w:rFonts w:ascii="Arial" w:cs="Arial" w:eastAsia="Arial" w:hAnsi="Arial"/>
                <w:sz w:val="23"/>
                <w:szCs w:val="23"/>
                <w:b w:val="1"/>
                <w:bCs w:val="1"/>
                <w:color w:val="377FA7"/>
              </w:rPr>
              <w:t>Director</w:t>
            </w: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3980" w:type="dxa"/>
            <w:vAlign w:val="bottom"/>
            <w:vMerge w:val="continue"/>
          </w:tcPr>
          <w:p>
            <w:pPr>
              <w:spacing w:after="0"/>
              <w:rPr>
                <w:sz w:val="13"/>
                <w:szCs w:val="13"/>
                <w:color w:val="auto"/>
              </w:rPr>
            </w:pPr>
          </w:p>
        </w:tc>
        <w:tc>
          <w:tcPr>
            <w:tcW w:w="2940" w:type="dxa"/>
            <w:vAlign w:val="bottom"/>
            <w:vMerge w:val="restart"/>
          </w:tcPr>
          <w:p>
            <w:pPr>
              <w:ind w:left="1000"/>
              <w:spacing w:after="0"/>
              <w:rPr>
                <w:sz w:val="20"/>
                <w:szCs w:val="20"/>
                <w:color w:val="auto"/>
              </w:rPr>
            </w:pPr>
            <w:r>
              <w:rPr>
                <w:rFonts w:ascii="Arial" w:cs="Arial" w:eastAsia="Arial" w:hAnsi="Arial"/>
                <w:sz w:val="20"/>
                <w:szCs w:val="20"/>
                <w:b w:val="1"/>
                <w:bCs w:val="1"/>
                <w:color w:val="377FA7"/>
              </w:rPr>
              <w:t>Director</w:t>
            </w:r>
          </w:p>
        </w:tc>
        <w:tc>
          <w:tcPr>
            <w:tcW w:w="0" w:type="dxa"/>
            <w:vAlign w:val="bottom"/>
          </w:tcPr>
          <w:p>
            <w:pPr>
              <w:spacing w:after="0"/>
              <w:rPr>
                <w:sz w:val="1"/>
                <w:szCs w:val="1"/>
                <w:color w:val="auto"/>
              </w:rPr>
            </w:pPr>
          </w:p>
        </w:tc>
      </w:tr>
      <w:tr>
        <w:trPr>
          <w:trHeight w:val="110"/>
        </w:trPr>
        <w:tc>
          <w:tcPr>
            <w:tcW w:w="3980" w:type="dxa"/>
            <w:vAlign w:val="bottom"/>
            <w:vMerge w:val="restart"/>
          </w:tcPr>
          <w:p>
            <w:pPr>
              <w:spacing w:after="0"/>
              <w:rPr>
                <w:sz w:val="20"/>
                <w:szCs w:val="20"/>
                <w:color w:val="auto"/>
              </w:rPr>
            </w:pPr>
            <w:r>
              <w:rPr>
                <w:rFonts w:ascii="Arial" w:cs="Arial" w:eastAsia="Arial" w:hAnsi="Arial"/>
                <w:sz w:val="16"/>
                <w:szCs w:val="16"/>
                <w:color w:val="00004D"/>
              </w:rPr>
              <w:t>Managing Partner and</w:t>
            </w: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3980" w:type="dxa"/>
            <w:vAlign w:val="bottom"/>
            <w:vMerge w:val="continue"/>
          </w:tcPr>
          <w:p>
            <w:pPr>
              <w:spacing w:after="0"/>
              <w:rPr>
                <w:sz w:val="9"/>
                <w:szCs w:val="9"/>
                <w:color w:val="auto"/>
              </w:rPr>
            </w:pPr>
          </w:p>
        </w:tc>
        <w:tc>
          <w:tcPr>
            <w:tcW w:w="2940" w:type="dxa"/>
            <w:vAlign w:val="bottom"/>
            <w:vMerge w:val="restart"/>
          </w:tcPr>
          <w:p>
            <w:pPr>
              <w:ind w:left="1000"/>
              <w:spacing w:after="0"/>
              <w:rPr>
                <w:sz w:val="20"/>
                <w:szCs w:val="20"/>
                <w:color w:val="auto"/>
              </w:rPr>
            </w:pPr>
            <w:r>
              <w:rPr>
                <w:rFonts w:ascii="Arial" w:cs="Arial" w:eastAsia="Arial" w:hAnsi="Arial"/>
                <w:sz w:val="16"/>
                <w:szCs w:val="16"/>
                <w:color w:val="00004D"/>
              </w:rPr>
              <w:t>Former Managing Partner</w:t>
            </w:r>
          </w:p>
        </w:tc>
        <w:tc>
          <w:tcPr>
            <w:tcW w:w="0" w:type="dxa"/>
            <w:vAlign w:val="bottom"/>
          </w:tcPr>
          <w:p>
            <w:pPr>
              <w:spacing w:after="0"/>
              <w:rPr>
                <w:sz w:val="1"/>
                <w:szCs w:val="1"/>
                <w:color w:val="auto"/>
              </w:rPr>
            </w:pPr>
          </w:p>
        </w:tc>
      </w:tr>
      <w:tr>
        <w:trPr>
          <w:trHeight w:val="110"/>
        </w:trPr>
        <w:tc>
          <w:tcPr>
            <w:tcW w:w="3980" w:type="dxa"/>
            <w:vAlign w:val="bottom"/>
            <w:vMerge w:val="restart"/>
          </w:tcPr>
          <w:p>
            <w:pPr>
              <w:spacing w:after="0"/>
              <w:rPr>
                <w:sz w:val="20"/>
                <w:szCs w:val="20"/>
                <w:color w:val="auto"/>
              </w:rPr>
            </w:pPr>
            <w:r>
              <w:rPr>
                <w:rFonts w:ascii="Arial" w:cs="Arial" w:eastAsia="Arial" w:hAnsi="Arial"/>
                <w:sz w:val="16"/>
                <w:szCs w:val="16"/>
                <w:color w:val="00004D"/>
              </w:rPr>
              <w:t>Chief Investment Officer</w:t>
            </w: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980" w:type="dxa"/>
            <w:vAlign w:val="bottom"/>
            <w:vMerge w:val="continue"/>
          </w:tcPr>
          <w:p>
            <w:pPr>
              <w:spacing w:after="0"/>
              <w:rPr>
                <w:sz w:val="9"/>
                <w:szCs w:val="9"/>
                <w:color w:val="auto"/>
              </w:rPr>
            </w:pPr>
          </w:p>
        </w:tc>
        <w:tc>
          <w:tcPr>
            <w:tcW w:w="2940" w:type="dxa"/>
            <w:vAlign w:val="bottom"/>
            <w:vMerge w:val="restart"/>
          </w:tcPr>
          <w:p>
            <w:pPr>
              <w:ind w:left="1000"/>
              <w:spacing w:after="0"/>
              <w:rPr>
                <w:sz w:val="20"/>
                <w:szCs w:val="20"/>
                <w:color w:val="auto"/>
              </w:rPr>
            </w:pPr>
            <w:r>
              <w:rPr>
                <w:rFonts w:ascii="Arial" w:cs="Arial" w:eastAsia="Arial" w:hAnsi="Arial"/>
                <w:sz w:val="14"/>
                <w:szCs w:val="14"/>
                <w:color w:val="auto"/>
              </w:rPr>
              <w:t>KPMG LLP-Nashville</w:t>
            </w:r>
          </w:p>
        </w:tc>
        <w:tc>
          <w:tcPr>
            <w:tcW w:w="0" w:type="dxa"/>
            <w:vAlign w:val="bottom"/>
          </w:tcPr>
          <w:p>
            <w:pPr>
              <w:spacing w:after="0"/>
              <w:rPr>
                <w:sz w:val="1"/>
                <w:szCs w:val="1"/>
                <w:color w:val="auto"/>
              </w:rPr>
            </w:pPr>
          </w:p>
        </w:tc>
      </w:tr>
      <w:tr>
        <w:trPr>
          <w:trHeight w:val="84"/>
        </w:trPr>
        <w:tc>
          <w:tcPr>
            <w:tcW w:w="3980" w:type="dxa"/>
            <w:vAlign w:val="bottom"/>
            <w:vMerge w:val="restart"/>
          </w:tcPr>
          <w:p>
            <w:pPr>
              <w:spacing w:after="0"/>
              <w:rPr>
                <w:sz w:val="20"/>
                <w:szCs w:val="20"/>
                <w:color w:val="auto"/>
              </w:rPr>
            </w:pPr>
            <w:r>
              <w:rPr>
                <w:rFonts w:ascii="Arial" w:cs="Arial" w:eastAsia="Arial" w:hAnsi="Arial"/>
                <w:sz w:val="14"/>
                <w:szCs w:val="14"/>
                <w:color w:val="auto"/>
              </w:rPr>
              <w:t>Berkshire Asset Management</w:t>
            </w:r>
          </w:p>
        </w:tc>
        <w:tc>
          <w:tcPr>
            <w:tcW w:w="2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398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8"/>
        </w:trPr>
        <w:tc>
          <w:tcPr>
            <w:tcW w:w="3980" w:type="dxa"/>
            <w:vAlign w:val="bottom"/>
            <w:vMerge w:val="restart"/>
          </w:tcPr>
          <w:p>
            <w:pPr>
              <w:spacing w:after="0"/>
              <w:rPr>
                <w:sz w:val="20"/>
                <w:szCs w:val="20"/>
                <w:color w:val="auto"/>
              </w:rPr>
            </w:pPr>
            <w:r>
              <w:rPr>
                <w:rFonts w:ascii="Arial" w:cs="Arial" w:eastAsia="Arial" w:hAnsi="Arial"/>
                <w:sz w:val="23"/>
                <w:szCs w:val="23"/>
                <w:b w:val="1"/>
                <w:bCs w:val="1"/>
                <w:color w:val="377FA7"/>
              </w:rPr>
              <w:t>Dr. Gordon R. Bernard</w:t>
            </w:r>
          </w:p>
        </w:tc>
        <w:tc>
          <w:tcPr>
            <w:tcW w:w="2940" w:type="dxa"/>
            <w:vAlign w:val="bottom"/>
          </w:tcPr>
          <w:p>
            <w:pPr>
              <w:ind w:left="1000"/>
              <w:spacing w:after="0"/>
              <w:rPr>
                <w:sz w:val="20"/>
                <w:szCs w:val="20"/>
                <w:color w:val="auto"/>
              </w:rPr>
            </w:pPr>
            <w:r>
              <w:rPr>
                <w:rFonts w:ascii="Arial" w:cs="Arial" w:eastAsia="Arial" w:hAnsi="Arial"/>
                <w:sz w:val="23"/>
                <w:szCs w:val="23"/>
                <w:b w:val="1"/>
                <w:bCs w:val="1"/>
                <w:color w:val="377FA7"/>
                <w:w w:val="95"/>
              </w:rPr>
              <w:t>Joseph C. Galante</w:t>
            </w:r>
          </w:p>
        </w:tc>
        <w:tc>
          <w:tcPr>
            <w:tcW w:w="0" w:type="dxa"/>
            <w:vAlign w:val="bottom"/>
          </w:tcPr>
          <w:p>
            <w:pPr>
              <w:spacing w:after="0"/>
              <w:rPr>
                <w:sz w:val="1"/>
                <w:szCs w:val="1"/>
                <w:color w:val="auto"/>
              </w:rPr>
            </w:pPr>
          </w:p>
        </w:tc>
      </w:tr>
      <w:tr>
        <w:trPr>
          <w:trHeight w:val="100"/>
        </w:trPr>
        <w:tc>
          <w:tcPr>
            <w:tcW w:w="3980" w:type="dxa"/>
            <w:vAlign w:val="bottom"/>
            <w:vMerge w:val="continue"/>
          </w:tcPr>
          <w:p>
            <w:pPr>
              <w:spacing w:after="0"/>
              <w:rPr>
                <w:sz w:val="8"/>
                <w:szCs w:val="8"/>
                <w:color w:val="auto"/>
              </w:rPr>
            </w:pPr>
          </w:p>
        </w:tc>
        <w:tc>
          <w:tcPr>
            <w:tcW w:w="2940" w:type="dxa"/>
            <w:vAlign w:val="bottom"/>
            <w:vMerge w:val="restart"/>
          </w:tcPr>
          <w:p>
            <w:pPr>
              <w:ind w:left="1000"/>
              <w:spacing w:after="0"/>
              <w:rPr>
                <w:sz w:val="20"/>
                <w:szCs w:val="20"/>
                <w:color w:val="auto"/>
              </w:rPr>
            </w:pPr>
            <w:r>
              <w:rPr>
                <w:rFonts w:ascii="Arial" w:cs="Arial" w:eastAsia="Arial" w:hAnsi="Arial"/>
                <w:sz w:val="20"/>
                <w:szCs w:val="20"/>
                <w:b w:val="1"/>
                <w:bCs w:val="1"/>
                <w:color w:val="377FA7"/>
              </w:rPr>
              <w:t>Director</w:t>
            </w:r>
          </w:p>
        </w:tc>
        <w:tc>
          <w:tcPr>
            <w:tcW w:w="0" w:type="dxa"/>
            <w:vAlign w:val="bottom"/>
          </w:tcPr>
          <w:p>
            <w:pPr>
              <w:spacing w:after="0"/>
              <w:rPr>
                <w:sz w:val="1"/>
                <w:szCs w:val="1"/>
                <w:color w:val="auto"/>
              </w:rPr>
            </w:pPr>
          </w:p>
        </w:tc>
      </w:tr>
      <w:tr>
        <w:trPr>
          <w:trHeight w:val="161"/>
        </w:trPr>
        <w:tc>
          <w:tcPr>
            <w:tcW w:w="3980" w:type="dxa"/>
            <w:vAlign w:val="bottom"/>
            <w:vMerge w:val="restart"/>
          </w:tcPr>
          <w:p>
            <w:pPr>
              <w:spacing w:after="0"/>
              <w:rPr>
                <w:sz w:val="20"/>
                <w:szCs w:val="20"/>
                <w:color w:val="auto"/>
              </w:rPr>
            </w:pPr>
            <w:r>
              <w:rPr>
                <w:rFonts w:ascii="Arial" w:cs="Arial" w:eastAsia="Arial" w:hAnsi="Arial"/>
                <w:sz w:val="20"/>
                <w:szCs w:val="20"/>
                <w:b w:val="1"/>
                <w:bCs w:val="1"/>
                <w:color w:val="377FA7"/>
              </w:rPr>
              <w:t>Director</w:t>
            </w:r>
          </w:p>
        </w:tc>
        <w:tc>
          <w:tcPr>
            <w:tcW w:w="2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3980" w:type="dxa"/>
            <w:vAlign w:val="bottom"/>
            <w:vMerge w:val="continue"/>
          </w:tcPr>
          <w:p>
            <w:pPr>
              <w:spacing w:after="0"/>
              <w:rPr>
                <w:sz w:val="8"/>
                <w:szCs w:val="8"/>
                <w:color w:val="auto"/>
              </w:rPr>
            </w:pPr>
          </w:p>
        </w:tc>
        <w:tc>
          <w:tcPr>
            <w:tcW w:w="2940" w:type="dxa"/>
            <w:vAlign w:val="bottom"/>
            <w:vMerge w:val="restart"/>
          </w:tcPr>
          <w:p>
            <w:pPr>
              <w:ind w:left="1000"/>
              <w:spacing w:after="0"/>
              <w:rPr>
                <w:sz w:val="20"/>
                <w:szCs w:val="20"/>
                <w:color w:val="auto"/>
              </w:rPr>
            </w:pPr>
            <w:r>
              <w:rPr>
                <w:rFonts w:ascii="Arial" w:cs="Arial" w:eastAsia="Arial" w:hAnsi="Arial"/>
                <w:sz w:val="16"/>
                <w:szCs w:val="16"/>
                <w:color w:val="00004D"/>
              </w:rPr>
              <w:t>Former Chairman</w:t>
            </w:r>
          </w:p>
        </w:tc>
        <w:tc>
          <w:tcPr>
            <w:tcW w:w="0" w:type="dxa"/>
            <w:vAlign w:val="bottom"/>
          </w:tcPr>
          <w:p>
            <w:pPr>
              <w:spacing w:after="0"/>
              <w:rPr>
                <w:sz w:val="1"/>
                <w:szCs w:val="1"/>
                <w:color w:val="auto"/>
              </w:rPr>
            </w:pPr>
          </w:p>
        </w:tc>
      </w:tr>
      <w:tr>
        <w:trPr>
          <w:trHeight w:val="119"/>
        </w:trPr>
        <w:tc>
          <w:tcPr>
            <w:tcW w:w="3980" w:type="dxa"/>
            <w:vAlign w:val="bottom"/>
            <w:vMerge w:val="restart"/>
          </w:tcPr>
          <w:p>
            <w:pPr>
              <w:spacing w:after="0"/>
              <w:rPr>
                <w:sz w:val="20"/>
                <w:szCs w:val="20"/>
                <w:color w:val="auto"/>
              </w:rPr>
            </w:pPr>
            <w:r>
              <w:rPr>
                <w:rFonts w:ascii="Arial" w:cs="Arial" w:eastAsia="Arial" w:hAnsi="Arial"/>
                <w:sz w:val="16"/>
                <w:szCs w:val="16"/>
                <w:color w:val="00004D"/>
              </w:rPr>
              <w:t>Professor of Medicine</w:t>
            </w:r>
          </w:p>
        </w:tc>
        <w:tc>
          <w:tcPr>
            <w:tcW w:w="2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3980" w:type="dxa"/>
            <w:vAlign w:val="bottom"/>
            <w:vMerge w:val="continue"/>
          </w:tcPr>
          <w:p>
            <w:pPr>
              <w:spacing w:after="0"/>
              <w:rPr>
                <w:sz w:val="8"/>
                <w:szCs w:val="8"/>
                <w:color w:val="auto"/>
              </w:rPr>
            </w:pPr>
          </w:p>
        </w:tc>
        <w:tc>
          <w:tcPr>
            <w:tcW w:w="2940" w:type="dxa"/>
            <w:vAlign w:val="bottom"/>
            <w:vMerge w:val="restart"/>
          </w:tcPr>
          <w:p>
            <w:pPr>
              <w:ind w:left="1000"/>
              <w:spacing w:after="0"/>
              <w:rPr>
                <w:sz w:val="20"/>
                <w:szCs w:val="20"/>
                <w:color w:val="auto"/>
              </w:rPr>
            </w:pPr>
            <w:r>
              <w:rPr>
                <w:rFonts w:ascii="Arial" w:cs="Arial" w:eastAsia="Arial" w:hAnsi="Arial"/>
                <w:sz w:val="14"/>
                <w:szCs w:val="14"/>
                <w:color w:val="auto"/>
              </w:rPr>
              <w:t>Sony Music Nashville</w:t>
            </w:r>
          </w:p>
        </w:tc>
        <w:tc>
          <w:tcPr>
            <w:tcW w:w="0" w:type="dxa"/>
            <w:vAlign w:val="bottom"/>
          </w:tcPr>
          <w:p>
            <w:pPr>
              <w:spacing w:after="0"/>
              <w:rPr>
                <w:sz w:val="1"/>
                <w:szCs w:val="1"/>
                <w:color w:val="auto"/>
              </w:rPr>
            </w:pPr>
          </w:p>
        </w:tc>
      </w:tr>
      <w:tr>
        <w:trPr>
          <w:trHeight w:val="94"/>
        </w:trPr>
        <w:tc>
          <w:tcPr>
            <w:tcW w:w="3980" w:type="dxa"/>
            <w:vAlign w:val="bottom"/>
            <w:vMerge w:val="restart"/>
          </w:tcPr>
          <w:p>
            <w:pPr>
              <w:spacing w:after="0"/>
              <w:rPr>
                <w:sz w:val="20"/>
                <w:szCs w:val="20"/>
                <w:color w:val="auto"/>
              </w:rPr>
            </w:pPr>
            <w:r>
              <w:rPr>
                <w:rFonts w:ascii="Arial" w:cs="Arial" w:eastAsia="Arial" w:hAnsi="Arial"/>
                <w:sz w:val="14"/>
                <w:szCs w:val="14"/>
                <w:color w:val="auto"/>
              </w:rPr>
              <w:t>Division of Pulmonary &amp; Critical Care Medicine</w:t>
            </w:r>
          </w:p>
        </w:tc>
        <w:tc>
          <w:tcPr>
            <w:tcW w:w="2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980" w:type="dxa"/>
            <w:vAlign w:val="bottom"/>
            <w:vMerge w:val="continue"/>
          </w:tcPr>
          <w:p>
            <w:pPr>
              <w:spacing w:after="0"/>
              <w:rPr>
                <w:sz w:val="8"/>
                <w:szCs w:val="8"/>
                <w:color w:val="auto"/>
              </w:rPr>
            </w:pPr>
          </w:p>
        </w:tc>
        <w:tc>
          <w:tcPr>
            <w:tcW w:w="2940" w:type="dxa"/>
            <w:vAlign w:val="bottom"/>
            <w:vMerge w:val="restart"/>
          </w:tcPr>
          <w:p>
            <w:pPr>
              <w:ind w:left="1000"/>
              <w:spacing w:after="0"/>
              <w:rPr>
                <w:sz w:val="20"/>
                <w:szCs w:val="20"/>
                <w:color w:val="auto"/>
              </w:rPr>
            </w:pPr>
            <w:r>
              <w:rPr>
                <w:rFonts w:ascii="Arial" w:cs="Arial" w:eastAsia="Arial" w:hAnsi="Arial"/>
                <w:sz w:val="14"/>
                <w:szCs w:val="14"/>
                <w:color w:val="00004D"/>
              </w:rPr>
              <w:t>Former President</w:t>
            </w:r>
          </w:p>
        </w:tc>
        <w:tc>
          <w:tcPr>
            <w:tcW w:w="0" w:type="dxa"/>
            <w:vAlign w:val="bottom"/>
          </w:tcPr>
          <w:p>
            <w:pPr>
              <w:spacing w:after="0"/>
              <w:rPr>
                <w:sz w:val="1"/>
                <w:szCs w:val="1"/>
                <w:color w:val="auto"/>
              </w:rPr>
            </w:pPr>
          </w:p>
        </w:tc>
      </w:tr>
      <w:tr>
        <w:trPr>
          <w:trHeight w:val="100"/>
        </w:trPr>
        <w:tc>
          <w:tcPr>
            <w:tcW w:w="3980" w:type="dxa"/>
            <w:vAlign w:val="bottom"/>
            <w:vMerge w:val="restart"/>
          </w:tcPr>
          <w:p>
            <w:pPr>
              <w:spacing w:after="0"/>
              <w:rPr>
                <w:sz w:val="20"/>
                <w:szCs w:val="20"/>
                <w:color w:val="auto"/>
              </w:rPr>
            </w:pPr>
            <w:r>
              <w:rPr>
                <w:rFonts w:ascii="Arial" w:cs="Arial" w:eastAsia="Arial" w:hAnsi="Arial"/>
                <w:sz w:val="14"/>
                <w:szCs w:val="14"/>
                <w:color w:val="auto"/>
              </w:rPr>
              <w:t>Vanderbilt University Medical Center</w:t>
            </w:r>
          </w:p>
        </w:tc>
        <w:tc>
          <w:tcPr>
            <w:tcW w:w="2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980" w:type="dxa"/>
            <w:vAlign w:val="bottom"/>
            <w:vMerge w:val="continue"/>
          </w:tcPr>
          <w:p>
            <w:pPr>
              <w:spacing w:after="0"/>
              <w:rPr>
                <w:sz w:val="8"/>
                <w:szCs w:val="8"/>
                <w:color w:val="auto"/>
              </w:rPr>
            </w:pPr>
          </w:p>
        </w:tc>
        <w:tc>
          <w:tcPr>
            <w:tcW w:w="2940" w:type="dxa"/>
            <w:vAlign w:val="bottom"/>
            <w:vMerge w:val="restart"/>
          </w:tcPr>
          <w:p>
            <w:pPr>
              <w:ind w:left="1000"/>
              <w:spacing w:after="0"/>
              <w:rPr>
                <w:sz w:val="20"/>
                <w:szCs w:val="20"/>
                <w:color w:val="auto"/>
              </w:rPr>
            </w:pPr>
            <w:r>
              <w:rPr>
                <w:rFonts w:ascii="Arial" w:cs="Arial" w:eastAsia="Arial" w:hAnsi="Arial"/>
                <w:sz w:val="14"/>
                <w:szCs w:val="14"/>
                <w:color w:val="auto"/>
              </w:rPr>
              <w:t>RCA Records</w:t>
            </w:r>
          </w:p>
        </w:tc>
        <w:tc>
          <w:tcPr>
            <w:tcW w:w="0" w:type="dxa"/>
            <w:vAlign w:val="bottom"/>
          </w:tcPr>
          <w:p>
            <w:pPr>
              <w:spacing w:after="0"/>
              <w:rPr>
                <w:sz w:val="1"/>
                <w:szCs w:val="1"/>
                <w:color w:val="auto"/>
              </w:rPr>
            </w:pPr>
          </w:p>
        </w:tc>
      </w:tr>
      <w:tr>
        <w:trPr>
          <w:trHeight w:val="100"/>
        </w:trPr>
        <w:tc>
          <w:tcPr>
            <w:tcW w:w="3980" w:type="dxa"/>
            <w:vAlign w:val="bottom"/>
          </w:tcPr>
          <w:p>
            <w:pPr>
              <w:spacing w:after="0"/>
              <w:rPr>
                <w:sz w:val="8"/>
                <w:szCs w:val="8"/>
                <w:color w:val="auto"/>
              </w:rPr>
            </w:pPr>
          </w:p>
        </w:tc>
        <w:tc>
          <w:tcPr>
            <w:tcW w:w="2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8"/>
        </w:trPr>
        <w:tc>
          <w:tcPr>
            <w:tcW w:w="3980" w:type="dxa"/>
            <w:vAlign w:val="bottom"/>
          </w:tcPr>
          <w:p>
            <w:pPr>
              <w:spacing w:after="0"/>
              <w:rPr>
                <w:sz w:val="20"/>
                <w:szCs w:val="20"/>
                <w:color w:val="auto"/>
              </w:rPr>
            </w:pPr>
            <w:r>
              <w:rPr>
                <w:rFonts w:ascii="Arial" w:cs="Arial" w:eastAsia="Arial" w:hAnsi="Arial"/>
                <w:sz w:val="23"/>
                <w:szCs w:val="23"/>
                <w:b w:val="1"/>
                <w:bCs w:val="1"/>
                <w:color w:val="377FA7"/>
              </w:rPr>
              <w:t>Caroline R. Young</w:t>
            </w:r>
          </w:p>
        </w:tc>
        <w:tc>
          <w:tcPr>
            <w:tcW w:w="2940" w:type="dxa"/>
            <w:vAlign w:val="bottom"/>
            <w:vMerge w:val="restart"/>
          </w:tcPr>
          <w:p>
            <w:pPr>
              <w:ind w:left="1000"/>
              <w:spacing w:after="0"/>
              <w:rPr>
                <w:sz w:val="20"/>
                <w:szCs w:val="20"/>
                <w:color w:val="auto"/>
              </w:rPr>
            </w:pPr>
            <w:r>
              <w:rPr>
                <w:rFonts w:ascii="Arial" w:cs="Arial" w:eastAsia="Arial" w:hAnsi="Arial"/>
                <w:sz w:val="23"/>
                <w:szCs w:val="23"/>
                <w:b w:val="1"/>
                <w:bCs w:val="1"/>
                <w:color w:val="377FA7"/>
              </w:rPr>
              <w:t>Martin S. Brown</w:t>
            </w:r>
          </w:p>
        </w:tc>
        <w:tc>
          <w:tcPr>
            <w:tcW w:w="0" w:type="dxa"/>
            <w:vAlign w:val="bottom"/>
          </w:tcPr>
          <w:p>
            <w:pPr>
              <w:spacing w:after="0"/>
              <w:rPr>
                <w:sz w:val="1"/>
                <w:szCs w:val="1"/>
                <w:color w:val="auto"/>
              </w:rPr>
            </w:pPr>
          </w:p>
        </w:tc>
      </w:tr>
      <w:tr>
        <w:trPr>
          <w:trHeight w:val="110"/>
        </w:trPr>
        <w:tc>
          <w:tcPr>
            <w:tcW w:w="3980" w:type="dxa"/>
            <w:vAlign w:val="bottom"/>
            <w:vMerge w:val="restart"/>
          </w:tcPr>
          <w:p>
            <w:pPr>
              <w:spacing w:after="0"/>
              <w:rPr>
                <w:sz w:val="20"/>
                <w:szCs w:val="20"/>
                <w:color w:val="auto"/>
              </w:rPr>
            </w:pPr>
            <w:r>
              <w:rPr>
                <w:rFonts w:ascii="Arial" w:cs="Arial" w:eastAsia="Arial" w:hAnsi="Arial"/>
                <w:sz w:val="20"/>
                <w:szCs w:val="20"/>
                <w:b w:val="1"/>
                <w:bCs w:val="1"/>
                <w:color w:val="377FA7"/>
              </w:rPr>
              <w:t>Director</w:t>
            </w: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3980" w:type="dxa"/>
            <w:vAlign w:val="bottom"/>
            <w:vMerge w:val="continue"/>
          </w:tcPr>
          <w:p>
            <w:pPr>
              <w:spacing w:after="0"/>
              <w:rPr>
                <w:sz w:val="13"/>
                <w:szCs w:val="13"/>
                <w:color w:val="auto"/>
              </w:rPr>
            </w:pPr>
          </w:p>
        </w:tc>
        <w:tc>
          <w:tcPr>
            <w:tcW w:w="2940" w:type="dxa"/>
            <w:vAlign w:val="bottom"/>
            <w:vMerge w:val="restart"/>
          </w:tcPr>
          <w:p>
            <w:pPr>
              <w:ind w:left="1000"/>
              <w:spacing w:after="0"/>
              <w:rPr>
                <w:sz w:val="20"/>
                <w:szCs w:val="20"/>
                <w:color w:val="auto"/>
              </w:rPr>
            </w:pPr>
            <w:r>
              <w:rPr>
                <w:rFonts w:ascii="Arial" w:cs="Arial" w:eastAsia="Arial" w:hAnsi="Arial"/>
                <w:sz w:val="20"/>
                <w:szCs w:val="20"/>
                <w:b w:val="1"/>
                <w:bCs w:val="1"/>
                <w:color w:val="377FA7"/>
              </w:rPr>
              <w:t>Director</w:t>
            </w:r>
          </w:p>
        </w:tc>
        <w:tc>
          <w:tcPr>
            <w:tcW w:w="0" w:type="dxa"/>
            <w:vAlign w:val="bottom"/>
          </w:tcPr>
          <w:p>
            <w:pPr>
              <w:spacing w:after="0"/>
              <w:rPr>
                <w:sz w:val="1"/>
                <w:szCs w:val="1"/>
                <w:color w:val="auto"/>
              </w:rPr>
            </w:pPr>
          </w:p>
        </w:tc>
      </w:tr>
      <w:tr>
        <w:trPr>
          <w:trHeight w:val="110"/>
        </w:trPr>
        <w:tc>
          <w:tcPr>
            <w:tcW w:w="3980" w:type="dxa"/>
            <w:vAlign w:val="bottom"/>
            <w:vMerge w:val="restart"/>
          </w:tcPr>
          <w:p>
            <w:pPr>
              <w:spacing w:after="0"/>
              <w:rPr>
                <w:sz w:val="20"/>
                <w:szCs w:val="20"/>
                <w:color w:val="auto"/>
              </w:rPr>
            </w:pPr>
            <w:r>
              <w:rPr>
                <w:rFonts w:ascii="Arial" w:cs="Arial" w:eastAsia="Arial" w:hAnsi="Arial"/>
                <w:sz w:val="16"/>
                <w:szCs w:val="16"/>
                <w:color w:val="00004D"/>
              </w:rPr>
              <w:t>Vice President of Partnership</w:t>
            </w: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3980" w:type="dxa"/>
            <w:vAlign w:val="bottom"/>
            <w:vMerge w:val="continue"/>
          </w:tcPr>
          <w:p>
            <w:pPr>
              <w:spacing w:after="0"/>
              <w:rPr>
                <w:sz w:val="9"/>
                <w:szCs w:val="9"/>
                <w:color w:val="auto"/>
              </w:rPr>
            </w:pPr>
          </w:p>
        </w:tc>
        <w:tc>
          <w:tcPr>
            <w:tcW w:w="2940" w:type="dxa"/>
            <w:vAlign w:val="bottom"/>
            <w:vMerge w:val="restart"/>
          </w:tcPr>
          <w:p>
            <w:pPr>
              <w:ind w:left="1000"/>
              <w:spacing w:after="0"/>
              <w:rPr>
                <w:sz w:val="20"/>
                <w:szCs w:val="20"/>
                <w:color w:val="auto"/>
              </w:rPr>
            </w:pPr>
            <w:r>
              <w:rPr>
                <w:rFonts w:ascii="Arial" w:cs="Arial" w:eastAsia="Arial" w:hAnsi="Arial"/>
                <w:sz w:val="16"/>
                <w:szCs w:val="16"/>
                <w:color w:val="00004D"/>
              </w:rPr>
              <w:t>Attorney of Counsel</w:t>
            </w:r>
          </w:p>
        </w:tc>
        <w:tc>
          <w:tcPr>
            <w:tcW w:w="0" w:type="dxa"/>
            <w:vAlign w:val="bottom"/>
          </w:tcPr>
          <w:p>
            <w:pPr>
              <w:spacing w:after="0"/>
              <w:rPr>
                <w:sz w:val="1"/>
                <w:szCs w:val="1"/>
                <w:color w:val="auto"/>
              </w:rPr>
            </w:pPr>
          </w:p>
        </w:tc>
      </w:tr>
      <w:tr>
        <w:trPr>
          <w:trHeight w:val="110"/>
        </w:trPr>
        <w:tc>
          <w:tcPr>
            <w:tcW w:w="3980" w:type="dxa"/>
            <w:vAlign w:val="bottom"/>
            <w:vMerge w:val="restart"/>
          </w:tcPr>
          <w:p>
            <w:pPr>
              <w:spacing w:after="0"/>
              <w:rPr>
                <w:sz w:val="20"/>
                <w:szCs w:val="20"/>
                <w:color w:val="auto"/>
              </w:rPr>
            </w:pPr>
            <w:r>
              <w:rPr>
                <w:rFonts w:ascii="Arial" w:cs="Arial" w:eastAsia="Arial" w:hAnsi="Arial"/>
                <w:sz w:val="16"/>
                <w:szCs w:val="16"/>
                <w:color w:val="00004D"/>
              </w:rPr>
              <w:t>Development</w:t>
            </w: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980" w:type="dxa"/>
            <w:vAlign w:val="bottom"/>
            <w:vMerge w:val="continue"/>
          </w:tcPr>
          <w:p>
            <w:pPr>
              <w:spacing w:after="0"/>
              <w:rPr>
                <w:sz w:val="9"/>
                <w:szCs w:val="9"/>
                <w:color w:val="auto"/>
              </w:rPr>
            </w:pPr>
          </w:p>
        </w:tc>
        <w:tc>
          <w:tcPr>
            <w:tcW w:w="2940" w:type="dxa"/>
            <w:vAlign w:val="bottom"/>
            <w:vMerge w:val="restart"/>
          </w:tcPr>
          <w:p>
            <w:pPr>
              <w:ind w:left="1000"/>
              <w:spacing w:after="0"/>
              <w:rPr>
                <w:sz w:val="20"/>
                <w:szCs w:val="20"/>
                <w:color w:val="auto"/>
              </w:rPr>
            </w:pPr>
            <w:r>
              <w:rPr>
                <w:rFonts w:ascii="Arial" w:cs="Arial" w:eastAsia="Arial" w:hAnsi="Arial"/>
                <w:sz w:val="14"/>
                <w:szCs w:val="14"/>
                <w:color w:val="auto"/>
              </w:rPr>
              <w:t>Adams and Reese LLP</w:t>
            </w:r>
          </w:p>
        </w:tc>
        <w:tc>
          <w:tcPr>
            <w:tcW w:w="0" w:type="dxa"/>
            <w:vAlign w:val="bottom"/>
          </w:tcPr>
          <w:p>
            <w:pPr>
              <w:spacing w:after="0"/>
              <w:rPr>
                <w:sz w:val="1"/>
                <w:szCs w:val="1"/>
                <w:color w:val="auto"/>
              </w:rPr>
            </w:pPr>
          </w:p>
        </w:tc>
      </w:tr>
      <w:tr>
        <w:trPr>
          <w:trHeight w:val="84"/>
        </w:trPr>
        <w:tc>
          <w:tcPr>
            <w:tcW w:w="3980" w:type="dxa"/>
            <w:vAlign w:val="bottom"/>
            <w:vMerge w:val="restart"/>
          </w:tcPr>
          <w:p>
            <w:pPr>
              <w:spacing w:after="0"/>
              <w:rPr>
                <w:sz w:val="20"/>
                <w:szCs w:val="20"/>
                <w:color w:val="auto"/>
              </w:rPr>
            </w:pPr>
            <w:r>
              <w:rPr>
                <w:rFonts w:ascii="Arial" w:cs="Arial" w:eastAsia="Arial" w:hAnsi="Arial"/>
                <w:sz w:val="14"/>
                <w:szCs w:val="14"/>
                <w:color w:val="auto"/>
              </w:rPr>
              <w:t>Frist Cressey Ventures</w:t>
            </w:r>
          </w:p>
        </w:tc>
        <w:tc>
          <w:tcPr>
            <w:tcW w:w="2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3980" w:type="dxa"/>
            <w:vAlign w:val="bottom"/>
            <w:vMerge w:val="continue"/>
          </w:tcPr>
          <w:p>
            <w:pPr>
              <w:spacing w:after="0"/>
              <w:rPr>
                <w:sz w:val="9"/>
                <w:szCs w:val="9"/>
                <w:color w:val="auto"/>
              </w:rPr>
            </w:pPr>
          </w:p>
        </w:tc>
        <w:tc>
          <w:tcPr>
            <w:tcW w:w="2940" w:type="dxa"/>
            <w:vAlign w:val="bottom"/>
            <w:vMerge w:val="restart"/>
          </w:tcPr>
          <w:p>
            <w:pPr>
              <w:ind w:left="1000"/>
              <w:spacing w:after="0"/>
              <w:rPr>
                <w:sz w:val="20"/>
                <w:szCs w:val="20"/>
                <w:color w:val="auto"/>
              </w:rPr>
            </w:pPr>
            <w:r>
              <w:rPr>
                <w:rFonts w:ascii="Arial" w:cs="Arial" w:eastAsia="Arial" w:hAnsi="Arial"/>
                <w:sz w:val="14"/>
                <w:szCs w:val="14"/>
                <w:color w:val="00004D"/>
              </w:rPr>
              <w:t>Former Board Director</w:t>
            </w:r>
          </w:p>
        </w:tc>
        <w:tc>
          <w:tcPr>
            <w:tcW w:w="0" w:type="dxa"/>
            <w:vAlign w:val="bottom"/>
          </w:tcPr>
          <w:p>
            <w:pPr>
              <w:spacing w:after="0"/>
              <w:rPr>
                <w:sz w:val="1"/>
                <w:szCs w:val="1"/>
                <w:color w:val="auto"/>
              </w:rPr>
            </w:pPr>
          </w:p>
        </w:tc>
      </w:tr>
      <w:tr>
        <w:trPr>
          <w:trHeight w:val="90"/>
        </w:trPr>
        <w:tc>
          <w:tcPr>
            <w:tcW w:w="3980" w:type="dxa"/>
            <w:vAlign w:val="bottom"/>
            <w:vMerge w:val="restart"/>
          </w:tcPr>
          <w:p>
            <w:pPr>
              <w:spacing w:after="0"/>
              <w:rPr>
                <w:sz w:val="20"/>
                <w:szCs w:val="20"/>
                <w:color w:val="auto"/>
              </w:rPr>
            </w:pPr>
            <w:r>
              <w:rPr>
                <w:rFonts w:ascii="Arial" w:cs="Arial" w:eastAsia="Arial" w:hAnsi="Arial"/>
                <w:sz w:val="14"/>
                <w:szCs w:val="14"/>
                <w:color w:val="00004D"/>
              </w:rPr>
              <w:t>Former President</w:t>
            </w:r>
          </w:p>
        </w:tc>
        <w:tc>
          <w:tcPr>
            <w:tcW w:w="2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3980" w:type="dxa"/>
            <w:vAlign w:val="bottom"/>
            <w:vMerge w:val="continue"/>
          </w:tcPr>
          <w:p>
            <w:pPr>
              <w:spacing w:after="0"/>
              <w:rPr>
                <w:sz w:val="9"/>
                <w:szCs w:val="9"/>
                <w:color w:val="auto"/>
              </w:rPr>
            </w:pPr>
          </w:p>
        </w:tc>
        <w:tc>
          <w:tcPr>
            <w:tcW w:w="2940" w:type="dxa"/>
            <w:vAlign w:val="bottom"/>
            <w:vMerge w:val="restart"/>
          </w:tcPr>
          <w:p>
            <w:pPr>
              <w:ind w:left="1000"/>
              <w:spacing w:after="0"/>
              <w:rPr>
                <w:sz w:val="20"/>
                <w:szCs w:val="20"/>
                <w:color w:val="auto"/>
              </w:rPr>
            </w:pPr>
            <w:r>
              <w:rPr>
                <w:rFonts w:ascii="Arial" w:cs="Arial" w:eastAsia="Arial" w:hAnsi="Arial"/>
                <w:sz w:val="14"/>
                <w:szCs w:val="14"/>
                <w:color w:val="auto"/>
              </w:rPr>
              <w:t>Brown-Forman Corporation</w:t>
            </w:r>
          </w:p>
        </w:tc>
        <w:tc>
          <w:tcPr>
            <w:tcW w:w="0" w:type="dxa"/>
            <w:vAlign w:val="bottom"/>
          </w:tcPr>
          <w:p>
            <w:pPr>
              <w:spacing w:after="0"/>
              <w:rPr>
                <w:sz w:val="1"/>
                <w:szCs w:val="1"/>
                <w:color w:val="auto"/>
              </w:rPr>
            </w:pPr>
          </w:p>
        </w:tc>
      </w:tr>
      <w:tr>
        <w:trPr>
          <w:trHeight w:val="90"/>
        </w:trPr>
        <w:tc>
          <w:tcPr>
            <w:tcW w:w="3980" w:type="dxa"/>
            <w:vAlign w:val="bottom"/>
            <w:vMerge w:val="restart"/>
          </w:tcPr>
          <w:p>
            <w:pPr>
              <w:spacing w:after="0"/>
              <w:rPr>
                <w:sz w:val="20"/>
                <w:szCs w:val="20"/>
                <w:color w:val="auto"/>
              </w:rPr>
            </w:pPr>
            <w:r>
              <w:rPr>
                <w:rFonts w:ascii="Arial" w:cs="Arial" w:eastAsia="Arial" w:hAnsi="Arial"/>
                <w:sz w:val="14"/>
                <w:szCs w:val="14"/>
                <w:color w:val="auto"/>
              </w:rPr>
              <w:t>Nashville Health Care Council</w:t>
            </w:r>
          </w:p>
        </w:tc>
        <w:tc>
          <w:tcPr>
            <w:tcW w:w="2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398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-2404110</wp:posOffset>
            </wp:positionV>
            <wp:extent cx="4079240" cy="24930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4">
                      <a:extLst>
                        <a:ext uri="{28A0092B-C50C-407E-A947-70E740481C1C}"/>
                      </a:extLst>
                    </a:blip>
                    <a:srcRect/>
                    <a:stretch>
                      <a:fillRect/>
                    </a:stretch>
                  </pic:blipFill>
                  <pic:spPr bwMode="auto">
                    <a:xfrm>
                      <a:off x="0" y="0"/>
                      <a:ext cx="4079240" cy="249301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6932295</wp:posOffset>
                </wp:positionH>
                <wp:positionV relativeFrom="paragraph">
                  <wp:posOffset>704850</wp:posOffset>
                </wp:positionV>
                <wp:extent cx="382905" cy="191135"/>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2905" cy="191135"/>
                        </a:xfrm>
                        <a:prstGeom prst="rect">
                          <a:avLst/>
                        </a:prstGeom>
                        <a:solidFill>
                          <a:srgbClr val="00065C"/>
                        </a:solidFill>
                      </wps:spPr>
                      <wps:bodyPr/>
                    </wps:wsp>
                  </a:graphicData>
                </a:graphic>
              </wp:anchor>
            </w:drawing>
          </mc:Choice>
          <mc:Fallback>
            <w:pict>
              <v:rect id="Shape 49" o:spid="_x0000_s1074" style="position:absolute;margin-left:545.85pt;margin-top:55.5pt;width:30.15pt;height:15.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65C" stroked="f"/>
            </w:pict>
          </mc:Fallback>
        </mc:AlternateContent>
      </w:r>
    </w:p>
    <w:p>
      <w:pPr>
        <w:sectPr>
          <w:pgSz w:w="12240" w:h="15840" w:orient="portrait"/>
          <w:cols w:equalWidth="0" w:num="1">
            <w:col w:w="11180"/>
          </w:cols>
          <w:pgMar w:left="720" w:top="1440" w:right="3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9240"/>
        <w:spacing w:after="0"/>
        <w:tabs>
          <w:tab w:leader="none" w:pos="11020" w:val="left"/>
        </w:tabs>
        <w:rPr>
          <w:sz w:val="20"/>
          <w:szCs w:val="20"/>
          <w:color w:val="auto"/>
        </w:rPr>
      </w:pPr>
      <w:r>
        <w:rPr>
          <w:rFonts w:ascii="Arial" w:cs="Arial" w:eastAsia="Arial" w:hAnsi="Arial"/>
          <w:sz w:val="16"/>
          <w:szCs w:val="16"/>
          <w:color w:val="00004D"/>
        </w:rPr>
        <w:t>2024 Annual Report</w:t>
      </w:r>
      <w:r>
        <w:rPr>
          <w:sz w:val="20"/>
          <w:szCs w:val="20"/>
          <w:color w:val="auto"/>
        </w:rPr>
        <w:tab/>
      </w:r>
      <w:r>
        <w:rPr>
          <w:rFonts w:ascii="Arial" w:cs="Arial" w:eastAsia="Arial" w:hAnsi="Arial"/>
          <w:sz w:val="12"/>
          <w:szCs w:val="12"/>
          <w:b w:val="1"/>
          <w:bCs w:val="1"/>
          <w:color w:val="FFFFFF"/>
        </w:rPr>
        <w:t>11</w:t>
      </w:r>
    </w:p>
    <w:p>
      <w:pPr>
        <w:sectPr>
          <w:pgSz w:w="12240" w:h="15840" w:orient="portrait"/>
          <w:cols w:equalWidth="0" w:num="1">
            <w:col w:w="11180"/>
          </w:cols>
          <w:pgMar w:left="720" w:top="1440" w:right="340" w:bottom="0" w:gutter="0" w:footer="0" w:header="0"/>
          <w:type w:val="continuous"/>
        </w:sectPr>
      </w:pPr>
    </w:p>
    <w:bookmarkStart w:id="13" w:name="page14"/>
    <w:bookmarkEnd w:id="13"/>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5">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ind w:left="407"/>
        <w:spacing w:after="0"/>
        <w:rPr>
          <w:sz w:val="20"/>
          <w:szCs w:val="20"/>
          <w:color w:val="auto"/>
        </w:rPr>
      </w:pPr>
      <w:r>
        <w:rPr>
          <w:rFonts w:ascii="Arial" w:cs="Arial" w:eastAsia="Arial" w:hAnsi="Arial"/>
          <w:sz w:val="54"/>
          <w:szCs w:val="54"/>
          <w:color w:val="FFFFFF"/>
        </w:rPr>
        <w:t>Selected Financial Data</w:t>
      </w:r>
    </w:p>
    <w:p>
      <w:pPr>
        <w:spacing w:after="0" w:line="298" w:lineRule="exact"/>
        <w:rPr>
          <w:sz w:val="20"/>
          <w:szCs w:val="20"/>
          <w:color w:val="auto"/>
        </w:rPr>
      </w:pPr>
    </w:p>
    <w:p>
      <w:pPr>
        <w:ind w:left="407" w:right="40"/>
        <w:spacing w:after="0" w:line="288" w:lineRule="auto"/>
        <w:rPr>
          <w:sz w:val="20"/>
          <w:szCs w:val="20"/>
          <w:color w:val="auto"/>
        </w:rPr>
      </w:pPr>
      <w:r>
        <w:rPr>
          <w:rFonts w:ascii="Arial" w:cs="Arial" w:eastAsia="Arial" w:hAnsi="Arial"/>
          <w:sz w:val="22"/>
          <w:szCs w:val="22"/>
          <w:color w:val="FFFFFF"/>
        </w:rPr>
        <w:t>Our strategy involves maximizing the potential of our existing brands while continuing to build a portfolio of unique, differentiated products. The result of these efforts has strengthened our market presence and diversified our revenue stream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307" w:type="dxa"/>
        <w:tblCellMar>
          <w:top w:w="0" w:type="dxa"/>
          <w:left w:w="0" w:type="dxa"/>
          <w:bottom w:w="0" w:type="dxa"/>
          <w:right w:w="0" w:type="dxa"/>
        </w:tblCellMar>
      </w:tblPr>
      <w:tr>
        <w:trPr>
          <w:trHeight w:val="219"/>
        </w:trPr>
        <w:tc>
          <w:tcPr>
            <w:tcW w:w="3560" w:type="dxa"/>
            <w:vAlign w:val="bottom"/>
          </w:tcPr>
          <w:p>
            <w:pPr>
              <w:ind w:left="60"/>
              <w:spacing w:after="0"/>
              <w:rPr>
                <w:sz w:val="20"/>
                <w:szCs w:val="20"/>
                <w:color w:val="auto"/>
              </w:rPr>
            </w:pPr>
            <w:r>
              <w:rPr>
                <w:rFonts w:ascii="Arial" w:cs="Arial" w:eastAsia="Arial" w:hAnsi="Arial"/>
                <w:sz w:val="16"/>
                <w:szCs w:val="16"/>
                <w:color w:val="auto"/>
              </w:rPr>
              <w:t>(dollars in thousands except per share data)</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2020</w:t>
            </w:r>
          </w:p>
        </w:tc>
        <w:tc>
          <w:tcPr>
            <w:tcW w:w="3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2021</w:t>
            </w:r>
          </w:p>
        </w:tc>
        <w:tc>
          <w:tcPr>
            <w:tcW w:w="600" w:type="dxa"/>
            <w:vAlign w:val="bottom"/>
          </w:tcPr>
          <w:p>
            <w:pPr>
              <w:spacing w:after="0"/>
              <w:rPr>
                <w:sz w:val="19"/>
                <w:szCs w:val="19"/>
                <w:color w:val="auto"/>
              </w:rPr>
            </w:pP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2022</w:t>
            </w:r>
          </w:p>
        </w:tc>
        <w:tc>
          <w:tcPr>
            <w:tcW w:w="3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2023</w:t>
            </w:r>
          </w:p>
        </w:tc>
        <w:tc>
          <w:tcPr>
            <w:tcW w:w="2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00004D"/>
              </w:rPr>
              <w:t>2024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3560" w:type="dxa"/>
            <w:vAlign w:val="bottom"/>
            <w:tcBorders>
              <w:bottom w:val="single" w:sz="8" w:color="00004D"/>
            </w:tcBorders>
          </w:tcPr>
          <w:p>
            <w:pPr>
              <w:spacing w:after="0"/>
              <w:rPr>
                <w:sz w:val="6"/>
                <w:szCs w:val="6"/>
                <w:color w:val="auto"/>
              </w:rPr>
            </w:pPr>
          </w:p>
        </w:tc>
        <w:tc>
          <w:tcPr>
            <w:tcW w:w="360" w:type="dxa"/>
            <w:vAlign w:val="bottom"/>
            <w:tcBorders>
              <w:bottom w:val="single" w:sz="8" w:color="00004D"/>
            </w:tcBorders>
          </w:tcPr>
          <w:p>
            <w:pPr>
              <w:spacing w:after="0"/>
              <w:rPr>
                <w:sz w:val="6"/>
                <w:szCs w:val="6"/>
                <w:color w:val="auto"/>
              </w:rPr>
            </w:pPr>
          </w:p>
        </w:tc>
        <w:tc>
          <w:tcPr>
            <w:tcW w:w="500" w:type="dxa"/>
            <w:vAlign w:val="bottom"/>
            <w:tcBorders>
              <w:bottom w:val="single" w:sz="8" w:color="00004D"/>
            </w:tcBorders>
          </w:tcPr>
          <w:p>
            <w:pPr>
              <w:spacing w:after="0"/>
              <w:rPr>
                <w:sz w:val="6"/>
                <w:szCs w:val="6"/>
                <w:color w:val="auto"/>
              </w:rPr>
            </w:pPr>
          </w:p>
        </w:tc>
        <w:tc>
          <w:tcPr>
            <w:tcW w:w="300" w:type="dxa"/>
            <w:vAlign w:val="bottom"/>
            <w:tcBorders>
              <w:bottom w:val="single" w:sz="8" w:color="00004D"/>
            </w:tcBorders>
          </w:tcPr>
          <w:p>
            <w:pPr>
              <w:spacing w:after="0"/>
              <w:rPr>
                <w:sz w:val="6"/>
                <w:szCs w:val="6"/>
                <w:color w:val="auto"/>
              </w:rPr>
            </w:pPr>
          </w:p>
        </w:tc>
        <w:tc>
          <w:tcPr>
            <w:tcW w:w="300" w:type="dxa"/>
            <w:vAlign w:val="bottom"/>
            <w:tcBorders>
              <w:bottom w:val="single" w:sz="8" w:color="00004D"/>
            </w:tcBorders>
          </w:tcPr>
          <w:p>
            <w:pPr>
              <w:spacing w:after="0"/>
              <w:rPr>
                <w:sz w:val="6"/>
                <w:szCs w:val="6"/>
                <w:color w:val="auto"/>
              </w:rPr>
            </w:pPr>
          </w:p>
        </w:tc>
        <w:tc>
          <w:tcPr>
            <w:tcW w:w="580" w:type="dxa"/>
            <w:vAlign w:val="bottom"/>
            <w:tcBorders>
              <w:bottom w:val="single" w:sz="8" w:color="00004D"/>
            </w:tcBorders>
          </w:tcPr>
          <w:p>
            <w:pPr>
              <w:spacing w:after="0"/>
              <w:rPr>
                <w:sz w:val="6"/>
                <w:szCs w:val="6"/>
                <w:color w:val="auto"/>
              </w:rPr>
            </w:pPr>
          </w:p>
        </w:tc>
        <w:tc>
          <w:tcPr>
            <w:tcW w:w="600" w:type="dxa"/>
            <w:vAlign w:val="bottom"/>
            <w:tcBorders>
              <w:bottom w:val="single" w:sz="8" w:color="00004D"/>
            </w:tcBorders>
          </w:tcPr>
          <w:p>
            <w:pPr>
              <w:spacing w:after="0"/>
              <w:rPr>
                <w:sz w:val="6"/>
                <w:szCs w:val="6"/>
                <w:color w:val="auto"/>
              </w:rPr>
            </w:pPr>
          </w:p>
        </w:tc>
        <w:tc>
          <w:tcPr>
            <w:tcW w:w="580" w:type="dxa"/>
            <w:vAlign w:val="bottom"/>
            <w:tcBorders>
              <w:bottom w:val="single" w:sz="8" w:color="00004D"/>
            </w:tcBorders>
          </w:tcPr>
          <w:p>
            <w:pPr>
              <w:spacing w:after="0"/>
              <w:rPr>
                <w:sz w:val="6"/>
                <w:szCs w:val="6"/>
                <w:color w:val="auto"/>
              </w:rPr>
            </w:pPr>
          </w:p>
        </w:tc>
        <w:tc>
          <w:tcPr>
            <w:tcW w:w="300" w:type="dxa"/>
            <w:vAlign w:val="bottom"/>
            <w:tcBorders>
              <w:bottom w:val="single" w:sz="8" w:color="00004D"/>
            </w:tcBorders>
          </w:tcPr>
          <w:p>
            <w:pPr>
              <w:spacing w:after="0"/>
              <w:rPr>
                <w:sz w:val="6"/>
                <w:szCs w:val="6"/>
                <w:color w:val="auto"/>
              </w:rPr>
            </w:pPr>
          </w:p>
        </w:tc>
        <w:tc>
          <w:tcPr>
            <w:tcW w:w="300" w:type="dxa"/>
            <w:vAlign w:val="bottom"/>
            <w:tcBorders>
              <w:bottom w:val="single" w:sz="8" w:color="00004D"/>
            </w:tcBorders>
          </w:tcPr>
          <w:p>
            <w:pPr>
              <w:spacing w:after="0"/>
              <w:rPr>
                <w:sz w:val="6"/>
                <w:szCs w:val="6"/>
                <w:color w:val="auto"/>
              </w:rPr>
            </w:pPr>
          </w:p>
        </w:tc>
        <w:tc>
          <w:tcPr>
            <w:tcW w:w="560" w:type="dxa"/>
            <w:vAlign w:val="bottom"/>
            <w:tcBorders>
              <w:bottom w:val="single" w:sz="8" w:color="00004D"/>
            </w:tcBorders>
          </w:tcPr>
          <w:p>
            <w:pPr>
              <w:spacing w:after="0"/>
              <w:rPr>
                <w:sz w:val="6"/>
                <w:szCs w:val="6"/>
                <w:color w:val="auto"/>
              </w:rPr>
            </w:pPr>
          </w:p>
        </w:tc>
        <w:tc>
          <w:tcPr>
            <w:tcW w:w="260" w:type="dxa"/>
            <w:vAlign w:val="bottom"/>
            <w:tcBorders>
              <w:bottom w:val="single" w:sz="8" w:color="00004D"/>
            </w:tcBorders>
          </w:tcPr>
          <w:p>
            <w:pPr>
              <w:spacing w:after="0"/>
              <w:rPr>
                <w:sz w:val="6"/>
                <w:szCs w:val="6"/>
                <w:color w:val="auto"/>
              </w:rPr>
            </w:pPr>
          </w:p>
        </w:tc>
        <w:tc>
          <w:tcPr>
            <w:tcW w:w="340" w:type="dxa"/>
            <w:vAlign w:val="bottom"/>
            <w:tcBorders>
              <w:bottom w:val="single" w:sz="8" w:color="00004D"/>
            </w:tcBorders>
          </w:tcPr>
          <w:p>
            <w:pPr>
              <w:spacing w:after="0"/>
              <w:rPr>
                <w:sz w:val="6"/>
                <w:szCs w:val="6"/>
                <w:color w:val="auto"/>
              </w:rPr>
            </w:pPr>
          </w:p>
        </w:tc>
        <w:tc>
          <w:tcPr>
            <w:tcW w:w="480" w:type="dxa"/>
            <w:vAlign w:val="bottom"/>
            <w:tcBorders>
              <w:bottom w:val="single" w:sz="8" w:color="00004D"/>
            </w:tcBorders>
          </w:tcPr>
          <w:p>
            <w:pPr>
              <w:spacing w:after="0"/>
              <w:rPr>
                <w:sz w:val="6"/>
                <w:szCs w:val="6"/>
                <w:color w:val="auto"/>
              </w:rPr>
            </w:pPr>
          </w:p>
        </w:tc>
        <w:tc>
          <w:tcPr>
            <w:tcW w:w="260" w:type="dxa"/>
            <w:vAlign w:val="bottom"/>
            <w:tcBorders>
              <w:bottom w:val="single" w:sz="8" w:color="00004D"/>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3560" w:type="dxa"/>
            <w:vAlign w:val="bottom"/>
          </w:tcPr>
          <w:p>
            <w:pPr>
              <w:ind w:left="60"/>
              <w:spacing w:after="0"/>
              <w:rPr>
                <w:sz w:val="20"/>
                <w:szCs w:val="20"/>
                <w:color w:val="auto"/>
              </w:rPr>
            </w:pPr>
            <w:r>
              <w:rPr>
                <w:rFonts w:ascii="Arial" w:cs="Arial" w:eastAsia="Arial" w:hAnsi="Arial"/>
                <w:sz w:val="16"/>
                <w:szCs w:val="16"/>
                <w:color w:val="00004D"/>
              </w:rPr>
              <w:t>Net Revenues</w:t>
            </w:r>
          </w:p>
        </w:tc>
        <w:tc>
          <w:tcPr>
            <w:tcW w:w="1160" w:type="dxa"/>
            <w:vAlign w:val="bottom"/>
            <w:gridSpan w:val="3"/>
          </w:tcPr>
          <w:p>
            <w:pPr>
              <w:jc w:val="right"/>
              <w:ind w:right="300"/>
              <w:spacing w:after="0"/>
              <w:rPr>
                <w:sz w:val="20"/>
                <w:szCs w:val="20"/>
                <w:color w:val="auto"/>
              </w:rPr>
            </w:pPr>
            <w:r>
              <w:rPr>
                <w:rFonts w:ascii="Arial" w:cs="Arial" w:eastAsia="Arial" w:hAnsi="Arial"/>
                <w:sz w:val="16"/>
                <w:szCs w:val="16"/>
                <w:color w:val="auto"/>
              </w:rPr>
              <w:t>$37,441</w:t>
            </w:r>
          </w:p>
        </w:tc>
        <w:tc>
          <w:tcPr>
            <w:tcW w:w="1480" w:type="dxa"/>
            <w:vAlign w:val="bottom"/>
            <w:gridSpan w:val="3"/>
          </w:tcPr>
          <w:p>
            <w:pPr>
              <w:jc w:val="right"/>
              <w:ind w:right="600"/>
              <w:spacing w:after="0"/>
              <w:rPr>
                <w:sz w:val="20"/>
                <w:szCs w:val="20"/>
                <w:color w:val="auto"/>
              </w:rPr>
            </w:pPr>
            <w:r>
              <w:rPr>
                <w:rFonts w:ascii="Arial" w:cs="Arial" w:eastAsia="Arial" w:hAnsi="Arial"/>
                <w:sz w:val="16"/>
                <w:szCs w:val="16"/>
                <w:color w:val="auto"/>
              </w:rPr>
              <w:t>$35,985</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w w:val="96"/>
              </w:rPr>
              <w:t>$42,011</w:t>
            </w:r>
          </w:p>
        </w:tc>
        <w:tc>
          <w:tcPr>
            <w:tcW w:w="1120" w:type="dxa"/>
            <w:vAlign w:val="bottom"/>
            <w:gridSpan w:val="3"/>
          </w:tcPr>
          <w:p>
            <w:pPr>
              <w:jc w:val="right"/>
              <w:ind w:right="260"/>
              <w:spacing w:after="0"/>
              <w:rPr>
                <w:sz w:val="20"/>
                <w:szCs w:val="20"/>
                <w:color w:val="auto"/>
              </w:rPr>
            </w:pPr>
            <w:r>
              <w:rPr>
                <w:rFonts w:ascii="Arial" w:cs="Arial" w:eastAsia="Arial" w:hAnsi="Arial"/>
                <w:sz w:val="16"/>
                <w:szCs w:val="16"/>
                <w:color w:val="auto"/>
              </w:rPr>
              <w:t>$39,553</w:t>
            </w:r>
          </w:p>
        </w:tc>
        <w:tc>
          <w:tcPr>
            <w:tcW w:w="820" w:type="dxa"/>
            <w:vAlign w:val="bottom"/>
            <w:gridSpan w:val="2"/>
          </w:tcPr>
          <w:p>
            <w:pPr>
              <w:jc w:val="right"/>
              <w:spacing w:after="0"/>
              <w:rPr>
                <w:sz w:val="20"/>
                <w:szCs w:val="20"/>
                <w:color w:val="auto"/>
              </w:rPr>
            </w:pPr>
            <w:r>
              <w:rPr>
                <w:rFonts w:ascii="Arial" w:cs="Arial" w:eastAsia="Arial" w:hAnsi="Arial"/>
                <w:sz w:val="16"/>
                <w:szCs w:val="16"/>
                <w:color w:val="00004D"/>
              </w:rPr>
              <w:t>$37,868</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60" w:type="dxa"/>
            <w:vAlign w:val="bottom"/>
          </w:tcPr>
          <w:p>
            <w:pPr>
              <w:ind w:left="60"/>
              <w:spacing w:after="0"/>
              <w:rPr>
                <w:sz w:val="20"/>
                <w:szCs w:val="20"/>
                <w:color w:val="auto"/>
              </w:rPr>
            </w:pPr>
            <w:r>
              <w:rPr>
                <w:rFonts w:ascii="Arial" w:cs="Arial" w:eastAsia="Arial" w:hAnsi="Arial"/>
                <w:sz w:val="16"/>
                <w:szCs w:val="16"/>
                <w:color w:val="00004D"/>
              </w:rPr>
              <w:t>Less Total Expenses</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40,780</w:t>
            </w:r>
          </w:p>
        </w:tc>
        <w:tc>
          <w:tcPr>
            <w:tcW w:w="300" w:type="dxa"/>
            <w:vAlign w:val="bottom"/>
          </w:tcPr>
          <w:p>
            <w:pPr>
              <w:spacing w:after="0"/>
              <w:rPr>
                <w:sz w:val="19"/>
                <w:szCs w:val="19"/>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6"/>
                <w:szCs w:val="16"/>
                <w:color w:val="auto"/>
              </w:rPr>
              <w:t>39,493</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47,661</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45,884</w:t>
            </w:r>
          </w:p>
        </w:tc>
        <w:tc>
          <w:tcPr>
            <w:tcW w:w="2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00004D"/>
              </w:rPr>
              <w:t>44,312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3560" w:type="dxa"/>
            <w:vAlign w:val="bottom"/>
            <w:vMerge w:val="restart"/>
          </w:tcPr>
          <w:p>
            <w:pPr>
              <w:ind w:left="60"/>
              <w:spacing w:after="0"/>
              <w:rPr>
                <w:sz w:val="20"/>
                <w:szCs w:val="20"/>
                <w:color w:val="auto"/>
              </w:rPr>
            </w:pPr>
            <w:r>
              <w:rPr>
                <w:rFonts w:ascii="Arial" w:cs="Arial" w:eastAsia="Arial" w:hAnsi="Arial"/>
                <w:sz w:val="16"/>
                <w:szCs w:val="16"/>
                <w:color w:val="00004D"/>
              </w:rPr>
              <w:t>Net Income (Loss)</w:t>
            </w:r>
          </w:p>
        </w:tc>
        <w:tc>
          <w:tcPr>
            <w:tcW w:w="3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Borders>
              <w:bottom w:val="single" w:sz="8" w:color="00004D"/>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560" w:type="dxa"/>
            <w:vAlign w:val="bottom"/>
            <w:vMerge w:val="continue"/>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(3,339)</w:t>
            </w:r>
          </w:p>
        </w:tc>
        <w:tc>
          <w:tcPr>
            <w:tcW w:w="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(3,508)</w:t>
            </w:r>
          </w:p>
        </w:tc>
        <w:tc>
          <w:tcPr>
            <w:tcW w:w="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(5,650)</w:t>
            </w:r>
          </w:p>
        </w:tc>
        <w:tc>
          <w:tcPr>
            <w:tcW w:w="3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(6,331)</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00004D"/>
              </w:rPr>
              <w:t>(6,444)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5"/>
        </w:trPr>
        <w:tc>
          <w:tcPr>
            <w:tcW w:w="3560" w:type="dxa"/>
            <w:vAlign w:val="bottom"/>
          </w:tcPr>
          <w:p>
            <w:pPr>
              <w:ind w:left="60"/>
              <w:spacing w:after="0"/>
              <w:rPr>
                <w:sz w:val="20"/>
                <w:szCs w:val="20"/>
                <w:color w:val="auto"/>
              </w:rPr>
            </w:pPr>
            <w:r>
              <w:rPr>
                <w:rFonts w:ascii="Arial" w:cs="Arial" w:eastAsia="Arial" w:hAnsi="Arial"/>
                <w:sz w:val="16"/>
                <w:szCs w:val="16"/>
                <w:color w:val="00004D"/>
              </w:rPr>
              <w:t>Cash Flow from Operating Activities</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5,415</w:t>
            </w:r>
          </w:p>
        </w:tc>
        <w:tc>
          <w:tcPr>
            <w:tcW w:w="3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6,342</w:t>
            </w:r>
          </w:p>
        </w:tc>
        <w:tc>
          <w:tcPr>
            <w:tcW w:w="6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8,453</w:t>
            </w:r>
          </w:p>
        </w:tc>
        <w:tc>
          <w:tcPr>
            <w:tcW w:w="3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6,094</w:t>
            </w:r>
          </w:p>
        </w:tc>
        <w:tc>
          <w:tcPr>
            <w:tcW w:w="2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00004D"/>
              </w:rPr>
              <w:t>(612)</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560" w:type="dxa"/>
            <w:vAlign w:val="bottom"/>
          </w:tcPr>
          <w:p>
            <w:pPr>
              <w:ind w:left="60"/>
              <w:spacing w:after="0"/>
              <w:rPr>
                <w:sz w:val="20"/>
                <w:szCs w:val="20"/>
                <w:color w:val="auto"/>
              </w:rPr>
            </w:pPr>
            <w:r>
              <w:rPr>
                <w:rFonts w:ascii="Arial" w:cs="Arial" w:eastAsia="Arial" w:hAnsi="Arial"/>
                <w:sz w:val="16"/>
                <w:szCs w:val="16"/>
                <w:color w:val="00004D"/>
              </w:rPr>
              <w:t>Total Assets</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96,463</w:t>
            </w:r>
          </w:p>
        </w:tc>
        <w:tc>
          <w:tcPr>
            <w:tcW w:w="3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84,460</w:t>
            </w:r>
          </w:p>
        </w:tc>
        <w:tc>
          <w:tcPr>
            <w:tcW w:w="600" w:type="dxa"/>
            <w:vAlign w:val="bottom"/>
          </w:tcPr>
          <w:p>
            <w:pPr>
              <w:spacing w:after="0"/>
              <w:rPr>
                <w:sz w:val="24"/>
                <w:szCs w:val="2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92,925</w:t>
            </w:r>
          </w:p>
        </w:tc>
        <w:tc>
          <w:tcPr>
            <w:tcW w:w="1120" w:type="dxa"/>
            <w:vAlign w:val="bottom"/>
            <w:gridSpan w:val="3"/>
          </w:tcPr>
          <w:p>
            <w:pPr>
              <w:jc w:val="right"/>
              <w:ind w:right="260"/>
              <w:spacing w:after="0"/>
              <w:rPr>
                <w:sz w:val="20"/>
                <w:szCs w:val="20"/>
                <w:color w:val="auto"/>
              </w:rPr>
            </w:pPr>
            <w:r>
              <w:rPr>
                <w:rFonts w:ascii="Arial" w:cs="Arial" w:eastAsia="Arial" w:hAnsi="Arial"/>
                <w:sz w:val="16"/>
                <w:szCs w:val="16"/>
                <w:color w:val="auto"/>
              </w:rPr>
              <w:t>81,776</w:t>
            </w:r>
          </w:p>
        </w:tc>
        <w:tc>
          <w:tcPr>
            <w:tcW w:w="1080" w:type="dxa"/>
            <w:vAlign w:val="bottom"/>
            <w:gridSpan w:val="3"/>
          </w:tcPr>
          <w:p>
            <w:pPr>
              <w:jc w:val="right"/>
              <w:ind w:right="260"/>
              <w:spacing w:after="0"/>
              <w:rPr>
                <w:sz w:val="20"/>
                <w:szCs w:val="20"/>
                <w:color w:val="auto"/>
              </w:rPr>
            </w:pPr>
            <w:r>
              <w:rPr>
                <w:rFonts w:ascii="Arial" w:cs="Arial" w:eastAsia="Arial" w:hAnsi="Arial"/>
                <w:sz w:val="16"/>
                <w:szCs w:val="16"/>
                <w:color w:val="00004D"/>
              </w:rPr>
              <w:t>75,583</w:t>
            </w:r>
          </w:p>
        </w:tc>
        <w:tc>
          <w:tcPr>
            <w:tcW w:w="0" w:type="dxa"/>
            <w:vAlign w:val="bottom"/>
          </w:tcPr>
          <w:p>
            <w:pPr>
              <w:spacing w:after="0"/>
              <w:rPr>
                <w:sz w:val="1"/>
                <w:szCs w:val="1"/>
                <w:color w:val="auto"/>
              </w:rPr>
            </w:pPr>
          </w:p>
        </w:tc>
      </w:tr>
      <w:tr>
        <w:trPr>
          <w:trHeight w:val="282"/>
        </w:trPr>
        <w:tc>
          <w:tcPr>
            <w:tcW w:w="3560" w:type="dxa"/>
            <w:vAlign w:val="bottom"/>
          </w:tcPr>
          <w:p>
            <w:pPr>
              <w:ind w:left="60"/>
              <w:spacing w:after="0"/>
              <w:rPr>
                <w:sz w:val="20"/>
                <w:szCs w:val="20"/>
                <w:color w:val="auto"/>
              </w:rPr>
            </w:pPr>
            <w:r>
              <w:rPr>
                <w:rFonts w:ascii="Arial" w:cs="Arial" w:eastAsia="Arial" w:hAnsi="Arial"/>
                <w:sz w:val="16"/>
                <w:szCs w:val="16"/>
                <w:color w:val="00004D"/>
              </w:rPr>
              <w:t>Total Liabilities</w:t>
            </w:r>
          </w:p>
        </w:tc>
        <w:tc>
          <w:tcPr>
            <w:tcW w:w="1160" w:type="dxa"/>
            <w:vAlign w:val="bottom"/>
            <w:gridSpan w:val="3"/>
          </w:tcPr>
          <w:p>
            <w:pPr>
              <w:jc w:val="right"/>
              <w:ind w:right="300"/>
              <w:spacing w:after="0"/>
              <w:rPr>
                <w:sz w:val="20"/>
                <w:szCs w:val="20"/>
                <w:color w:val="auto"/>
              </w:rPr>
            </w:pPr>
            <w:r>
              <w:rPr>
                <w:rFonts w:ascii="Arial" w:cs="Arial" w:eastAsia="Arial" w:hAnsi="Arial"/>
                <w:sz w:val="16"/>
                <w:szCs w:val="16"/>
                <w:color w:val="auto"/>
              </w:rPr>
              <w:t>49,590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41,858</w:t>
            </w:r>
          </w:p>
        </w:tc>
        <w:tc>
          <w:tcPr>
            <w:tcW w:w="600" w:type="dxa"/>
            <w:vAlign w:val="bottom"/>
          </w:tcPr>
          <w:p>
            <w:pPr>
              <w:spacing w:after="0"/>
              <w:rPr>
                <w:sz w:val="24"/>
                <w:szCs w:val="2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56,951</w:t>
            </w:r>
          </w:p>
        </w:tc>
        <w:tc>
          <w:tcPr>
            <w:tcW w:w="1120" w:type="dxa"/>
            <w:vAlign w:val="bottom"/>
            <w:gridSpan w:val="3"/>
          </w:tcPr>
          <w:p>
            <w:pPr>
              <w:jc w:val="right"/>
              <w:ind w:right="260"/>
              <w:spacing w:after="0"/>
              <w:rPr>
                <w:sz w:val="20"/>
                <w:szCs w:val="20"/>
                <w:color w:val="auto"/>
              </w:rPr>
            </w:pPr>
            <w:r>
              <w:rPr>
                <w:rFonts w:ascii="Arial" w:cs="Arial" w:eastAsia="Arial" w:hAnsi="Arial"/>
                <w:sz w:val="16"/>
                <w:szCs w:val="16"/>
                <w:color w:val="auto"/>
              </w:rPr>
              <w:t>52,516</w:t>
            </w:r>
          </w:p>
        </w:tc>
        <w:tc>
          <w:tcPr>
            <w:tcW w:w="1080" w:type="dxa"/>
            <w:vAlign w:val="bottom"/>
            <w:gridSpan w:val="3"/>
          </w:tcPr>
          <w:p>
            <w:pPr>
              <w:jc w:val="right"/>
              <w:ind w:right="260"/>
              <w:spacing w:after="0"/>
              <w:rPr>
                <w:sz w:val="20"/>
                <w:szCs w:val="20"/>
                <w:color w:val="auto"/>
              </w:rPr>
            </w:pPr>
            <w:r>
              <w:rPr>
                <w:rFonts w:ascii="Arial" w:cs="Arial" w:eastAsia="Arial" w:hAnsi="Arial"/>
                <w:sz w:val="16"/>
                <w:szCs w:val="16"/>
                <w:color w:val="00004D"/>
              </w:rPr>
              <w:t>53,037</w:t>
            </w:r>
          </w:p>
        </w:tc>
        <w:tc>
          <w:tcPr>
            <w:tcW w:w="0" w:type="dxa"/>
            <w:vAlign w:val="bottom"/>
          </w:tcPr>
          <w:p>
            <w:pPr>
              <w:spacing w:after="0"/>
              <w:rPr>
                <w:sz w:val="1"/>
                <w:szCs w:val="1"/>
                <w:color w:val="auto"/>
              </w:rPr>
            </w:pPr>
          </w:p>
        </w:tc>
      </w:tr>
      <w:tr>
        <w:trPr>
          <w:trHeight w:val="282"/>
        </w:trPr>
        <w:tc>
          <w:tcPr>
            <w:tcW w:w="3560" w:type="dxa"/>
            <w:vAlign w:val="bottom"/>
          </w:tcPr>
          <w:p>
            <w:pPr>
              <w:ind w:left="60"/>
              <w:spacing w:after="0"/>
              <w:rPr>
                <w:sz w:val="20"/>
                <w:szCs w:val="20"/>
                <w:color w:val="auto"/>
              </w:rPr>
            </w:pPr>
            <w:r>
              <w:rPr>
                <w:rFonts w:ascii="Arial" w:cs="Arial" w:eastAsia="Arial" w:hAnsi="Arial"/>
                <w:sz w:val="16"/>
                <w:szCs w:val="16"/>
                <w:color w:val="00004D"/>
              </w:rPr>
              <w:t>Total Equity</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46,873</w:t>
            </w:r>
          </w:p>
        </w:tc>
        <w:tc>
          <w:tcPr>
            <w:tcW w:w="3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42,602</w:t>
            </w:r>
          </w:p>
        </w:tc>
        <w:tc>
          <w:tcPr>
            <w:tcW w:w="6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35,974</w:t>
            </w:r>
          </w:p>
        </w:tc>
        <w:tc>
          <w:tcPr>
            <w:tcW w:w="3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29,260</w:t>
            </w:r>
          </w:p>
        </w:tc>
        <w:tc>
          <w:tcPr>
            <w:tcW w:w="2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00004D"/>
              </w:rPr>
              <w:t>22,546</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367" w:right="2020"/>
        <w:spacing w:after="0" w:line="300" w:lineRule="auto"/>
        <w:rPr>
          <w:sz w:val="20"/>
          <w:szCs w:val="20"/>
          <w:color w:val="auto"/>
        </w:rPr>
      </w:pPr>
      <w:r>
        <w:rPr>
          <w:rFonts w:ascii="Arial" w:cs="Arial" w:eastAsia="Arial" w:hAnsi="Arial"/>
          <w:sz w:val="18"/>
          <w:szCs w:val="18"/>
          <w:color w:val="auto"/>
        </w:rPr>
        <w:t xml:space="preserve">Reconciliation of Net Income (Loss) Attributable to Common Shareholders to Adjusted Earnings and Adjusted Diluted Earnings Per Share </w:t>
      </w:r>
      <w:r>
        <w:rPr>
          <w:rFonts w:ascii="Arial" w:cs="Arial" w:eastAsia="Arial" w:hAnsi="Arial"/>
          <w:sz w:val="10"/>
          <w:szCs w:val="10"/>
          <w:color w:val="auto"/>
        </w:rPr>
        <w:t>(1)</w:t>
      </w:r>
      <w:r>
        <w:rPr>
          <w:rFonts w:ascii="Arial" w:cs="Arial" w:eastAsia="Arial" w:hAnsi="Arial"/>
          <w:sz w:val="18"/>
          <w:szCs w:val="18"/>
          <w:color w:val="auto"/>
        </w:rPr>
        <w:t xml:space="preserve"> (Unaudited)</w:t>
      </w:r>
    </w:p>
    <w:p>
      <w:pPr>
        <w:spacing w:after="0" w:line="200" w:lineRule="exact"/>
        <w:rPr>
          <w:sz w:val="20"/>
          <w:szCs w:val="20"/>
          <w:color w:val="auto"/>
        </w:rPr>
      </w:pPr>
    </w:p>
    <w:p>
      <w:pPr>
        <w:spacing w:after="0" w:line="210" w:lineRule="exact"/>
        <w:rPr>
          <w:sz w:val="20"/>
          <w:szCs w:val="20"/>
          <w:color w:val="auto"/>
        </w:rPr>
      </w:pPr>
    </w:p>
    <w:tbl>
      <w:tblPr>
        <w:tblLayout w:type="fixed"/>
        <w:tblInd w:w="1307" w:type="dxa"/>
        <w:tblCellMar>
          <w:top w:w="0" w:type="dxa"/>
          <w:left w:w="0" w:type="dxa"/>
          <w:bottom w:w="0" w:type="dxa"/>
          <w:right w:w="0" w:type="dxa"/>
        </w:tblCellMar>
      </w:tblPr>
      <w:tr>
        <w:trPr>
          <w:trHeight w:val="219"/>
        </w:trPr>
        <w:tc>
          <w:tcPr>
            <w:tcW w:w="3520" w:type="dxa"/>
            <w:vAlign w:val="bottom"/>
          </w:tcPr>
          <w:p>
            <w:pPr>
              <w:ind w:left="60"/>
              <w:spacing w:after="0"/>
              <w:rPr>
                <w:sz w:val="20"/>
                <w:szCs w:val="20"/>
                <w:color w:val="auto"/>
              </w:rPr>
            </w:pPr>
            <w:r>
              <w:rPr>
                <w:rFonts w:ascii="Arial" w:cs="Arial" w:eastAsia="Arial" w:hAnsi="Arial"/>
                <w:sz w:val="16"/>
                <w:szCs w:val="16"/>
                <w:color w:val="auto"/>
              </w:rPr>
              <w:t>(dollars in thousands except per share data)</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2020</w:t>
            </w:r>
          </w:p>
        </w:tc>
        <w:tc>
          <w:tcPr>
            <w:tcW w:w="600" w:type="dxa"/>
            <w:vAlign w:val="bottom"/>
          </w:tcPr>
          <w:p>
            <w:pPr>
              <w:spacing w:after="0"/>
              <w:rPr>
                <w:sz w:val="19"/>
                <w:szCs w:val="19"/>
                <w:color w:val="auto"/>
              </w:rPr>
            </w:pPr>
          </w:p>
        </w:tc>
        <w:tc>
          <w:tcPr>
            <w:tcW w:w="580" w:type="dxa"/>
            <w:vAlign w:val="bottom"/>
          </w:tcPr>
          <w:p>
            <w:pPr>
              <w:jc w:val="right"/>
              <w:ind w:right="80"/>
              <w:spacing w:after="0"/>
              <w:rPr>
                <w:sz w:val="20"/>
                <w:szCs w:val="20"/>
                <w:color w:val="auto"/>
              </w:rPr>
            </w:pPr>
            <w:r>
              <w:rPr>
                <w:rFonts w:ascii="Arial" w:cs="Arial" w:eastAsia="Arial" w:hAnsi="Arial"/>
                <w:sz w:val="16"/>
                <w:szCs w:val="16"/>
                <w:color w:val="auto"/>
              </w:rPr>
              <w:t>2021</w:t>
            </w:r>
          </w:p>
        </w:tc>
        <w:tc>
          <w:tcPr>
            <w:tcW w:w="3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2022</w:t>
            </w:r>
          </w:p>
        </w:tc>
        <w:tc>
          <w:tcPr>
            <w:tcW w:w="600" w:type="dxa"/>
            <w:vAlign w:val="bottom"/>
          </w:tcPr>
          <w:p>
            <w:pPr>
              <w:spacing w:after="0"/>
              <w:rPr>
                <w:sz w:val="19"/>
                <w:szCs w:val="19"/>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2023</w:t>
            </w:r>
          </w:p>
        </w:tc>
        <w:tc>
          <w:tcPr>
            <w:tcW w:w="26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00004D"/>
              </w:rPr>
              <w:t>2024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3520" w:type="dxa"/>
            <w:vAlign w:val="bottom"/>
            <w:tcBorders>
              <w:bottom w:val="single" w:sz="8" w:color="00004D"/>
            </w:tcBorders>
          </w:tcPr>
          <w:p>
            <w:pPr>
              <w:spacing w:after="0"/>
              <w:rPr>
                <w:sz w:val="6"/>
                <w:szCs w:val="6"/>
                <w:color w:val="auto"/>
              </w:rPr>
            </w:pPr>
          </w:p>
        </w:tc>
        <w:tc>
          <w:tcPr>
            <w:tcW w:w="400" w:type="dxa"/>
            <w:vAlign w:val="bottom"/>
            <w:tcBorders>
              <w:bottom w:val="single" w:sz="8" w:color="00004D"/>
            </w:tcBorders>
          </w:tcPr>
          <w:p>
            <w:pPr>
              <w:spacing w:after="0"/>
              <w:rPr>
                <w:sz w:val="6"/>
                <w:szCs w:val="6"/>
                <w:color w:val="auto"/>
              </w:rPr>
            </w:pPr>
          </w:p>
        </w:tc>
        <w:tc>
          <w:tcPr>
            <w:tcW w:w="500" w:type="dxa"/>
            <w:vAlign w:val="bottom"/>
            <w:tcBorders>
              <w:bottom w:val="single" w:sz="8" w:color="00004D"/>
            </w:tcBorders>
          </w:tcPr>
          <w:p>
            <w:pPr>
              <w:spacing w:after="0"/>
              <w:rPr>
                <w:sz w:val="6"/>
                <w:szCs w:val="6"/>
                <w:color w:val="auto"/>
              </w:rPr>
            </w:pPr>
          </w:p>
        </w:tc>
        <w:tc>
          <w:tcPr>
            <w:tcW w:w="600" w:type="dxa"/>
            <w:vAlign w:val="bottom"/>
            <w:tcBorders>
              <w:bottom w:val="single" w:sz="8" w:color="00004D"/>
            </w:tcBorders>
          </w:tcPr>
          <w:p>
            <w:pPr>
              <w:spacing w:after="0"/>
              <w:rPr>
                <w:sz w:val="6"/>
                <w:szCs w:val="6"/>
                <w:color w:val="auto"/>
              </w:rPr>
            </w:pPr>
          </w:p>
        </w:tc>
        <w:tc>
          <w:tcPr>
            <w:tcW w:w="580" w:type="dxa"/>
            <w:vAlign w:val="bottom"/>
            <w:tcBorders>
              <w:bottom w:val="single" w:sz="8" w:color="00004D"/>
            </w:tcBorders>
          </w:tcPr>
          <w:p>
            <w:pPr>
              <w:spacing w:after="0"/>
              <w:rPr>
                <w:sz w:val="6"/>
                <w:szCs w:val="6"/>
                <w:color w:val="auto"/>
              </w:rPr>
            </w:pPr>
          </w:p>
        </w:tc>
        <w:tc>
          <w:tcPr>
            <w:tcW w:w="300" w:type="dxa"/>
            <w:vAlign w:val="bottom"/>
            <w:tcBorders>
              <w:bottom w:val="single" w:sz="8" w:color="00004D"/>
            </w:tcBorders>
          </w:tcPr>
          <w:p>
            <w:pPr>
              <w:spacing w:after="0"/>
              <w:rPr>
                <w:sz w:val="6"/>
                <w:szCs w:val="6"/>
                <w:color w:val="auto"/>
              </w:rPr>
            </w:pPr>
          </w:p>
        </w:tc>
        <w:tc>
          <w:tcPr>
            <w:tcW w:w="300" w:type="dxa"/>
            <w:vAlign w:val="bottom"/>
            <w:tcBorders>
              <w:bottom w:val="single" w:sz="8" w:color="00004D"/>
            </w:tcBorders>
          </w:tcPr>
          <w:p>
            <w:pPr>
              <w:spacing w:after="0"/>
              <w:rPr>
                <w:sz w:val="6"/>
                <w:szCs w:val="6"/>
                <w:color w:val="auto"/>
              </w:rPr>
            </w:pPr>
          </w:p>
        </w:tc>
        <w:tc>
          <w:tcPr>
            <w:tcW w:w="580" w:type="dxa"/>
            <w:vAlign w:val="bottom"/>
            <w:tcBorders>
              <w:bottom w:val="single" w:sz="8" w:color="00004D"/>
            </w:tcBorders>
          </w:tcPr>
          <w:p>
            <w:pPr>
              <w:spacing w:after="0"/>
              <w:rPr>
                <w:sz w:val="6"/>
                <w:szCs w:val="6"/>
                <w:color w:val="auto"/>
              </w:rPr>
            </w:pPr>
          </w:p>
        </w:tc>
        <w:tc>
          <w:tcPr>
            <w:tcW w:w="600" w:type="dxa"/>
            <w:vAlign w:val="bottom"/>
            <w:tcBorders>
              <w:bottom w:val="single" w:sz="8" w:color="00004D"/>
            </w:tcBorders>
          </w:tcPr>
          <w:p>
            <w:pPr>
              <w:spacing w:after="0"/>
              <w:rPr>
                <w:sz w:val="6"/>
                <w:szCs w:val="6"/>
                <w:color w:val="auto"/>
              </w:rPr>
            </w:pPr>
          </w:p>
        </w:tc>
        <w:tc>
          <w:tcPr>
            <w:tcW w:w="540" w:type="dxa"/>
            <w:vAlign w:val="bottom"/>
            <w:tcBorders>
              <w:bottom w:val="single" w:sz="8" w:color="00004D"/>
            </w:tcBorders>
          </w:tcPr>
          <w:p>
            <w:pPr>
              <w:spacing w:after="0"/>
              <w:rPr>
                <w:sz w:val="6"/>
                <w:szCs w:val="6"/>
                <w:color w:val="auto"/>
              </w:rPr>
            </w:pPr>
          </w:p>
        </w:tc>
        <w:tc>
          <w:tcPr>
            <w:tcW w:w="260" w:type="dxa"/>
            <w:vAlign w:val="bottom"/>
            <w:tcBorders>
              <w:bottom w:val="single" w:sz="8" w:color="00004D"/>
            </w:tcBorders>
          </w:tcPr>
          <w:p>
            <w:pPr>
              <w:spacing w:after="0"/>
              <w:rPr>
                <w:sz w:val="6"/>
                <w:szCs w:val="6"/>
                <w:color w:val="auto"/>
              </w:rPr>
            </w:pPr>
          </w:p>
        </w:tc>
        <w:tc>
          <w:tcPr>
            <w:tcW w:w="360" w:type="dxa"/>
            <w:vAlign w:val="bottom"/>
            <w:tcBorders>
              <w:bottom w:val="single" w:sz="8" w:color="00004D"/>
            </w:tcBorders>
          </w:tcPr>
          <w:p>
            <w:pPr>
              <w:spacing w:after="0"/>
              <w:rPr>
                <w:sz w:val="6"/>
                <w:szCs w:val="6"/>
                <w:color w:val="auto"/>
              </w:rPr>
            </w:pPr>
          </w:p>
        </w:tc>
        <w:tc>
          <w:tcPr>
            <w:tcW w:w="460" w:type="dxa"/>
            <w:vAlign w:val="bottom"/>
            <w:tcBorders>
              <w:bottom w:val="single" w:sz="8" w:color="00004D"/>
            </w:tcBorders>
          </w:tcPr>
          <w:p>
            <w:pPr>
              <w:spacing w:after="0"/>
              <w:rPr>
                <w:sz w:val="6"/>
                <w:szCs w:val="6"/>
                <w:color w:val="auto"/>
              </w:rPr>
            </w:pPr>
          </w:p>
        </w:tc>
        <w:tc>
          <w:tcPr>
            <w:tcW w:w="280" w:type="dxa"/>
            <w:vAlign w:val="bottom"/>
            <w:tcBorders>
              <w:bottom w:val="single" w:sz="8" w:color="00004D"/>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3520" w:type="dxa"/>
            <w:vAlign w:val="bottom"/>
          </w:tcPr>
          <w:p>
            <w:pPr>
              <w:ind w:left="60"/>
              <w:spacing w:after="0"/>
              <w:rPr>
                <w:sz w:val="20"/>
                <w:szCs w:val="20"/>
                <w:color w:val="auto"/>
              </w:rPr>
            </w:pPr>
            <w:r>
              <w:rPr>
                <w:rFonts w:ascii="Arial" w:cs="Arial" w:eastAsia="Arial" w:hAnsi="Arial"/>
                <w:sz w:val="16"/>
                <w:szCs w:val="16"/>
                <w:color w:val="00004D"/>
              </w:rPr>
              <w:t>Net Income (Loss) from Continuing</w:t>
            </w: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3520" w:type="dxa"/>
            <w:vAlign w:val="bottom"/>
          </w:tcPr>
          <w:p>
            <w:pPr>
              <w:ind w:left="200"/>
              <w:spacing w:after="0"/>
              <w:rPr>
                <w:sz w:val="20"/>
                <w:szCs w:val="20"/>
                <w:color w:val="auto"/>
              </w:rPr>
            </w:pPr>
            <w:r>
              <w:rPr>
                <w:rFonts w:ascii="Arial" w:cs="Arial" w:eastAsia="Arial" w:hAnsi="Arial"/>
                <w:sz w:val="16"/>
                <w:szCs w:val="16"/>
                <w:color w:val="00004D"/>
              </w:rPr>
              <w:t>Operations</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($6,625)</w:t>
            </w:r>
          </w:p>
        </w:tc>
        <w:tc>
          <w:tcPr>
            <w:tcW w:w="6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($5,597)</w:t>
            </w:r>
          </w:p>
        </w:tc>
        <w:tc>
          <w:tcPr>
            <w:tcW w:w="30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($5,650)</w:t>
            </w:r>
          </w:p>
        </w:tc>
        <w:tc>
          <w:tcPr>
            <w:tcW w:w="6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7"/>
              </w:rPr>
              <w:t>($6,331)</w:t>
            </w:r>
          </w:p>
        </w:tc>
        <w:tc>
          <w:tcPr>
            <w:tcW w:w="26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00004D"/>
              </w:rPr>
              <w:t>($6,444)</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520" w:type="dxa"/>
            <w:vAlign w:val="bottom"/>
          </w:tcPr>
          <w:p>
            <w:pPr>
              <w:ind w:left="60"/>
              <w:spacing w:after="0"/>
              <w:rPr>
                <w:sz w:val="20"/>
                <w:szCs w:val="20"/>
                <w:color w:val="auto"/>
              </w:rPr>
            </w:pPr>
            <w:r>
              <w:rPr>
                <w:rFonts w:ascii="Arial" w:cs="Arial" w:eastAsia="Arial" w:hAnsi="Arial"/>
                <w:sz w:val="16"/>
                <w:szCs w:val="16"/>
                <w:color w:val="00004D"/>
              </w:rPr>
              <w:t>Adjustments to Net Income (Loss)</w:t>
            </w: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2"/>
        </w:trPr>
        <w:tc>
          <w:tcPr>
            <w:tcW w:w="3520" w:type="dxa"/>
            <w:vAlign w:val="bottom"/>
          </w:tcPr>
          <w:p>
            <w:pPr>
              <w:ind w:left="260"/>
              <w:spacing w:after="0"/>
              <w:rPr>
                <w:sz w:val="20"/>
                <w:szCs w:val="20"/>
                <w:color w:val="auto"/>
              </w:rPr>
            </w:pPr>
            <w:r>
              <w:rPr>
                <w:rFonts w:ascii="Arial" w:cs="Arial" w:eastAsia="Arial" w:hAnsi="Arial"/>
                <w:sz w:val="16"/>
                <w:szCs w:val="16"/>
                <w:color w:val="00004D"/>
              </w:rPr>
              <w:t>Income Tax Expense (Benefit)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56</w:t>
            </w:r>
          </w:p>
        </w:tc>
        <w:tc>
          <w:tcPr>
            <w:tcW w:w="6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w:t>
            </w:r>
          </w:p>
        </w:tc>
        <w:tc>
          <w:tcPr>
            <w:tcW w:w="3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69</w:t>
            </w:r>
          </w:p>
        </w:tc>
        <w:tc>
          <w:tcPr>
            <w:tcW w:w="6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46</w:t>
            </w:r>
          </w:p>
        </w:tc>
        <w:tc>
          <w:tcPr>
            <w:tcW w:w="2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00004D"/>
              </w:rPr>
              <w:t>(23)</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520" w:type="dxa"/>
            <w:vAlign w:val="bottom"/>
          </w:tcPr>
          <w:p>
            <w:pPr>
              <w:ind w:left="260"/>
              <w:spacing w:after="0"/>
              <w:rPr>
                <w:sz w:val="20"/>
                <w:szCs w:val="20"/>
                <w:color w:val="auto"/>
              </w:rPr>
            </w:pPr>
            <w:r>
              <w:rPr>
                <w:rFonts w:ascii="Arial" w:cs="Arial" w:eastAsia="Arial" w:hAnsi="Arial"/>
                <w:sz w:val="16"/>
                <w:szCs w:val="16"/>
                <w:color w:val="00004D"/>
              </w:rPr>
              <w:t>Depreciation and Amortization</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4,749</w:t>
            </w:r>
          </w:p>
        </w:tc>
        <w:tc>
          <w:tcPr>
            <w:tcW w:w="6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4,606</w:t>
            </w:r>
          </w:p>
        </w:tc>
        <w:tc>
          <w:tcPr>
            <w:tcW w:w="3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5,328</w:t>
            </w:r>
          </w:p>
        </w:tc>
        <w:tc>
          <w:tcPr>
            <w:tcW w:w="6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8,280</w:t>
            </w:r>
          </w:p>
        </w:tc>
        <w:tc>
          <w:tcPr>
            <w:tcW w:w="2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00004D"/>
              </w:rPr>
              <w:t>4,902</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520" w:type="dxa"/>
            <w:vAlign w:val="bottom"/>
          </w:tcPr>
          <w:p>
            <w:pPr>
              <w:ind w:left="260"/>
              <w:spacing w:after="0"/>
              <w:rPr>
                <w:sz w:val="20"/>
                <w:szCs w:val="20"/>
                <w:color w:val="auto"/>
              </w:rPr>
            </w:pPr>
            <w:r>
              <w:rPr>
                <w:rFonts w:ascii="Arial" w:cs="Arial" w:eastAsia="Arial" w:hAnsi="Arial"/>
                <w:sz w:val="16"/>
                <w:szCs w:val="16"/>
                <w:color w:val="00004D"/>
              </w:rPr>
              <w:t>Share-Based Compensation</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1,047</w:t>
            </w:r>
          </w:p>
        </w:tc>
        <w:tc>
          <w:tcPr>
            <w:tcW w:w="6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742</w:t>
            </w:r>
          </w:p>
        </w:tc>
        <w:tc>
          <w:tcPr>
            <w:tcW w:w="3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447</w:t>
            </w:r>
          </w:p>
        </w:tc>
        <w:tc>
          <w:tcPr>
            <w:tcW w:w="6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365</w:t>
            </w:r>
          </w:p>
        </w:tc>
        <w:tc>
          <w:tcPr>
            <w:tcW w:w="2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00004D"/>
              </w:rPr>
              <w:t>302</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520" w:type="dxa"/>
            <w:vAlign w:val="bottom"/>
          </w:tcPr>
          <w:p>
            <w:pPr>
              <w:ind w:left="260"/>
              <w:spacing w:after="0"/>
              <w:rPr>
                <w:sz w:val="20"/>
                <w:szCs w:val="20"/>
                <w:color w:val="auto"/>
              </w:rPr>
            </w:pPr>
            <w:r>
              <w:rPr>
                <w:rFonts w:ascii="Arial" w:cs="Arial" w:eastAsia="Arial" w:hAnsi="Arial"/>
                <w:sz w:val="16"/>
                <w:szCs w:val="16"/>
                <w:color w:val="00004D"/>
              </w:rPr>
              <w:t xml:space="preserve">Other Adjustments to Net Income </w:t>
            </w:r>
            <w:r>
              <w:rPr>
                <w:rFonts w:ascii="Arial" w:cs="Arial" w:eastAsia="Arial" w:hAnsi="Arial"/>
                <w:sz w:val="9"/>
                <w:szCs w:val="9"/>
                <w:color w:val="00004D"/>
              </w:rPr>
              <w:t>(1)</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440</w:t>
            </w:r>
          </w:p>
        </w:tc>
        <w:tc>
          <w:tcPr>
            <w:tcW w:w="6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(1,051)</w:t>
            </w:r>
          </w:p>
        </w:tc>
        <w:tc>
          <w:tcPr>
            <w:tcW w:w="300" w:type="dxa"/>
            <w:vAlign w:val="bottom"/>
          </w:tcPr>
          <w:p>
            <w:pPr>
              <w:spacing w:after="0"/>
              <w:rPr>
                <w:sz w:val="24"/>
                <w:szCs w:val="24"/>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6"/>
                <w:szCs w:val="16"/>
                <w:color w:val="auto"/>
              </w:rPr>
              <w:t>1,368</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00004D"/>
              </w:rPr>
              <w: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520" w:type="dxa"/>
            <w:vAlign w:val="bottom"/>
          </w:tcPr>
          <w:p>
            <w:pPr>
              <w:ind w:left="260"/>
              <w:spacing w:after="0"/>
              <w:rPr>
                <w:sz w:val="20"/>
                <w:szCs w:val="20"/>
                <w:color w:val="auto"/>
              </w:rPr>
            </w:pPr>
            <w:r>
              <w:rPr>
                <w:rFonts w:ascii="Arial" w:cs="Arial" w:eastAsia="Arial" w:hAnsi="Arial"/>
                <w:sz w:val="16"/>
                <w:szCs w:val="16"/>
                <w:color w:val="00004D"/>
              </w:rPr>
              <w:t>Interest Income</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(75)</w:t>
            </w:r>
          </w:p>
        </w:tc>
        <w:tc>
          <w:tcPr>
            <w:tcW w:w="6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w:t>
            </w:r>
          </w:p>
        </w:tc>
        <w:tc>
          <w:tcPr>
            <w:tcW w:w="3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(98)</w:t>
            </w:r>
          </w:p>
        </w:tc>
        <w:tc>
          <w:tcPr>
            <w:tcW w:w="6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(287)</w:t>
            </w:r>
          </w:p>
        </w:tc>
        <w:tc>
          <w:tcPr>
            <w:tcW w:w="2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00004D"/>
              </w:rPr>
              <w:t>(334)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520" w:type="dxa"/>
            <w:vAlign w:val="bottom"/>
          </w:tcPr>
          <w:p>
            <w:pPr>
              <w:ind w:left="260"/>
              <w:spacing w:after="0"/>
              <w:rPr>
                <w:sz w:val="20"/>
                <w:szCs w:val="20"/>
                <w:color w:val="auto"/>
              </w:rPr>
            </w:pPr>
            <w:r>
              <w:rPr>
                <w:rFonts w:ascii="Arial" w:cs="Arial" w:eastAsia="Arial" w:hAnsi="Arial"/>
                <w:sz w:val="16"/>
                <w:szCs w:val="16"/>
                <w:color w:val="00004D"/>
              </w:rPr>
              <w:t>Interest Expense</w:t>
            </w:r>
          </w:p>
        </w:tc>
        <w:tc>
          <w:tcPr>
            <w:tcW w:w="4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263</w:t>
            </w:r>
          </w:p>
        </w:tc>
        <w:tc>
          <w:tcPr>
            <w:tcW w:w="6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98</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586</w:t>
            </w:r>
          </w:p>
        </w:tc>
        <w:tc>
          <w:tcPr>
            <w:tcW w:w="60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668</w:t>
            </w:r>
          </w:p>
        </w:tc>
        <w:tc>
          <w:tcPr>
            <w:tcW w:w="1100" w:type="dxa"/>
            <w:vAlign w:val="bottom"/>
            <w:gridSpan w:val="3"/>
          </w:tcPr>
          <w:p>
            <w:pPr>
              <w:jc w:val="right"/>
              <w:ind w:right="280"/>
              <w:spacing w:after="0"/>
              <w:rPr>
                <w:sz w:val="20"/>
                <w:szCs w:val="20"/>
                <w:color w:val="auto"/>
              </w:rPr>
            </w:pPr>
            <w:r>
              <w:rPr>
                <w:rFonts w:ascii="Arial" w:cs="Arial" w:eastAsia="Arial" w:hAnsi="Arial"/>
                <w:sz w:val="16"/>
                <w:szCs w:val="16"/>
                <w:color w:val="00004D"/>
              </w:rPr>
              <w:t>606</w:t>
            </w:r>
          </w:p>
        </w:tc>
        <w:tc>
          <w:tcPr>
            <w:tcW w:w="0" w:type="dxa"/>
            <w:vAlign w:val="bottom"/>
          </w:tcPr>
          <w:p>
            <w:pPr>
              <w:spacing w:after="0"/>
              <w:rPr>
                <w:sz w:val="1"/>
                <w:szCs w:val="1"/>
                <w:color w:val="auto"/>
              </w:rPr>
            </w:pPr>
          </w:p>
        </w:tc>
      </w:tr>
      <w:tr>
        <w:trPr>
          <w:trHeight w:val="20"/>
        </w:trPr>
        <w:tc>
          <w:tcPr>
            <w:tcW w:w="3520" w:type="dxa"/>
            <w:vAlign w:val="bottom"/>
            <w:vMerge w:val="restart"/>
          </w:tcPr>
          <w:p>
            <w:pPr>
              <w:ind w:left="60"/>
              <w:spacing w:after="0"/>
              <w:rPr>
                <w:sz w:val="20"/>
                <w:szCs w:val="20"/>
                <w:color w:val="auto"/>
              </w:rPr>
            </w:pPr>
            <w:r>
              <w:rPr>
                <w:rFonts w:ascii="Arial" w:cs="Arial" w:eastAsia="Arial" w:hAnsi="Arial"/>
                <w:sz w:val="16"/>
                <w:szCs w:val="16"/>
                <w:color w:val="00004D"/>
              </w:rPr>
              <w:t>Adjusted Earnings</w:t>
            </w: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4D"/>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520" w:type="dxa"/>
            <w:vAlign w:val="bottom"/>
            <w:vMerge w:val="continue"/>
          </w:tcPr>
          <w:p>
            <w:pPr>
              <w:spacing w:after="0"/>
              <w:rPr>
                <w:sz w:val="19"/>
                <w:szCs w:val="19"/>
                <w:color w:val="auto"/>
              </w:rPr>
            </w:pPr>
          </w:p>
        </w:tc>
        <w:tc>
          <w:tcPr>
            <w:tcW w:w="400" w:type="dxa"/>
            <w:vAlign w:val="bottom"/>
            <w:vMerge w:val="restart"/>
          </w:tcPr>
          <w:p>
            <w:pPr>
              <w:spacing w:after="0"/>
              <w:rPr>
                <w:sz w:val="19"/>
                <w:szCs w:val="19"/>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($146)</w:t>
            </w:r>
          </w:p>
        </w:tc>
        <w:tc>
          <w:tcPr>
            <w:tcW w:w="600" w:type="dxa"/>
            <w:vAlign w:val="bottom"/>
          </w:tcPr>
          <w:p>
            <w:pPr>
              <w:spacing w:after="0"/>
              <w:rPr>
                <w:sz w:val="19"/>
                <w:szCs w:val="19"/>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w w:val="93"/>
              </w:rPr>
              <w:t>($1,193)</w:t>
            </w:r>
          </w:p>
        </w:tc>
        <w:tc>
          <w:tcPr>
            <w:tcW w:w="300" w:type="dxa"/>
            <w:vAlign w:val="bottom"/>
          </w:tcPr>
          <w:p>
            <w:pPr>
              <w:spacing w:after="0"/>
              <w:rPr>
                <w:sz w:val="19"/>
                <w:szCs w:val="19"/>
                <w:color w:val="auto"/>
              </w:rPr>
            </w:pPr>
          </w:p>
        </w:tc>
        <w:tc>
          <w:tcPr>
            <w:tcW w:w="300" w:type="dxa"/>
            <w:vAlign w:val="bottom"/>
            <w:vMerge w:val="restart"/>
          </w:tcPr>
          <w:p>
            <w:pPr>
              <w:spacing w:after="0"/>
              <w:rPr>
                <w:sz w:val="19"/>
                <w:szCs w:val="19"/>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$2,050</w:t>
            </w:r>
          </w:p>
        </w:tc>
        <w:tc>
          <w:tcPr>
            <w:tcW w:w="600" w:type="dxa"/>
            <w:vAlign w:val="bottom"/>
            <w:vMerge w:val="restart"/>
          </w:tcPr>
          <w:p>
            <w:pPr>
              <w:spacing w:after="0"/>
              <w:rPr>
                <w:sz w:val="19"/>
                <w:szCs w:val="19"/>
                <w:color w:val="auto"/>
              </w:rPr>
            </w:pP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$2,741</w:t>
            </w:r>
          </w:p>
        </w:tc>
        <w:tc>
          <w:tcPr>
            <w:tcW w:w="1100" w:type="dxa"/>
            <w:vAlign w:val="bottom"/>
            <w:gridSpan w:val="3"/>
            <w:vMerge w:val="restart"/>
          </w:tcPr>
          <w:p>
            <w:pPr>
              <w:jc w:val="right"/>
              <w:ind w:right="280"/>
              <w:spacing w:after="0"/>
              <w:rPr>
                <w:sz w:val="20"/>
                <w:szCs w:val="20"/>
                <w:color w:val="auto"/>
              </w:rPr>
            </w:pPr>
            <w:r>
              <w:rPr>
                <w:rFonts w:ascii="Arial" w:cs="Arial" w:eastAsia="Arial" w:hAnsi="Arial"/>
                <w:sz w:val="16"/>
                <w:szCs w:val="16"/>
                <w:u w:val="single" w:color="auto"/>
                <w:color w:val="00004D"/>
              </w:rPr>
              <w:t>($</w:t>
            </w:r>
            <w:r>
              <w:rPr>
                <w:rFonts w:ascii="Arial" w:cs="Arial" w:eastAsia="Arial" w:hAnsi="Arial"/>
                <w:sz w:val="16"/>
                <w:szCs w:val="16"/>
                <w:color w:val="00004D"/>
              </w:rPr>
              <w:t>991)</w:t>
            </w:r>
          </w:p>
        </w:tc>
        <w:tc>
          <w:tcPr>
            <w:tcW w:w="0" w:type="dxa"/>
            <w:vAlign w:val="bottom"/>
          </w:tcPr>
          <w:p>
            <w:pPr>
              <w:spacing w:after="0"/>
              <w:rPr>
                <w:sz w:val="1"/>
                <w:szCs w:val="1"/>
                <w:color w:val="auto"/>
              </w:rPr>
            </w:pPr>
          </w:p>
        </w:tc>
      </w:tr>
      <w:tr>
        <w:trPr>
          <w:trHeight w:val="170"/>
        </w:trPr>
        <w:tc>
          <w:tcPr>
            <w:tcW w:w="352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4D"/>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3520" w:type="dxa"/>
            <w:vAlign w:val="bottom"/>
          </w:tcPr>
          <w:p>
            <w:pPr>
              <w:ind w:left="60"/>
              <w:spacing w:after="0"/>
              <w:rPr>
                <w:sz w:val="20"/>
                <w:szCs w:val="20"/>
                <w:color w:val="auto"/>
              </w:rPr>
            </w:pPr>
            <w:r>
              <w:rPr>
                <w:rFonts w:ascii="Arial" w:cs="Arial" w:eastAsia="Arial" w:hAnsi="Arial"/>
                <w:sz w:val="16"/>
                <w:szCs w:val="16"/>
                <w:color w:val="00004D"/>
              </w:rPr>
              <w:t>Adjusted Diluted Earnings per Share</w:t>
            </w:r>
          </w:p>
        </w:tc>
        <w:tc>
          <w:tcPr>
            <w:tcW w:w="4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4"/>
              </w:rPr>
              <w:t>($0.01)</w:t>
            </w:r>
          </w:p>
        </w:tc>
        <w:tc>
          <w:tcPr>
            <w:tcW w:w="6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($0.08)</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$0.14</w:t>
            </w:r>
          </w:p>
        </w:tc>
        <w:tc>
          <w:tcPr>
            <w:tcW w:w="60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$0.20</w:t>
            </w:r>
          </w:p>
        </w:tc>
        <w:tc>
          <w:tcPr>
            <w:tcW w:w="1100" w:type="dxa"/>
            <w:vAlign w:val="bottom"/>
            <w:gridSpan w:val="3"/>
          </w:tcPr>
          <w:p>
            <w:pPr>
              <w:jc w:val="right"/>
              <w:ind w:right="280"/>
              <w:spacing w:after="0"/>
              <w:rPr>
                <w:sz w:val="20"/>
                <w:szCs w:val="20"/>
                <w:color w:val="auto"/>
              </w:rPr>
            </w:pPr>
            <w:r>
              <w:rPr>
                <w:rFonts w:ascii="Arial" w:cs="Arial" w:eastAsia="Arial" w:hAnsi="Arial"/>
                <w:sz w:val="16"/>
                <w:szCs w:val="16"/>
                <w:color w:val="00004D"/>
              </w:rPr>
              <w:t>($0.07)</w:t>
            </w:r>
          </w:p>
        </w:tc>
        <w:tc>
          <w:tcPr>
            <w:tcW w:w="0" w:type="dxa"/>
            <w:vAlign w:val="bottom"/>
          </w:tcPr>
          <w:p>
            <w:pPr>
              <w:spacing w:after="0"/>
              <w:rPr>
                <w:sz w:val="1"/>
                <w:szCs w:val="1"/>
                <w:color w:val="auto"/>
              </w:rPr>
            </w:pPr>
          </w:p>
        </w:tc>
      </w:tr>
      <w:tr>
        <w:trPr>
          <w:trHeight w:val="393"/>
        </w:trPr>
        <w:tc>
          <w:tcPr>
            <w:tcW w:w="3520" w:type="dxa"/>
            <w:vAlign w:val="bottom"/>
          </w:tcPr>
          <w:p>
            <w:pPr>
              <w:ind w:left="60"/>
              <w:spacing w:after="0"/>
              <w:rPr>
                <w:sz w:val="20"/>
                <w:szCs w:val="20"/>
                <w:color w:val="auto"/>
              </w:rPr>
            </w:pPr>
            <w:r>
              <w:rPr>
                <w:rFonts w:ascii="Arial" w:cs="Arial" w:eastAsia="Arial" w:hAnsi="Arial"/>
                <w:sz w:val="16"/>
                <w:szCs w:val="16"/>
                <w:color w:val="00004D"/>
              </w:rPr>
              <w:t>Diluted Weighted-Average Common</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520" w:type="dxa"/>
            <w:vAlign w:val="bottom"/>
          </w:tcPr>
          <w:p>
            <w:pPr>
              <w:ind w:left="200"/>
              <w:spacing w:after="0"/>
              <w:rPr>
                <w:sz w:val="20"/>
                <w:szCs w:val="20"/>
                <w:color w:val="auto"/>
              </w:rPr>
            </w:pPr>
            <w:r>
              <w:rPr>
                <w:rFonts w:ascii="Arial" w:cs="Arial" w:eastAsia="Arial" w:hAnsi="Arial"/>
                <w:sz w:val="16"/>
                <w:szCs w:val="16"/>
                <w:color w:val="00004D"/>
              </w:rPr>
              <w:t>Shares Outstanding:</w:t>
            </w:r>
          </w:p>
        </w:tc>
        <w:tc>
          <w:tcPr>
            <w:tcW w:w="1500" w:type="dxa"/>
            <w:vAlign w:val="bottom"/>
            <w:gridSpan w:val="3"/>
          </w:tcPr>
          <w:p>
            <w:pPr>
              <w:jc w:val="right"/>
              <w:ind w:right="600"/>
              <w:spacing w:after="0"/>
              <w:rPr>
                <w:sz w:val="20"/>
                <w:szCs w:val="20"/>
                <w:color w:val="auto"/>
              </w:rPr>
            </w:pPr>
            <w:r>
              <w:rPr>
                <w:rFonts w:ascii="Arial" w:cs="Arial" w:eastAsia="Arial" w:hAnsi="Arial"/>
                <w:sz w:val="16"/>
                <w:szCs w:val="16"/>
                <w:color w:val="auto"/>
              </w:rPr>
              <w:t>15,162</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14,905</w:t>
            </w:r>
          </w:p>
        </w:tc>
        <w:tc>
          <w:tcPr>
            <w:tcW w:w="1480" w:type="dxa"/>
            <w:vAlign w:val="bottom"/>
            <w:gridSpan w:val="3"/>
          </w:tcPr>
          <w:p>
            <w:pPr>
              <w:jc w:val="right"/>
              <w:ind w:right="600"/>
              <w:spacing w:after="0"/>
              <w:rPr>
                <w:sz w:val="20"/>
                <w:szCs w:val="20"/>
                <w:color w:val="auto"/>
              </w:rPr>
            </w:pPr>
            <w:r>
              <w:rPr>
                <w:rFonts w:ascii="Arial" w:cs="Arial" w:eastAsia="Arial" w:hAnsi="Arial"/>
                <w:sz w:val="16"/>
                <w:szCs w:val="16"/>
                <w:color w:val="auto"/>
              </w:rPr>
              <w:t>14,809</w:t>
            </w: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14,526</w:t>
            </w:r>
          </w:p>
        </w:tc>
        <w:tc>
          <w:tcPr>
            <w:tcW w:w="1100" w:type="dxa"/>
            <w:vAlign w:val="bottom"/>
            <w:gridSpan w:val="3"/>
          </w:tcPr>
          <w:p>
            <w:pPr>
              <w:jc w:val="right"/>
              <w:ind w:right="280"/>
              <w:spacing w:after="0"/>
              <w:rPr>
                <w:sz w:val="20"/>
                <w:szCs w:val="20"/>
                <w:color w:val="auto"/>
              </w:rPr>
            </w:pPr>
            <w:r>
              <w:rPr>
                <w:rFonts w:ascii="Arial" w:cs="Arial" w:eastAsia="Arial" w:hAnsi="Arial"/>
                <w:sz w:val="16"/>
                <w:szCs w:val="16"/>
                <w:color w:val="00004D"/>
              </w:rPr>
              <w:t>14,060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367"/>
        <w:spacing w:after="0"/>
        <w:rPr>
          <w:sz w:val="20"/>
          <w:szCs w:val="20"/>
          <w:color w:val="auto"/>
        </w:rPr>
      </w:pPr>
      <w:r>
        <w:rPr>
          <w:rFonts w:ascii="Arial" w:cs="Arial" w:eastAsia="Arial" w:hAnsi="Arial"/>
          <w:sz w:val="12"/>
          <w:szCs w:val="12"/>
          <w:color w:val="auto"/>
        </w:rPr>
        <w:t>(1) The supplemental financial measures are Non-GAAP as defined, the reconciliation of these supplemental measures is above.</w:t>
      </w:r>
    </w:p>
    <w:p>
      <w:pPr>
        <w:sectPr>
          <w:pgSz w:w="12240" w:h="15840" w:orient="portrait"/>
          <w:cols w:equalWidth="0" w:num="1">
            <w:col w:w="10587"/>
          </w:cols>
          <w:pgMar w:left="313" w:top="1440"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67" w:hanging="367"/>
        <w:spacing w:after="0"/>
        <w:tabs>
          <w:tab w:leader="none" w:pos="367" w:val="left"/>
        </w:tabs>
        <w:numPr>
          <w:ilvl w:val="0"/>
          <w:numId w:val="7"/>
        </w:numPr>
        <w:rPr>
          <w:rFonts w:ascii="Arial" w:cs="Arial" w:eastAsia="Arial" w:hAnsi="Arial"/>
          <w:sz w:val="16"/>
          <w:szCs w:val="16"/>
          <w:b w:val="1"/>
          <w:bCs w:val="1"/>
          <w:color w:val="FFFFFF"/>
        </w:rPr>
      </w:pPr>
      <w:r>
        <w:rPr>
          <w:rFonts w:ascii="Arial" w:cs="Arial" w:eastAsia="Arial" w:hAnsi="Arial"/>
          <w:sz w:val="16"/>
          <w:szCs w:val="16"/>
          <w:color w:val="00004D"/>
        </w:rPr>
        <w:t>Cumberland Pharmaceuticals</w:t>
      </w:r>
    </w:p>
    <w:p>
      <w:pPr>
        <w:sectPr>
          <w:pgSz w:w="12240" w:h="15840" w:orient="portrait"/>
          <w:cols w:equalWidth="0" w:num="1">
            <w:col w:w="10587"/>
          </w:cols>
          <w:pgMar w:left="313" w:top="1440" w:right="1340" w:bottom="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6">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54"/>
          <w:szCs w:val="54"/>
          <w:color w:val="FFFFFF"/>
        </w:rPr>
        <w:t>Corporate Information</w:t>
      </w:r>
    </w:p>
    <w:p>
      <w:pPr>
        <w:sectPr>
          <w:pgSz w:w="12240" w:h="15840" w:orient="portrait"/>
          <w:cols w:equalWidth="0" w:num="1">
            <w:col w:w="11200"/>
          </w:cols>
          <w:pgMar w:left="720" w:top="1440"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160"/>
        <w:spacing w:after="0"/>
        <w:rPr>
          <w:sz w:val="20"/>
          <w:szCs w:val="20"/>
          <w:color w:val="auto"/>
        </w:rPr>
      </w:pPr>
      <w:r>
        <w:rPr>
          <w:rFonts w:ascii="Arial" w:cs="Arial" w:eastAsia="Arial" w:hAnsi="Arial"/>
          <w:sz w:val="24"/>
          <w:szCs w:val="24"/>
          <w:b w:val="1"/>
          <w:bCs w:val="1"/>
          <w:color w:val="00065C"/>
        </w:rPr>
        <w:t>Stock Listing</w:t>
      </w:r>
    </w:p>
    <w:p>
      <w:pPr>
        <w:spacing w:after="0" w:line="3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Nasdaq Global Select</w:t>
      </w:r>
    </w:p>
    <w:p>
      <w:pPr>
        <w:spacing w:after="0" w:line="3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Market Ticker Symbol: CPIX</w:t>
      </w:r>
    </w:p>
    <w:p>
      <w:pPr>
        <w:spacing w:after="0" w:line="286" w:lineRule="exact"/>
        <w:rPr>
          <w:sz w:val="20"/>
          <w:szCs w:val="20"/>
          <w:color w:val="auto"/>
        </w:rPr>
      </w:pPr>
    </w:p>
    <w:p>
      <w:pPr>
        <w:ind w:left="1160"/>
        <w:spacing w:after="0"/>
        <w:rPr>
          <w:sz w:val="20"/>
          <w:szCs w:val="20"/>
          <w:color w:val="auto"/>
        </w:rPr>
      </w:pPr>
      <w:r>
        <w:rPr>
          <w:rFonts w:ascii="Arial" w:cs="Arial" w:eastAsia="Arial" w:hAnsi="Arial"/>
          <w:sz w:val="24"/>
          <w:szCs w:val="24"/>
          <w:b w:val="1"/>
          <w:bCs w:val="1"/>
          <w:color w:val="00065C"/>
        </w:rPr>
        <w:t>Annual Meeting</w:t>
      </w:r>
    </w:p>
    <w:p>
      <w:pPr>
        <w:spacing w:after="0" w:line="3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9:30 a.m. Central Time</w:t>
      </w:r>
    </w:p>
    <w:p>
      <w:pPr>
        <w:spacing w:after="0" w:line="3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Tuesday, April 22, 2025</w:t>
      </w:r>
    </w:p>
    <w:p>
      <w:pPr>
        <w:spacing w:after="0" w:line="3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Cumberland Headquarters</w:t>
      </w:r>
    </w:p>
    <w:p>
      <w:pPr>
        <w:spacing w:after="0" w:line="33" w:lineRule="exact"/>
        <w:rPr>
          <w:sz w:val="20"/>
          <w:szCs w:val="20"/>
          <w:color w:val="auto"/>
        </w:rPr>
      </w:pPr>
    </w:p>
    <w:p>
      <w:pPr>
        <w:ind w:left="1160" w:right="120"/>
        <w:spacing w:after="0" w:line="323" w:lineRule="auto"/>
        <w:rPr>
          <w:sz w:val="20"/>
          <w:szCs w:val="20"/>
          <w:color w:val="auto"/>
        </w:rPr>
      </w:pPr>
      <w:r>
        <w:rPr>
          <w:rFonts w:ascii="Arial" w:cs="Arial" w:eastAsia="Arial" w:hAnsi="Arial"/>
          <w:sz w:val="18"/>
          <w:szCs w:val="18"/>
          <w:color w:val="auto"/>
        </w:rPr>
        <w:t>1600 West End Avenue, Suite 1300 Nashville, TN 37203</w:t>
      </w:r>
    </w:p>
    <w:p>
      <w:pPr>
        <w:spacing w:after="0" w:line="276" w:lineRule="exact"/>
        <w:rPr>
          <w:sz w:val="20"/>
          <w:szCs w:val="20"/>
          <w:color w:val="auto"/>
        </w:rPr>
      </w:pPr>
    </w:p>
    <w:p>
      <w:pPr>
        <w:ind w:left="1160" w:right="120"/>
        <w:spacing w:after="0" w:line="255" w:lineRule="auto"/>
        <w:rPr>
          <w:sz w:val="20"/>
          <w:szCs w:val="20"/>
          <w:color w:val="auto"/>
        </w:rPr>
      </w:pPr>
      <w:r>
        <w:rPr>
          <w:rFonts w:ascii="Arial" w:cs="Arial" w:eastAsia="Arial" w:hAnsi="Arial"/>
          <w:sz w:val="24"/>
          <w:szCs w:val="24"/>
          <w:b w:val="1"/>
          <w:bCs w:val="1"/>
          <w:color w:val="00004D"/>
        </w:rPr>
        <w:t>Independent Registered Public Accounting Firm</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Carr, Riggs &amp; Ingram, LLC</w:t>
      </w:r>
    </w:p>
    <w:p>
      <w:pPr>
        <w:spacing w:after="0" w:line="3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3011 Armory Drive, Suite 300</w:t>
      </w:r>
    </w:p>
    <w:p>
      <w:pPr>
        <w:spacing w:after="0" w:line="3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Nashville, TN 37204</w:t>
      </w:r>
    </w:p>
    <w:p>
      <w:pPr>
        <w:spacing w:after="0" w:line="3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(615) 665-1811</w:t>
      </w:r>
    </w:p>
    <w:p>
      <w:pPr>
        <w:spacing w:after="0" w:line="386" w:lineRule="exact"/>
        <w:rPr>
          <w:sz w:val="20"/>
          <w:szCs w:val="20"/>
          <w:color w:val="auto"/>
        </w:rPr>
      </w:pPr>
    </w:p>
    <w:p>
      <w:pPr>
        <w:ind w:left="1160"/>
        <w:spacing w:after="0"/>
        <w:rPr>
          <w:sz w:val="20"/>
          <w:szCs w:val="20"/>
          <w:color w:val="auto"/>
        </w:rPr>
      </w:pPr>
      <w:r>
        <w:rPr>
          <w:rFonts w:ascii="Arial" w:cs="Arial" w:eastAsia="Arial" w:hAnsi="Arial"/>
          <w:sz w:val="24"/>
          <w:szCs w:val="24"/>
          <w:b w:val="1"/>
          <w:bCs w:val="1"/>
          <w:color w:val="00065C"/>
        </w:rPr>
        <w:t>Transfer Agent and</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24"/>
          <w:szCs w:val="24"/>
          <w:b w:val="1"/>
          <w:bCs w:val="1"/>
          <w:color w:val="00065C"/>
        </w:rPr>
        <w:t>Registrar</w:t>
      </w:r>
    </w:p>
    <w:p>
      <w:pPr>
        <w:spacing w:after="0" w:line="3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Continental Stock Transfer</w:t>
      </w:r>
    </w:p>
    <w:p>
      <w:pPr>
        <w:spacing w:after="0" w:line="3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&amp; Trust Company</w:t>
      </w:r>
    </w:p>
    <w:p>
      <w:pPr>
        <w:spacing w:after="0" w:line="3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 State Street, 30th Floor</w:t>
      </w:r>
    </w:p>
    <w:p>
      <w:pPr>
        <w:spacing w:after="0" w:line="3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New York, NY 10004</w:t>
      </w:r>
    </w:p>
    <w:p>
      <w:pPr>
        <w:spacing w:after="0" w:line="33" w:lineRule="exact"/>
        <w:rPr>
          <w:sz w:val="20"/>
          <w:szCs w:val="20"/>
          <w:color w:val="auto"/>
        </w:rPr>
      </w:pPr>
    </w:p>
    <w:p>
      <w:pPr>
        <w:ind w:left="1640" w:hanging="474"/>
        <w:spacing w:after="0"/>
        <w:tabs>
          <w:tab w:leader="none" w:pos="1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509-5586</w:t>
      </w:r>
    </w:p>
    <w:p>
      <w:pPr>
        <w:spacing w:after="0" w:line="32" w:lineRule="exact"/>
        <w:rPr>
          <w:rFonts w:ascii="Arial" w:cs="Arial" w:eastAsia="Arial" w:hAnsi="Arial"/>
          <w:sz w:val="18"/>
          <w:szCs w:val="18"/>
          <w:color w:val="auto"/>
        </w:rPr>
      </w:pPr>
    </w:p>
    <w:p>
      <w:pPr>
        <w:ind w:left="1160" w:right="360" w:firstLine="6"/>
        <w:spacing w:after="0" w:line="293" w:lineRule="auto"/>
        <w:tabs>
          <w:tab w:leader="none" w:pos="1562" w:val="left"/>
        </w:tabs>
        <w:numPr>
          <w:ilvl w:val="0"/>
          <w:numId w:val="9"/>
        </w:numPr>
        <w:rPr>
          <w:rFonts w:ascii="Arial" w:cs="Arial" w:eastAsia="Arial" w:hAnsi="Arial"/>
          <w:sz w:val="16"/>
          <w:szCs w:val="16"/>
          <w:color w:val="auto"/>
        </w:rPr>
      </w:pPr>
      <w:r>
        <w:rPr>
          <w:rFonts w:ascii="Arial" w:cs="Arial" w:eastAsia="Arial" w:hAnsi="Arial"/>
          <w:sz w:val="16"/>
          <w:szCs w:val="16"/>
          <w:color w:val="auto"/>
        </w:rPr>
        <w:t>509-4000 cstmail@continentalstock.com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4"/>
          <w:szCs w:val="24"/>
          <w:b w:val="1"/>
          <w:bCs w:val="1"/>
          <w:color w:val="00004D"/>
        </w:rPr>
        <w:t>Forward-Looking</w:t>
      </w:r>
    </w:p>
    <w:p>
      <w:pPr>
        <w:spacing w:after="0" w:line="4" w:lineRule="exact"/>
        <w:rPr>
          <w:sz w:val="20"/>
          <w:szCs w:val="20"/>
          <w:color w:val="auto"/>
        </w:rPr>
      </w:pPr>
    </w:p>
    <w:p>
      <w:pPr>
        <w:spacing w:after="0"/>
        <w:rPr>
          <w:sz w:val="20"/>
          <w:szCs w:val="20"/>
          <w:color w:val="auto"/>
        </w:rPr>
      </w:pPr>
      <w:r>
        <w:rPr>
          <w:rFonts w:ascii="Arial" w:cs="Arial" w:eastAsia="Arial" w:hAnsi="Arial"/>
          <w:sz w:val="24"/>
          <w:szCs w:val="24"/>
          <w:b w:val="1"/>
          <w:bCs w:val="1"/>
          <w:color w:val="00004D"/>
        </w:rPr>
        <w:t>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This annual report includes forward-</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looking statements regarding expected</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future results of the Company. A variety</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of factors could cause actual results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to differ materially from expected</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results. Please see the risk factors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more fully described in our Annual</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Report on Form 10-K for the year ended</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 which is filed</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with the U.S. Securities and Exchange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Commission.</w:t>
      </w:r>
    </w:p>
    <w:p>
      <w:pPr>
        <w:spacing w:after="0" w:line="386" w:lineRule="exact"/>
        <w:rPr>
          <w:sz w:val="20"/>
          <w:szCs w:val="20"/>
          <w:color w:val="auto"/>
        </w:rPr>
      </w:pPr>
    </w:p>
    <w:p>
      <w:pPr>
        <w:spacing w:after="0"/>
        <w:rPr>
          <w:sz w:val="20"/>
          <w:szCs w:val="20"/>
          <w:color w:val="auto"/>
        </w:rPr>
      </w:pPr>
      <w:r>
        <w:rPr>
          <w:rFonts w:ascii="Arial" w:cs="Arial" w:eastAsia="Arial" w:hAnsi="Arial"/>
          <w:sz w:val="24"/>
          <w:szCs w:val="24"/>
          <w:b w:val="1"/>
          <w:bCs w:val="1"/>
          <w:color w:val="00004D"/>
        </w:rPr>
        <w:t>Company Headquarters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Cumberland Pharmaceuticals Inc.</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1600 West End Avenue, Suite 1300</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Nashville, TN 37203</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Phone: (615) 255-0068</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Toll Free: (877) 484-2700</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Fax: (615) 255-0094</w:t>
      </w:r>
    </w:p>
    <w:p>
      <w:pPr>
        <w:spacing w:after="0" w:line="1743" w:lineRule="exact"/>
        <w:rPr>
          <w:sz w:val="20"/>
          <w:szCs w:val="20"/>
          <w:color w:val="auto"/>
        </w:rPr>
      </w:pPr>
    </w:p>
    <w:p>
      <w:pPr>
        <w:sectPr>
          <w:pgSz w:w="12240" w:h="15840" w:orient="portrait"/>
          <w:cols w:equalWidth="0" w:num="2">
            <w:col w:w="4120" w:space="720"/>
            <w:col w:w="6360"/>
          </w:cols>
          <w:pgMar w:left="720" w:top="1440" w:right="320" w:bottom="0" w:gutter="0" w:footer="0" w:header="0"/>
          <w:type w:val="continuous"/>
        </w:sectPr>
      </w:pPr>
    </w:p>
    <w:p>
      <w:pPr>
        <w:ind w:left="9240"/>
        <w:spacing w:after="0"/>
        <w:tabs>
          <w:tab w:leader="none" w:pos="11020" w:val="left"/>
        </w:tabs>
        <w:rPr>
          <w:sz w:val="20"/>
          <w:szCs w:val="20"/>
          <w:color w:val="auto"/>
        </w:rPr>
      </w:pPr>
      <w:r>
        <w:rPr>
          <w:rFonts w:ascii="Arial" w:cs="Arial" w:eastAsia="Arial" w:hAnsi="Arial"/>
          <w:sz w:val="16"/>
          <w:szCs w:val="16"/>
          <w:color w:val="00004D"/>
        </w:rPr>
        <w:t>2024 Annual Report</w:t>
      </w:r>
      <w:r>
        <w:rPr>
          <w:sz w:val="20"/>
          <w:szCs w:val="20"/>
          <w:color w:val="auto"/>
        </w:rPr>
        <w:tab/>
      </w:r>
      <w:r>
        <w:rPr>
          <w:rFonts w:ascii="Arial" w:cs="Arial" w:eastAsia="Arial" w:hAnsi="Arial"/>
          <w:sz w:val="14"/>
          <w:szCs w:val="14"/>
          <w:b w:val="1"/>
          <w:bCs w:val="1"/>
          <w:color w:val="FFFFFF"/>
        </w:rPr>
        <w:t>13</w:t>
      </w:r>
    </w:p>
    <w:p>
      <w:pPr>
        <w:sectPr>
          <w:pgSz w:w="12240" w:h="15840" w:orient="portrait"/>
          <w:cols w:equalWidth="0" w:num="1">
            <w:col w:w="11200"/>
          </w:cols>
          <w:pgMar w:left="720" w:top="1440" w:right="320" w:bottom="0" w:gutter="0" w:footer="0" w:header="0"/>
          <w:type w:val="continuous"/>
        </w:sectPr>
      </w:pPr>
    </w:p>
    <w:bookmarkStart w:id="15" w:name="page16"/>
    <w:bookmarkEnd w:id="15"/>
    <w:p>
      <w:pPr>
        <w:spacing w:after="0"/>
        <w:tabs>
          <w:tab w:leader="none" w:pos="110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7">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1"/>
    </w:lvl>
  </w:abstractNum>
  <w:abstractNum w:abstractNumId="1">
    <w:nsid w:val="3D1B58BA"/>
    <w:multiLevelType w:val="hybridMultilevel"/>
    <w:lvl w:ilvl="0">
      <w:lvlJc w:val="left"/>
      <w:lvlText w:val="%1"/>
      <w:numFmt w:val="decimal"/>
      <w:start w:val="4"/>
    </w:lvl>
  </w:abstractNum>
  <w:abstractNum w:abstractNumId="2">
    <w:nsid w:val="507ED7AB"/>
    <w:multiLevelType w:val="hybridMultilevel"/>
    <w:lvl w:ilvl="0">
      <w:lvlJc w:val="left"/>
      <w:lvlText w:val="%1"/>
      <w:numFmt w:val="decimal"/>
      <w:start w:val="6"/>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2"/>
    </w:lvl>
  </w:abstractNum>
  <w:abstractNum w:abstractNumId="7">
    <w:nsid w:val="515F007C"/>
    <w:multiLevelType w:val="hybridMultilevel"/>
    <w:lvl w:ilvl="0">
      <w:lvlJc w:val="left"/>
      <w:lvlText w:val="(%1)"/>
      <w:numFmt w:val="decimal"/>
      <w:start w:val="800"/>
    </w:lvl>
  </w:abstractNum>
  <w:abstractNum w:abstractNumId="8">
    <w:nsid w:val="5BD062C2"/>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2025-03-18T20:47:06Z</dcterms:created>
  <dcterms:modified xsi:type="dcterms:W3CDTF">2025-03-18T20:47:06Z</dcterms:modified>
</cp:coreProperties>
</file>