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Krogulski Kenneth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AVE., SUITE 1300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4.86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284,798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4.75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284,843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4.68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284,888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4.6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284,933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4.71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284,978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4.5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285,023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4.78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285,068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285,113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5.67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285,158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5.68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285,203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5.2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285,248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5.37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285,293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4.92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285,338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5.41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285,383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5.05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285,428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5.1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285,473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5.14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285,518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5.27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285,563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5.68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285,608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5.66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285,653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4.93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285,698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19253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3"/>
          <w:szCs w:val="23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Owned</w:t>
      </w:r>
    </w:p>
    <w:p>
      <w:pPr>
        <w:ind w:left="734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(e.g., puts, calls, warrants, options, convertible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securities)Numb</w:t>
      </w:r>
    </w:p>
    <w:p>
      <w:pPr>
        <w:ind w:left="5400"/>
        <w:spacing w:after="0"/>
        <w:tabs>
          <w:tab w:leader="none" w:pos="6200" w:val="left"/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4Code.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5(A).Number(D)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3"/>
              </w:rPr>
              <w:t>6Exercisable.DateExercisableDate and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7Title.Title Sharesand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Explanation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5"/>
              </w:rPr>
              <w:t>Security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40" w:type="dxa"/>
            <w:vAlign w:val="bottom"/>
            <w:gridSpan w:val="12"/>
          </w:tcPr>
          <w:p>
            <w:pPr>
              <w:ind w:left="2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1. The reported purchase occurred automatically pursuant to a Rule 10b5-1 trading plan adopted by the reporting person on November 14, 2024.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Kenneth J. Krogulski by /s/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John Hamm as attorney-in-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06/06/2025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7"/>
              </w:rPr>
              <w:t xml:space="preserve">** Signature 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7"/>
              </w:rPr>
              <w:t>Amount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87"/>
              </w:rPr>
              <w:t>ofReporting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bottom w:val="single" w:sz="8" w:color="808080"/>
            </w:tcBorders>
            <w:gridSpan w:val="12"/>
          </w:tcPr>
          <w:p>
            <w:pPr>
              <w:ind w:left="2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6"/>
                <w:szCs w:val="6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 xml:space="preserve"> 18 U.S.C. 1001 and 15 U.S.C. 78ff(a).</w:t>
            </w: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7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95580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2025-06-06T07:42:06Z</dcterms:created>
  <dcterms:modified xsi:type="dcterms:W3CDTF">2025-06-06T07:42:06Z</dcterms:modified>
</cp:coreProperties>
</file>