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April 28, 2023 (April 25,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48"/>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25, 2023, the annual meeting of shareholders of Cumberland Pharmaceuticals Inc. (the "Company") was held in Nashville, Tennessee. The following matters were voted upon and approved by the Company's shareholders:</w:t>
      </w:r>
    </w:p>
    <w:p>
      <w:pPr>
        <w:spacing w:after="0" w:line="103"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(2) Class I Directors;</w:t>
      </w:r>
    </w:p>
    <w:p>
      <w:pPr>
        <w:spacing w:after="0" w:line="157"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one (1) Class II Director;</w:t>
      </w:r>
    </w:p>
    <w:p>
      <w:pPr>
        <w:spacing w:after="0" w:line="144" w:lineRule="exact"/>
        <w:rPr>
          <w:rFonts w:ascii="Arial" w:cs="Arial" w:eastAsia="Arial" w:hAnsi="Arial"/>
          <w:sz w:val="18"/>
          <w:szCs w:val="18"/>
          <w:color w:val="auto"/>
        </w:rPr>
      </w:pPr>
    </w:p>
    <w:p>
      <w:pPr>
        <w:ind w:left="660" w:hanging="4"/>
        <w:spacing w:after="0" w:line="277" w:lineRule="auto"/>
        <w:tabs>
          <w:tab w:leader="none" w:pos="9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appointment of FORVIS, LLP as our independent registered public accounting firm for the year ending December 31, 2023;</w:t>
      </w:r>
    </w:p>
    <w:p>
      <w:pPr>
        <w:spacing w:after="0" w:line="102"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resolution regarding compensation of the named executive officers; and</w:t>
      </w:r>
    </w:p>
    <w:p>
      <w:pPr>
        <w:spacing w:after="0" w:line="144"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approval of an amendment to the Amended and Restated 2007 Long-Term Incentive Compensation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The voting results were as follows: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3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1020"/>
              <w:spacing w:after="0" w:line="202" w:lineRule="exact"/>
              <w:rPr>
                <w:sz w:val="20"/>
                <w:szCs w:val="20"/>
                <w:color w:val="auto"/>
              </w:rPr>
            </w:pPr>
            <w:r>
              <w:rPr>
                <w:rFonts w:ascii="Arial" w:cs="Arial" w:eastAsia="Arial" w:hAnsi="Arial"/>
                <w:sz w:val="18"/>
                <w:szCs w:val="18"/>
                <w:color w:val="auto"/>
                <w:w w:val="92"/>
              </w:rPr>
              <w:t>% of Votes in</w:t>
            </w:r>
          </w:p>
        </w:tc>
      </w:tr>
      <w:tr>
        <w:trPr>
          <w:trHeight w:val="243"/>
        </w:trPr>
        <w:tc>
          <w:tcPr>
            <w:tcW w:w="3820" w:type="dxa"/>
            <w:vAlign w:val="bottom"/>
          </w:tcPr>
          <w:p>
            <w:pPr>
              <w:spacing w:after="0"/>
              <w:rPr>
                <w:sz w:val="21"/>
                <w:szCs w:val="21"/>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For</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Against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Withheld</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Abstentions</w:t>
            </w:r>
          </w:p>
        </w:tc>
        <w:tc>
          <w:tcPr>
            <w:tcW w:w="2200" w:type="dxa"/>
            <w:vAlign w:val="bottom"/>
            <w:gridSpan w:val="2"/>
          </w:tcPr>
          <w:p>
            <w:pPr>
              <w:jc w:val="center"/>
              <w:ind w:right="1020"/>
              <w:spacing w:after="0"/>
              <w:rPr>
                <w:sz w:val="20"/>
                <w:szCs w:val="20"/>
                <w:color w:val="auto"/>
              </w:rPr>
            </w:pPr>
            <w:r>
              <w:rPr>
                <w:rFonts w:ascii="Arial" w:cs="Arial" w:eastAsia="Arial" w:hAnsi="Arial"/>
                <w:sz w:val="18"/>
                <w:szCs w:val="18"/>
                <w:color w:val="auto"/>
                <w:w w:val="91"/>
              </w:rPr>
              <w:t>Favor</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Kenneth J. Krogulski</w:t>
            </w: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9,100,390</w:t>
            </w:r>
          </w:p>
        </w:tc>
        <w:tc>
          <w:tcPr>
            <w:tcW w:w="1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82,465</w:t>
            </w:r>
          </w:p>
        </w:tc>
        <w:tc>
          <w:tcPr>
            <w:tcW w:w="1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99.1%</w:t>
            </w:r>
          </w:p>
        </w:tc>
        <w:tc>
          <w:tcPr>
            <w:tcW w:w="10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Caroline R. Young</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8,326,006</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856,849</w:t>
            </w:r>
          </w:p>
        </w:tc>
        <w:tc>
          <w:tcPr>
            <w:tcW w:w="180" w:type="dxa"/>
            <w:vAlign w:val="bottom"/>
          </w:tcPr>
          <w:p>
            <w:pPr>
              <w:spacing w:after="0"/>
              <w:rPr>
                <w:sz w:val="19"/>
                <w:szCs w:val="19"/>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90.7%</w:t>
            </w:r>
          </w:p>
        </w:tc>
        <w:tc>
          <w:tcPr>
            <w:tcW w:w="10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S. Brown, Jr.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9,053,642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129,213</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98.6%</w:t>
            </w:r>
          </w:p>
        </w:tc>
        <w:tc>
          <w:tcPr>
            <w:tcW w:w="1020" w:type="dxa"/>
            <w:vAlign w:val="bottom"/>
          </w:tcPr>
          <w:p>
            <w:pPr>
              <w:spacing w:after="0"/>
              <w:rPr>
                <w:sz w:val="19"/>
                <w:szCs w:val="19"/>
                <w:color w:val="auto"/>
              </w:rPr>
            </w:pPr>
          </w:p>
        </w:tc>
      </w:tr>
      <w:tr>
        <w:trPr>
          <w:trHeight w:val="175"/>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rPr>
              <w:t>Appointment   of   FORVIS,   LLP   as   our</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w w:val="97"/>
              </w:rPr>
              <w:t>independent registered public accounting firm for</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the year ending December 31, 2023</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11,474,731</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107,830</w:t>
            </w:r>
          </w:p>
        </w:tc>
        <w:tc>
          <w:tcPr>
            <w:tcW w:w="16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17,830</w:t>
            </w: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99.1%</w:t>
            </w:r>
          </w:p>
        </w:tc>
        <w:tc>
          <w:tcPr>
            <w:tcW w:w="1020" w:type="dxa"/>
            <w:vAlign w:val="bottom"/>
          </w:tcPr>
          <w:p>
            <w:pPr>
              <w:spacing w:after="0"/>
              <w:rPr>
                <w:sz w:val="20"/>
                <w:szCs w:val="20"/>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Resolution  regarding  compensation  of  named</w:t>
            </w: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8,228,888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926,046</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27,921</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89.9%</w:t>
            </w:r>
          </w:p>
        </w:tc>
        <w:tc>
          <w:tcPr>
            <w:tcW w:w="1020" w:type="dxa"/>
            <w:vAlign w:val="bottom"/>
          </w:tcPr>
          <w:p>
            <w:pPr>
              <w:spacing w:after="0"/>
              <w:rPr>
                <w:sz w:val="21"/>
                <w:szCs w:val="21"/>
                <w:color w:val="auto"/>
              </w:rPr>
            </w:pPr>
          </w:p>
        </w:tc>
      </w:tr>
      <w:tr>
        <w:trPr>
          <w:trHeight w:val="175"/>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rPr>
              <w:t>Approve an amendment to the amended and</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w w:val="98"/>
              </w:rPr>
              <w:t>restated 2007 long-term incentive compensation</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plan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6,869,796</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2,286,706</w:t>
            </w:r>
          </w:p>
        </w:tc>
        <w:tc>
          <w:tcPr>
            <w:tcW w:w="16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26,353</w:t>
            </w: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75.0%</w:t>
            </w:r>
          </w:p>
        </w:tc>
        <w:tc>
          <w:tcPr>
            <w:tcW w:w="1020" w:type="dxa"/>
            <w:vAlign w:val="bottom"/>
          </w:tcPr>
          <w:p>
            <w:pPr>
              <w:spacing w:after="0"/>
              <w:rPr>
                <w:sz w:val="20"/>
                <w:szCs w:val="20"/>
                <w:color w:val="auto"/>
              </w:rPr>
            </w:pPr>
          </w:p>
        </w:tc>
      </w:tr>
      <w:tr>
        <w:trPr>
          <w:trHeight w:val="1357"/>
        </w:trPr>
        <w:tc>
          <w:tcPr>
            <w:tcW w:w="38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Arial" w:cs="Arial" w:eastAsia="Arial" w:hAnsi="Arial"/>
                <w:sz w:val="18"/>
                <w:szCs w:val="18"/>
                <w:color w:val="auto"/>
              </w:rPr>
              <w:t>Dated: April 28, 2023</w:t>
            </w:r>
          </w:p>
        </w:tc>
        <w:tc>
          <w:tcPr>
            <w:tcW w:w="4060" w:type="dxa"/>
            <w:vAlign w:val="bottom"/>
          </w:tcPr>
          <w:p>
            <w:pPr>
              <w:ind w:left="270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2023-04-28T17:54:54Z</dcterms:created>
  <dcterms:modified xsi:type="dcterms:W3CDTF">2023-04-28T17:54:54Z</dcterms:modified>
</cp:coreProperties>
</file>