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560705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CURRENT REPORT</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Pursuant to Section 13 OR 15(d) of The Securities Exchange Act of 1934</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November 1, 2021 (October 28, 2021)</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earliest event reported)</w:t>
      </w:r>
    </w:p>
    <w:p>
      <w:pPr>
        <w:spacing w:after="0" w:line="24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CUMBERLAND PHARMACEUTICALS INC.</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188" w:lineRule="exact"/>
        <w:rPr>
          <w:sz w:val="24"/>
          <w:szCs w:val="24"/>
          <w:color w:val="auto"/>
        </w:rPr>
      </w:pPr>
    </w:p>
    <w:tbl>
      <w:tblPr>
        <w:tblLayout w:type="fixed"/>
        <w:tblInd w:w="500" w:type="dxa"/>
        <w:tblCellMar>
          <w:top w:w="0" w:type="dxa"/>
          <w:left w:w="0" w:type="dxa"/>
          <w:bottom w:w="0" w:type="dxa"/>
          <w:right w:w="0" w:type="dxa"/>
        </w:tblCellMar>
      </w:tblPr>
      <w:tr>
        <w:trPr>
          <w:trHeight w:val="261"/>
        </w:trPr>
        <w:tc>
          <w:tcPr>
            <w:tcW w:w="3700" w:type="dxa"/>
            <w:vAlign w:val="bottom"/>
          </w:tcPr>
          <w:p>
            <w:pPr>
              <w:jc w:val="center"/>
              <w:ind w:right="330"/>
              <w:spacing w:after="0"/>
              <w:rPr>
                <w:sz w:val="20"/>
                <w:szCs w:val="20"/>
                <w:color w:val="auto"/>
              </w:rPr>
            </w:pPr>
            <w:r>
              <w:rPr>
                <w:rFonts w:ascii="Arial" w:cs="Arial" w:eastAsia="Arial" w:hAnsi="Arial"/>
                <w:sz w:val="18"/>
                <w:szCs w:val="18"/>
                <w:b w:val="1"/>
                <w:bCs w:val="1"/>
                <w:color w:val="auto"/>
                <w:w w:val="81"/>
              </w:rPr>
              <w:t>Tennessee</w:t>
            </w:r>
          </w:p>
        </w:tc>
        <w:tc>
          <w:tcPr>
            <w:tcW w:w="3000" w:type="dxa"/>
            <w:vAlign w:val="bottom"/>
          </w:tcPr>
          <w:p>
            <w:pPr>
              <w:jc w:val="right"/>
              <w:ind w:right="1110"/>
              <w:spacing w:after="0"/>
              <w:rPr>
                <w:sz w:val="20"/>
                <w:szCs w:val="20"/>
                <w:color w:val="auto"/>
              </w:rPr>
            </w:pPr>
            <w:r>
              <w:rPr>
                <w:rFonts w:ascii="Arial" w:cs="Arial" w:eastAsia="Arial" w:hAnsi="Arial"/>
                <w:sz w:val="18"/>
                <w:szCs w:val="18"/>
                <w:b w:val="1"/>
                <w:bCs w:val="1"/>
                <w:color w:val="auto"/>
              </w:rPr>
              <w:t>001-33637</w:t>
            </w:r>
          </w:p>
        </w:tc>
        <w:tc>
          <w:tcPr>
            <w:tcW w:w="3200" w:type="dxa"/>
            <w:vAlign w:val="bottom"/>
          </w:tcPr>
          <w:p>
            <w:pPr>
              <w:jc w:val="right"/>
              <w:ind w:right="790"/>
              <w:spacing w:after="0"/>
              <w:rPr>
                <w:sz w:val="20"/>
                <w:szCs w:val="20"/>
                <w:color w:val="auto"/>
              </w:rPr>
            </w:pPr>
            <w:r>
              <w:rPr>
                <w:rFonts w:ascii="Arial" w:cs="Arial" w:eastAsia="Arial" w:hAnsi="Arial"/>
                <w:sz w:val="18"/>
                <w:szCs w:val="18"/>
                <w:b w:val="1"/>
                <w:bCs w:val="1"/>
                <w:color w:val="auto"/>
              </w:rPr>
              <w:t>62-1765329</w:t>
            </w:r>
          </w:p>
        </w:tc>
        <w:tc>
          <w:tcPr>
            <w:tcW w:w="0" w:type="dxa"/>
            <w:vAlign w:val="bottom"/>
          </w:tcPr>
          <w:p>
            <w:pPr>
              <w:spacing w:after="0"/>
              <w:rPr>
                <w:sz w:val="1"/>
                <w:szCs w:val="1"/>
                <w:color w:val="auto"/>
              </w:rPr>
            </w:pPr>
          </w:p>
        </w:tc>
      </w:tr>
      <w:tr>
        <w:trPr>
          <w:trHeight w:val="189"/>
        </w:trPr>
        <w:tc>
          <w:tcPr>
            <w:tcW w:w="3700" w:type="dxa"/>
            <w:vAlign w:val="bottom"/>
          </w:tcPr>
          <w:p>
            <w:pPr>
              <w:jc w:val="center"/>
              <w:ind w:right="310"/>
              <w:spacing w:after="0" w:line="189" w:lineRule="exact"/>
              <w:rPr>
                <w:sz w:val="20"/>
                <w:szCs w:val="20"/>
                <w:color w:val="auto"/>
              </w:rPr>
            </w:pPr>
            <w:r>
              <w:rPr>
                <w:rFonts w:ascii="Arial" w:cs="Arial" w:eastAsia="Arial" w:hAnsi="Arial"/>
                <w:sz w:val="18"/>
                <w:szCs w:val="18"/>
                <w:color w:val="auto"/>
                <w:w w:val="92"/>
              </w:rPr>
              <w:t>(State or other jurisdiction of incorporation or</w:t>
            </w:r>
          </w:p>
        </w:tc>
        <w:tc>
          <w:tcPr>
            <w:tcW w:w="3000" w:type="dxa"/>
            <w:vAlign w:val="bottom"/>
            <w:vMerge w:val="restart"/>
          </w:tcPr>
          <w:p>
            <w:pPr>
              <w:jc w:val="center"/>
              <w:ind w:right="90"/>
              <w:spacing w:after="0"/>
              <w:rPr>
                <w:sz w:val="20"/>
                <w:szCs w:val="20"/>
                <w:color w:val="auto"/>
              </w:rPr>
            </w:pPr>
            <w:r>
              <w:rPr>
                <w:rFonts w:ascii="Arial" w:cs="Arial" w:eastAsia="Arial" w:hAnsi="Arial"/>
                <w:sz w:val="18"/>
                <w:szCs w:val="18"/>
                <w:color w:val="auto"/>
                <w:w w:val="92"/>
              </w:rPr>
              <w:t>(Commission File Number)</w:t>
            </w:r>
          </w:p>
        </w:tc>
        <w:tc>
          <w:tcPr>
            <w:tcW w:w="3200" w:type="dxa"/>
            <w:vAlign w:val="bottom"/>
          </w:tcPr>
          <w:p>
            <w:pPr>
              <w:jc w:val="center"/>
              <w:ind w:left="490"/>
              <w:spacing w:after="0" w:line="189" w:lineRule="exact"/>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230"/>
        </w:trPr>
        <w:tc>
          <w:tcPr>
            <w:tcW w:w="3700" w:type="dxa"/>
            <w:vAlign w:val="bottom"/>
          </w:tcPr>
          <w:p>
            <w:pPr>
              <w:jc w:val="center"/>
              <w:ind w:right="330"/>
              <w:spacing w:after="0"/>
              <w:rPr>
                <w:sz w:val="20"/>
                <w:szCs w:val="20"/>
                <w:color w:val="auto"/>
              </w:rPr>
            </w:pPr>
            <w:r>
              <w:rPr>
                <w:rFonts w:ascii="Arial" w:cs="Arial" w:eastAsia="Arial" w:hAnsi="Arial"/>
                <w:sz w:val="18"/>
                <w:szCs w:val="18"/>
                <w:color w:val="auto"/>
                <w:w w:val="92"/>
              </w:rPr>
              <w:t>organization)</w:t>
            </w:r>
          </w:p>
        </w:tc>
        <w:tc>
          <w:tcPr>
            <w:tcW w:w="3000" w:type="dxa"/>
            <w:vAlign w:val="bottom"/>
            <w:vMerge w:val="continue"/>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6" w:lineRule="exact"/>
        <w:rPr>
          <w:sz w:val="24"/>
          <w:szCs w:val="24"/>
          <w:color w:val="auto"/>
        </w:rPr>
      </w:pPr>
    </w:p>
    <w:p>
      <w:pPr>
        <w:ind w:left="3300"/>
        <w:spacing w:after="0"/>
        <w:rPr>
          <w:sz w:val="20"/>
          <w:szCs w:val="20"/>
          <w:color w:val="auto"/>
        </w:rPr>
      </w:pPr>
      <w:r>
        <w:rPr>
          <w:rFonts w:ascii="Arial" w:cs="Arial" w:eastAsia="Arial" w:hAnsi="Arial"/>
          <w:sz w:val="18"/>
          <w:szCs w:val="18"/>
          <w:b w:val="1"/>
          <w:bCs w:val="1"/>
          <w:color w:val="auto"/>
        </w:rPr>
        <w:t>2525 West End Avenue, Suite 950 Nashville, Tennessee 37203</w:t>
      </w:r>
    </w:p>
    <w:p>
      <w:pPr>
        <w:spacing w:after="0" w:line="50"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50"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(615) 255-0068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67"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260" w:hanging="212"/>
        <w:spacing w:after="0"/>
        <w:tabs>
          <w:tab w:leader="none" w:pos="2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265" w:lineRule="exact"/>
        <w:rPr>
          <w:rFonts w:ascii="MS PGothic" w:cs="MS PGothic" w:eastAsia="MS PGothic" w:hAnsi="MS PGothic"/>
          <w:sz w:val="18"/>
          <w:szCs w:val="18"/>
          <w:color w:val="auto"/>
        </w:rPr>
      </w:pPr>
    </w:p>
    <w:p>
      <w:pPr>
        <w:ind w:right="2940" w:firstLine="48"/>
        <w:spacing w:after="0" w:line="477" w:lineRule="auto"/>
        <w:tabs>
          <w:tab w:leader="none" w:pos="2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 xml:space="preserve">Pre-commencement communications pursuant to Rule 13e-4(c) under the Exchange Act (17 CFR 240.13e-4(c)) </w:t>
      </w:r>
      <w:r>
        <w:rPr>
          <w:rFonts w:ascii="Arial" w:cs="Arial" w:eastAsia="Arial" w:hAnsi="Arial"/>
          <w:sz w:val="18"/>
          <w:szCs w:val="18"/>
          <w:color w:val="000000"/>
        </w:rPr>
        <w:t>Securities registered pursuant to Section 12(b) of the Act:</w:t>
      </w:r>
    </w:p>
    <w:tbl>
      <w:tblPr>
        <w:tblLayout w:type="fixed"/>
        <w:tblInd w:w="50" w:type="dxa"/>
        <w:tblCellMar>
          <w:top w:w="0" w:type="dxa"/>
          <w:left w:w="0" w:type="dxa"/>
          <w:bottom w:w="0" w:type="dxa"/>
          <w:right w:w="0" w:type="dxa"/>
        </w:tblCellMar>
      </w:tblPr>
      <w:tr>
        <w:trPr>
          <w:trHeight w:val="225"/>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9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no par value</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CPIX</w:t>
            </w:r>
          </w:p>
        </w:tc>
        <w:tc>
          <w:tcPr>
            <w:tcW w:w="4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32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231F20"/>
        </w:rPr>
        <w:t xml:space="preserve">Emerging growth company </w:t>
      </w:r>
      <w:r>
        <w:rPr>
          <w:rFonts w:ascii="MS PGothic" w:cs="MS PGothic" w:eastAsia="MS PGothic" w:hAnsi="MS PGothic"/>
          <w:sz w:val="18"/>
          <w:szCs w:val="18"/>
          <w:color w:val="000000"/>
        </w:rPr>
        <w:t>☐</w:t>
      </w:r>
    </w:p>
    <w:p>
      <w:pPr>
        <w:spacing w:after="0" w:line="285"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4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October 28, 2021, Cumberland Pharmaceuticals Inc. (the “Company” or “Cumberland”) entered into a Fourth Amendment to the Revolving Credit Note and Fifth Amendment (“Fifth Amendment”) to the Revolving Credit Loan Agreement with Pinnacle Bank (the “Pinnacle Agreement”). The original Pinnacle Agreement was dated July 31, 2017. The Fifth Amendment provides for a principal available for borrowing of up to $15 million. Cumberland has the right to request an increase of up to an additional $5 million, upon the satisfaction of certain conditions and approval by Pinnacle Bank. If fully expanded, the Fifth Amendment would provide a maximum principal available for borrowing of up to $20 million, which was also the maximum aggregate principal available for borrowing under the previously amended Pinnacle Agreement.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The Fifth Amendment extends the maturity date three years through October 1, 2024.</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interest rate on the Pinnacle Agreement, as amended, is based on Benchmark plus the Applicable Margin. Cumberland is subject to a financial covenant, maintenance of either the Funded Debt Ratio or a Tangible Capital Ratio, as defined, determined on a quarterly basis. The interest rate on funds borrowed under the facility ranges from 30-day LIBOR plus 175 to 275 basis points depending on the funded debt ratio. Borrowings under the line of credit are collateralized by substantially all of the Company’s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534670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92"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4420" w:type="dxa"/>
            <w:vAlign w:val="bottom"/>
          </w:tcPr>
          <w:p>
            <w:pPr>
              <w:spacing w:after="0"/>
              <w:rPr>
                <w:sz w:val="20"/>
                <w:szCs w:val="20"/>
                <w:color w:val="auto"/>
              </w:rPr>
            </w:pPr>
          </w:p>
        </w:tc>
        <w:tc>
          <w:tcPr>
            <w:tcW w:w="6740" w:type="dxa"/>
            <w:vAlign w:val="bottom"/>
            <w:gridSpan w:val="2"/>
          </w:tcPr>
          <w:p>
            <w:pPr>
              <w:ind w:left="2560"/>
              <w:spacing w:after="0"/>
              <w:rPr>
                <w:sz w:val="20"/>
                <w:szCs w:val="20"/>
                <w:color w:val="auto"/>
              </w:rPr>
            </w:pPr>
            <w:r>
              <w:rPr>
                <w:rFonts w:ascii="Arial" w:cs="Arial" w:eastAsia="Arial" w:hAnsi="Arial"/>
                <w:sz w:val="18"/>
                <w:szCs w:val="18"/>
                <w:color w:val="auto"/>
              </w:rPr>
              <w:t>Cumberland Pharmaceuticals Inc.</w:t>
            </w:r>
          </w:p>
        </w:tc>
      </w:tr>
      <w:tr>
        <w:trPr>
          <w:trHeight w:val="499"/>
        </w:trPr>
        <w:tc>
          <w:tcPr>
            <w:tcW w:w="4420" w:type="dxa"/>
            <w:vAlign w:val="bottom"/>
          </w:tcPr>
          <w:p>
            <w:pPr>
              <w:spacing w:after="0"/>
              <w:rPr>
                <w:sz w:val="20"/>
                <w:szCs w:val="20"/>
                <w:color w:val="auto"/>
              </w:rPr>
            </w:pPr>
            <w:r>
              <w:rPr>
                <w:rFonts w:ascii="Arial" w:cs="Arial" w:eastAsia="Arial" w:hAnsi="Arial"/>
                <w:sz w:val="18"/>
                <w:szCs w:val="18"/>
                <w:color w:val="auto"/>
              </w:rPr>
              <w:t>Dated: November 1, 2021</w:t>
            </w:r>
          </w:p>
        </w:tc>
        <w:tc>
          <w:tcPr>
            <w:tcW w:w="3920" w:type="dxa"/>
            <w:vAlign w:val="bottom"/>
          </w:tcPr>
          <w:p>
            <w:pPr>
              <w:ind w:left="2560"/>
              <w:spacing w:after="0"/>
              <w:rPr>
                <w:sz w:val="20"/>
                <w:szCs w:val="20"/>
                <w:color w:val="auto"/>
              </w:rPr>
            </w:pPr>
            <w:r>
              <w:rPr>
                <w:rFonts w:ascii="Arial" w:cs="Arial" w:eastAsia="Arial" w:hAnsi="Arial"/>
                <w:sz w:val="18"/>
                <w:szCs w:val="18"/>
                <w:color w:val="auto"/>
              </w:rPr>
              <w:t>By:</w:t>
            </w:r>
          </w:p>
        </w:tc>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John Hamm</w:t>
            </w:r>
          </w:p>
        </w:tc>
      </w:tr>
      <w:tr>
        <w:trPr>
          <w:trHeight w:val="222"/>
        </w:trPr>
        <w:tc>
          <w:tcPr>
            <w:tcW w:w="44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820" w:type="dxa"/>
            <w:vAlign w:val="bottom"/>
          </w:tcPr>
          <w:p>
            <w:pPr>
              <w:ind w:left="20"/>
              <w:spacing w:after="0"/>
              <w:rPr>
                <w:sz w:val="20"/>
                <w:szCs w:val="20"/>
                <w:color w:val="auto"/>
              </w:rPr>
            </w:pPr>
            <w:r>
              <w:rPr>
                <w:rFonts w:ascii="Arial" w:cs="Arial" w:eastAsia="Arial" w:hAnsi="Arial"/>
                <w:sz w:val="18"/>
                <w:szCs w:val="18"/>
                <w:color w:val="auto"/>
              </w:rPr>
              <w:t>John Hamm</w:t>
            </w:r>
          </w:p>
        </w:tc>
      </w:tr>
      <w:tr>
        <w:trPr>
          <w:trHeight w:val="230"/>
        </w:trPr>
        <w:tc>
          <w:tcPr>
            <w:tcW w:w="44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20"/>
      </w:cols>
      <w:pgMar w:left="320" w:top="109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2021-11-01T16:34:21Z</dcterms:created>
  <dcterms:modified xsi:type="dcterms:W3CDTF">2021-11-01T16:34:21Z</dcterms:modified>
</cp:coreProperties>
</file>